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F4048">
      <w:pPr>
        <w:spacing w:line="360" w:lineRule="auto"/>
        <w:jc w:val="both"/>
        <w:rPr>
          <w:rFonts w:ascii="宋体" w:hAnsi="宋体" w:cs="宋体"/>
          <w:b/>
          <w:sz w:val="72"/>
          <w:szCs w:val="72"/>
        </w:rPr>
      </w:pPr>
    </w:p>
    <w:p w14:paraId="51778BF7">
      <w:pPr>
        <w:spacing w:line="360" w:lineRule="auto"/>
        <w:jc w:val="center"/>
        <w:rPr>
          <w:rFonts w:ascii="宋体" w:hAnsi="宋体" w:cs="宋体"/>
          <w:b/>
          <w:sz w:val="72"/>
          <w:szCs w:val="72"/>
        </w:rPr>
      </w:pPr>
    </w:p>
    <w:p w14:paraId="21022544">
      <w:pPr>
        <w:spacing w:line="360" w:lineRule="auto"/>
        <w:jc w:val="center"/>
        <w:rPr>
          <w:rFonts w:ascii="宋体" w:hAnsi="宋体" w:cs="宋体"/>
          <w:b/>
          <w:sz w:val="72"/>
          <w:szCs w:val="72"/>
        </w:rPr>
      </w:pPr>
      <w:r>
        <w:rPr>
          <w:rFonts w:hint="eastAsia" w:ascii="宋体" w:hAnsi="宋体" w:cs="宋体"/>
          <w:b/>
          <w:sz w:val="72"/>
          <w:szCs w:val="72"/>
        </w:rPr>
        <w:t>雅安市房屋建筑和市政工程标准设计施工总承包</w:t>
      </w:r>
    </w:p>
    <w:p w14:paraId="45724F05">
      <w:pPr>
        <w:spacing w:line="360" w:lineRule="auto"/>
        <w:jc w:val="center"/>
        <w:rPr>
          <w:rFonts w:ascii="宋体" w:hAnsi="宋体" w:cs="宋体"/>
          <w:b/>
          <w:sz w:val="72"/>
          <w:szCs w:val="72"/>
        </w:rPr>
      </w:pPr>
      <w:r>
        <w:rPr>
          <w:rFonts w:hint="eastAsia" w:ascii="宋体" w:hAnsi="宋体" w:cs="宋体"/>
          <w:b/>
          <w:sz w:val="72"/>
          <w:szCs w:val="72"/>
        </w:rPr>
        <w:t xml:space="preserve">招标文件 </w:t>
      </w:r>
    </w:p>
    <w:p w14:paraId="4709F14B">
      <w:pPr>
        <w:spacing w:line="360" w:lineRule="auto"/>
        <w:rPr>
          <w:rFonts w:ascii="宋体" w:hAnsi="宋体" w:cs="宋体"/>
          <w:b/>
          <w:sz w:val="72"/>
          <w:szCs w:val="72"/>
        </w:rPr>
      </w:pPr>
    </w:p>
    <w:p w14:paraId="1E811BFD">
      <w:pPr>
        <w:spacing w:line="360" w:lineRule="auto"/>
        <w:ind w:firstLine="2168" w:firstLineChars="300"/>
      </w:pPr>
      <w:r>
        <w:rPr>
          <w:rFonts w:hint="eastAsia" w:ascii="宋体" w:hAnsi="宋体" w:cs="宋体"/>
          <w:b/>
          <w:sz w:val="72"/>
          <w:szCs w:val="72"/>
        </w:rPr>
        <w:t>（2021年版）</w:t>
      </w:r>
      <w:r>
        <w:br w:type="page"/>
      </w:r>
    </w:p>
    <w:p w14:paraId="08C8A9D8">
      <w:pPr>
        <w:spacing w:line="360" w:lineRule="auto"/>
        <w:jc w:val="center"/>
        <w:rPr>
          <w:rFonts w:ascii="宋体" w:hAnsi="宋体" w:cs="宋体"/>
          <w:b/>
          <w:bCs/>
          <w:sz w:val="28"/>
          <w:szCs w:val="28"/>
        </w:rPr>
      </w:pPr>
      <w:r>
        <w:rPr>
          <w:rFonts w:hint="eastAsia" w:ascii="宋体" w:hAnsi="宋体" w:cs="宋体"/>
          <w:b/>
          <w:bCs/>
          <w:sz w:val="28"/>
          <w:szCs w:val="28"/>
        </w:rPr>
        <w:t>使用说明</w:t>
      </w:r>
    </w:p>
    <w:p w14:paraId="15684045">
      <w:pPr>
        <w:spacing w:line="360" w:lineRule="auto"/>
        <w:ind w:firstLine="480" w:firstLineChars="200"/>
        <w:rPr>
          <w:rFonts w:ascii="宋体" w:hAnsi="宋体" w:cs="宋体"/>
          <w:sz w:val="24"/>
        </w:rPr>
      </w:pPr>
      <w:r>
        <w:rPr>
          <w:rFonts w:hint="eastAsia" w:ascii="宋体" w:hAnsi="宋体" w:cs="宋体"/>
          <w:sz w:val="24"/>
        </w:rPr>
        <w:t>一、《雅安市房屋建筑和市政工程标准设计施工总承包招标文件》适用于雅安市行政区域内依法必须招标的房屋建筑和市政工程设计施工总承包和设计采购施工总承包电子招标。根据《住房和城乡建设部 国家发展改革委关于印发房屋建筑和市政基础设施项目工程总承包管理办法的通知》（建市规〔2019〕12号）第三条和第九条第（五）项的规定，招标人应在完成勘察工作后进行工程总承包项目发包，不得将勘察纳入工程总承包招标范围一并发包。</w:t>
      </w:r>
    </w:p>
    <w:p w14:paraId="3FD616C4">
      <w:pPr>
        <w:spacing w:line="360" w:lineRule="auto"/>
        <w:ind w:firstLine="480" w:firstLineChars="200"/>
        <w:rPr>
          <w:rFonts w:ascii="宋体" w:hAnsi="宋体" w:cs="宋体"/>
          <w:sz w:val="24"/>
        </w:rPr>
      </w:pPr>
      <w:r>
        <w:rPr>
          <w:rFonts w:hint="eastAsia" w:ascii="宋体" w:hAnsi="宋体" w:cs="宋体"/>
          <w:sz w:val="24"/>
        </w:rPr>
        <w:t>二、《雅安市房屋建筑和市政工程标准设计施工总承包招标文件》用相同序号标示的章、节、条、款、项、目，供招标人选择使用；以空格标示的由招标人填写内容，招标人应根据招标项目具体特点和实际需要具体细化，确实没有需要填写的，在空格中用“/”标示。</w:t>
      </w:r>
    </w:p>
    <w:p w14:paraId="5AEE7E23">
      <w:pPr>
        <w:spacing w:line="360" w:lineRule="auto"/>
        <w:ind w:firstLine="480" w:firstLineChars="200"/>
        <w:rPr>
          <w:rFonts w:ascii="宋体" w:hAnsi="宋体" w:cs="宋体"/>
          <w:sz w:val="24"/>
        </w:rPr>
      </w:pPr>
      <w:r>
        <w:rPr>
          <w:rFonts w:hint="eastAsia" w:ascii="宋体" w:hAnsi="宋体" w:cs="宋体"/>
          <w:sz w:val="24"/>
        </w:rPr>
        <w:t>三、招标人按照《雅安市房屋建筑和市政工程标准设计施工总承包招标文件》第一章的格式发布招标公告或发出投标邀请书后，将实际发布的招标公告或实际发出的投标邀请书编入发出的招标文件中。其中，招标公告应同时注明发布所在的所有媒介名称。</w:t>
      </w:r>
    </w:p>
    <w:p w14:paraId="5C9F8DB5">
      <w:pPr>
        <w:spacing w:line="360" w:lineRule="auto"/>
        <w:ind w:firstLine="480" w:firstLineChars="200"/>
        <w:rPr>
          <w:rFonts w:ascii="宋体" w:hAnsi="宋体" w:cs="宋体"/>
          <w:sz w:val="24"/>
        </w:rPr>
      </w:pPr>
      <w:r>
        <w:rPr>
          <w:rFonts w:hint="eastAsia" w:ascii="宋体" w:hAnsi="宋体" w:cs="宋体"/>
          <w:sz w:val="24"/>
        </w:rPr>
        <w:t>四、《雅安市房屋建筑和市政工程标准设计施工总承包招标文件》第三章“评标办法”采用综合评估法，各评审因素的分值由招标人在规定区间内自主确定。</w:t>
      </w:r>
    </w:p>
    <w:p w14:paraId="65D96E61">
      <w:pPr>
        <w:spacing w:line="360" w:lineRule="auto"/>
        <w:ind w:firstLine="480" w:firstLineChars="200"/>
        <w:rPr>
          <w:rFonts w:ascii="宋体" w:hAnsi="宋体" w:cs="宋体"/>
          <w:sz w:val="24"/>
        </w:rPr>
      </w:pPr>
      <w:r>
        <w:rPr>
          <w:rFonts w:hint="eastAsia" w:ascii="宋体" w:hAnsi="宋体" w:cs="宋体"/>
          <w:sz w:val="24"/>
        </w:rPr>
        <w:t>第三章“评标办法”前附表应列明全部评审因素和评审标准，并在本章前附表标明投标人不满足要求即否决其投标的全部条款。</w:t>
      </w:r>
    </w:p>
    <w:p w14:paraId="3781D8F1">
      <w:pPr>
        <w:spacing w:line="360" w:lineRule="auto"/>
        <w:ind w:firstLine="480" w:firstLineChars="200"/>
        <w:rPr>
          <w:rFonts w:ascii="宋体" w:hAnsi="宋体" w:cs="宋体"/>
          <w:sz w:val="24"/>
        </w:rPr>
      </w:pPr>
      <w:r>
        <w:rPr>
          <w:rFonts w:hint="eastAsia" w:ascii="宋体" w:hAnsi="宋体" w:cs="宋体"/>
          <w:sz w:val="24"/>
        </w:rPr>
        <w:t>五、《雅安市房屋建筑和市政工程标准设计施工总承包招标文件》第五章“发包人要求”由招标人根据招标项目具体特点和实际需要编制，并与“投标人须知”、“通用合同条款”、“专用合同条款”相衔接。</w:t>
      </w:r>
    </w:p>
    <w:p w14:paraId="01947899">
      <w:pPr>
        <w:spacing w:line="360" w:lineRule="auto"/>
        <w:ind w:firstLine="480" w:firstLineChars="200"/>
        <w:rPr>
          <w:rFonts w:ascii="宋体" w:hAnsi="宋体" w:cs="宋体"/>
          <w:sz w:val="24"/>
        </w:rPr>
        <w:sectPr>
          <w:pgSz w:w="11906" w:h="16838"/>
          <w:pgMar w:top="1417" w:right="1417" w:bottom="1417" w:left="1417" w:header="851" w:footer="850" w:gutter="0"/>
          <w:cols w:space="720" w:num="1"/>
          <w:docGrid w:type="lines" w:linePitch="312" w:charSpace="0"/>
        </w:sectPr>
      </w:pPr>
      <w:r>
        <w:rPr>
          <w:rFonts w:hint="eastAsia" w:ascii="宋体" w:hAnsi="宋体" w:cs="宋体"/>
          <w:sz w:val="24"/>
        </w:rPr>
        <w:t>六、《雅安市房屋建筑和市政工程标准设计施工总承包招标文件》中，“□”表示可选择项，除注明为多项选择外，其余均为单项选择。多项选择招标人可以选，也可以都不选。勾选的内容为招标文件组成部分（如：</w:t>
      </w:r>
      <w:r>
        <w:rPr>
          <w:rFonts w:ascii="Wingdings 2" w:hAnsi="Wingdings 2" w:cs="宋体"/>
          <w:sz w:val="24"/>
        </w:rPr>
        <w:sym w:font="Wingdings 2" w:char="F052"/>
      </w:r>
      <w:r>
        <w:rPr>
          <w:rFonts w:hint="eastAsia" w:ascii="宋体" w:hAnsi="宋体" w:cs="宋体"/>
          <w:sz w:val="24"/>
        </w:rPr>
        <w:t>），未勾选的内容不作为招标文件组成部分（如：□）。</w:t>
      </w:r>
    </w:p>
    <w:p w14:paraId="4C5BF24B">
      <w:pPr>
        <w:spacing w:line="360" w:lineRule="auto"/>
        <w:jc w:val="center"/>
        <w:rPr>
          <w:rFonts w:ascii="宋体" w:hAnsi="宋体"/>
          <w:b/>
          <w:sz w:val="28"/>
          <w:szCs w:val="28"/>
        </w:rPr>
      </w:pPr>
      <w:bookmarkStart w:id="0" w:name="_Toc152042286"/>
      <w:bookmarkStart w:id="1" w:name="_Toc144974478"/>
      <w:r>
        <w:rPr>
          <w:sz w:val="28"/>
          <w:szCs w:val="28"/>
        </w:rPr>
        <w:t xml:space="preserve"> </w:t>
      </w:r>
      <w:r>
        <w:rPr>
          <w:rFonts w:hint="eastAsia" w:ascii="宋体" w:hAnsi="宋体"/>
          <w:b/>
          <w:sz w:val="28"/>
          <w:szCs w:val="28"/>
          <w:u w:val="single"/>
        </w:rPr>
        <w:t xml:space="preserve"> </w:t>
      </w:r>
      <w:r>
        <w:rPr>
          <w:rFonts w:hint="eastAsia" w:ascii="宋体" w:hAnsi="宋体"/>
          <w:b/>
          <w:sz w:val="28"/>
          <w:szCs w:val="28"/>
          <w:u w:val="single"/>
          <w:lang w:eastAsia="zh-CN"/>
        </w:rPr>
        <w:t>雅安市雨城区河北裘家巷-大兴前进片区城中村改造项目配套基础设施建设项目</w:t>
      </w:r>
      <w:r>
        <w:rPr>
          <w:rFonts w:hint="eastAsia" w:ascii="宋体" w:hAnsi="宋体"/>
          <w:b/>
          <w:sz w:val="28"/>
          <w:szCs w:val="28"/>
          <w:u w:val="single"/>
        </w:rPr>
        <w:t xml:space="preserve">  </w:t>
      </w:r>
      <w:r>
        <w:rPr>
          <w:rFonts w:hint="eastAsia" w:ascii="宋体" w:hAnsi="宋体"/>
          <w:b/>
          <w:sz w:val="28"/>
          <w:szCs w:val="28"/>
        </w:rPr>
        <w:t xml:space="preserve">（项目名称）设计施工总承包 </w:t>
      </w:r>
      <w:r>
        <w:rPr>
          <w:rFonts w:hint="eastAsia" w:ascii="宋体" w:hAnsi="宋体"/>
          <w:b/>
          <w:sz w:val="28"/>
          <w:szCs w:val="28"/>
          <w:u w:val="single"/>
        </w:rPr>
        <w:t xml:space="preserve"> </w:t>
      </w:r>
      <w:r>
        <w:rPr>
          <w:rFonts w:hint="eastAsia" w:ascii="宋体" w:hAnsi="宋体"/>
          <w:b/>
          <w:sz w:val="28"/>
          <w:szCs w:val="28"/>
          <w:u w:val="single"/>
          <w:lang w:val="en-US" w:eastAsia="zh-CN"/>
        </w:rPr>
        <w:t>/</w:t>
      </w:r>
      <w:r>
        <w:rPr>
          <w:rFonts w:hint="eastAsia" w:ascii="宋体" w:hAnsi="宋体"/>
          <w:b/>
          <w:sz w:val="28"/>
          <w:szCs w:val="28"/>
          <w:u w:val="single"/>
        </w:rPr>
        <w:t xml:space="preserve">  </w:t>
      </w:r>
      <w:r>
        <w:rPr>
          <w:rFonts w:hint="eastAsia" w:ascii="宋体" w:hAnsi="宋体"/>
          <w:b/>
          <w:sz w:val="28"/>
          <w:szCs w:val="28"/>
        </w:rPr>
        <w:t xml:space="preserve"> 标段</w:t>
      </w:r>
    </w:p>
    <w:p w14:paraId="7B323880">
      <w:pPr>
        <w:spacing w:line="360" w:lineRule="auto"/>
        <w:jc w:val="center"/>
        <w:rPr>
          <w:rFonts w:ascii="宋体" w:hAnsi="宋体"/>
          <w:b/>
          <w:sz w:val="28"/>
          <w:szCs w:val="28"/>
        </w:rPr>
      </w:pPr>
      <w:r>
        <w:rPr>
          <w:rFonts w:hint="eastAsia" w:ascii="宋体" w:hAnsi="宋体"/>
          <w:b/>
          <w:sz w:val="28"/>
          <w:szCs w:val="28"/>
        </w:rPr>
        <w:t>（招标编码：</w:t>
      </w:r>
      <w:r>
        <w:rPr>
          <w:rFonts w:hint="eastAsia" w:ascii="宋体" w:hAnsi="宋体"/>
          <w:b/>
          <w:sz w:val="28"/>
          <w:szCs w:val="28"/>
          <w:u w:val="single"/>
        </w:rPr>
        <w:t xml:space="preserve">      </w:t>
      </w:r>
      <w:r>
        <w:rPr>
          <w:rFonts w:hint="eastAsia" w:ascii="宋体" w:hAnsi="宋体"/>
          <w:b/>
          <w:sz w:val="28"/>
          <w:szCs w:val="28"/>
          <w:u w:val="single"/>
          <w:lang w:val="en-US" w:eastAsia="zh-CN"/>
        </w:rPr>
        <w:t>/</w:t>
      </w:r>
      <w:r>
        <w:rPr>
          <w:rFonts w:hint="eastAsia" w:ascii="宋体" w:hAnsi="宋体"/>
          <w:b/>
          <w:sz w:val="28"/>
          <w:szCs w:val="28"/>
          <w:u w:val="single"/>
        </w:rPr>
        <w:t xml:space="preserve">       </w:t>
      </w:r>
      <w:r>
        <w:rPr>
          <w:rFonts w:hint="eastAsia" w:ascii="宋体" w:hAnsi="宋体"/>
          <w:b/>
          <w:sz w:val="28"/>
          <w:szCs w:val="28"/>
        </w:rPr>
        <w:t>）</w:t>
      </w:r>
    </w:p>
    <w:p w14:paraId="68E9D4D3">
      <w:pPr>
        <w:spacing w:line="360" w:lineRule="auto"/>
        <w:jc w:val="center"/>
        <w:rPr>
          <w:rFonts w:ascii="宋体" w:hAnsi="宋体"/>
          <w:b/>
          <w:sz w:val="28"/>
          <w:szCs w:val="28"/>
        </w:rPr>
      </w:pPr>
    </w:p>
    <w:p w14:paraId="6B5E4414">
      <w:pPr>
        <w:spacing w:line="360" w:lineRule="auto"/>
        <w:rPr>
          <w:rFonts w:ascii="宋体" w:hAnsi="宋体"/>
          <w:sz w:val="28"/>
          <w:szCs w:val="28"/>
        </w:rPr>
      </w:pPr>
    </w:p>
    <w:p w14:paraId="1AE7785C">
      <w:pPr>
        <w:spacing w:line="360" w:lineRule="auto"/>
        <w:jc w:val="center"/>
        <w:rPr>
          <w:rFonts w:ascii="宋体" w:hAnsi="宋体"/>
          <w:b/>
          <w:sz w:val="52"/>
        </w:rPr>
      </w:pPr>
      <w:r>
        <w:rPr>
          <w:rFonts w:hint="eastAsia" w:ascii="宋体" w:hAnsi="宋体"/>
          <w:b/>
          <w:sz w:val="52"/>
        </w:rPr>
        <w:t>招标文件</w:t>
      </w:r>
    </w:p>
    <w:p w14:paraId="097781A0">
      <w:pPr>
        <w:spacing w:line="360" w:lineRule="auto"/>
        <w:rPr>
          <w:rFonts w:ascii="宋体" w:hAnsi="宋体"/>
          <w:sz w:val="28"/>
          <w:szCs w:val="28"/>
        </w:rPr>
      </w:pPr>
    </w:p>
    <w:p w14:paraId="32339562">
      <w:pPr>
        <w:spacing w:line="360" w:lineRule="auto"/>
        <w:rPr>
          <w:rFonts w:ascii="宋体" w:hAnsi="宋体"/>
          <w:sz w:val="28"/>
          <w:szCs w:val="28"/>
        </w:rPr>
      </w:pPr>
    </w:p>
    <w:p w14:paraId="096A5C5A">
      <w:pPr>
        <w:spacing w:line="360" w:lineRule="auto"/>
        <w:ind w:firstLine="280" w:firstLineChars="100"/>
        <w:rPr>
          <w:rFonts w:ascii="宋体" w:hAnsi="宋体"/>
          <w:b/>
          <w:sz w:val="28"/>
          <w:szCs w:val="28"/>
        </w:rPr>
      </w:pPr>
      <w:r>
        <w:rPr>
          <w:rFonts w:hint="eastAsia" w:ascii="宋体" w:hAnsi="宋体"/>
          <w:sz w:val="28"/>
          <w:szCs w:val="28"/>
        </w:rPr>
        <w:t>招标人：</w:t>
      </w:r>
      <w:r>
        <w:rPr>
          <w:rFonts w:hint="eastAsia" w:ascii="宋体" w:hAnsi="宋体"/>
          <w:b/>
          <w:sz w:val="24"/>
          <w:u w:val="single"/>
        </w:rPr>
        <w:t xml:space="preserve"> </w:t>
      </w:r>
      <w:r>
        <w:rPr>
          <w:rFonts w:hint="eastAsia" w:ascii="宋体" w:hAnsi="宋体"/>
          <w:b/>
          <w:sz w:val="24"/>
          <w:u w:val="single"/>
          <w:lang w:eastAsia="zh-CN"/>
        </w:rPr>
        <w:t>雅安城市建设投资开发有限公司</w:t>
      </w:r>
      <w:r>
        <w:rPr>
          <w:rFonts w:hint="eastAsia" w:ascii="宋体" w:hAnsi="宋体"/>
          <w:b/>
          <w:sz w:val="24"/>
          <w:u w:val="single"/>
        </w:rPr>
        <w:t xml:space="preserve">  </w:t>
      </w:r>
      <w:r>
        <w:rPr>
          <w:rFonts w:hint="eastAsia" w:ascii="宋体" w:hAnsi="宋体"/>
          <w:b/>
          <w:sz w:val="28"/>
          <w:szCs w:val="28"/>
        </w:rPr>
        <w:t>（盖单位章）</w:t>
      </w:r>
    </w:p>
    <w:p w14:paraId="420E58C6">
      <w:pPr>
        <w:spacing w:line="360" w:lineRule="auto"/>
        <w:rPr>
          <w:rFonts w:ascii="宋体" w:hAnsi="宋体"/>
          <w:b/>
          <w:sz w:val="28"/>
          <w:szCs w:val="28"/>
        </w:rPr>
      </w:pPr>
    </w:p>
    <w:p w14:paraId="552CD577">
      <w:pPr>
        <w:spacing w:line="360" w:lineRule="auto"/>
        <w:rPr>
          <w:rFonts w:ascii="宋体" w:hAnsi="宋体"/>
          <w:b/>
          <w:sz w:val="28"/>
          <w:szCs w:val="28"/>
        </w:rPr>
      </w:pPr>
      <w:sdt>
        <w:sdtPr>
          <w:rPr>
            <w:rFonts w:hint="eastAsia" w:ascii="宋体" w:hAnsi="宋体"/>
            <w:sz w:val="28"/>
            <w:szCs w:val="28"/>
          </w:rPr>
          <w:id w:val="-98649992"/>
          <w14:checkbox>
            <w14:checked w14:val="0"/>
            <w14:checkedState w14:val="2611" w14:font="MS Gothic"/>
            <w14:uncheckedState w14:val="2610" w14:font="MS Gothic"/>
          </w14:checkbox>
        </w:sdtPr>
        <w:sdtEndPr>
          <w:rPr>
            <w:rFonts w:hint="eastAsia" w:ascii="宋体" w:hAnsi="宋体"/>
            <w:sz w:val="28"/>
            <w:szCs w:val="28"/>
          </w:rPr>
        </w:sdtEndPr>
        <w:sdtContent>
          <w:r>
            <w:rPr>
              <w:rFonts w:hint="eastAsia" w:ascii="MS Gothic" w:hAnsi="MS Gothic" w:eastAsia="MS Gothic" w:cs="MS Gothic"/>
              <w:sz w:val="28"/>
              <w:szCs w:val="28"/>
            </w:rPr>
            <w:t>☐</w:t>
          </w:r>
        </w:sdtContent>
      </w:sdt>
      <w:r>
        <w:rPr>
          <w:rFonts w:hint="eastAsia" w:ascii="宋体" w:hAnsi="宋体"/>
          <w:sz w:val="28"/>
          <w:szCs w:val="28"/>
        </w:rPr>
        <w:t>招标代理机构：</w:t>
      </w:r>
      <w:r>
        <w:rPr>
          <w:rFonts w:hint="eastAsia" w:ascii="宋体" w:hAnsi="宋体"/>
          <w:b/>
          <w:sz w:val="24"/>
          <w:u w:val="single"/>
        </w:rPr>
        <w:t xml:space="preserve">   /    </w:t>
      </w:r>
    </w:p>
    <w:p w14:paraId="52152D1E">
      <w:pPr>
        <w:spacing w:line="360" w:lineRule="auto"/>
      </w:pPr>
    </w:p>
    <w:p w14:paraId="655CA126">
      <w:pPr>
        <w:spacing w:line="360" w:lineRule="auto"/>
        <w:rPr>
          <w:rFonts w:ascii="宋体" w:hAnsi="宋体"/>
          <w:b/>
          <w:sz w:val="28"/>
          <w:szCs w:val="28"/>
        </w:rPr>
      </w:pPr>
      <w:sdt>
        <w:sdtPr>
          <w:rPr>
            <w:rFonts w:hint="eastAsia" w:ascii="宋体" w:hAnsi="宋体"/>
            <w:sz w:val="28"/>
            <w:szCs w:val="28"/>
          </w:rPr>
          <w:id w:val="-153843952"/>
          <w14:checkbox>
            <w14:checked w14:val="1"/>
            <w14:checkedState w14:val="2611" w14:font="MS Gothic"/>
            <w14:uncheckedState w14:val="2610" w14:font="MS Gothic"/>
          </w14:checkbox>
        </w:sdtPr>
        <w:sdtEndPr>
          <w:rPr>
            <w:rFonts w:hint="eastAsia" w:ascii="宋体" w:hAnsi="宋体"/>
            <w:sz w:val="28"/>
            <w:szCs w:val="28"/>
          </w:rPr>
        </w:sdtEndPr>
        <w:sdtContent>
          <w:r>
            <w:rPr>
              <w:rFonts w:hint="eastAsia" w:ascii="MS Gothic" w:hAnsi="MS Gothic" w:eastAsia="MS Gothic" w:cs="MS Gothic"/>
              <w:kern w:val="2"/>
              <w:sz w:val="28"/>
              <w:szCs w:val="28"/>
              <w:lang w:val="en-US" w:eastAsia="zh-CN" w:bidi="ar-SA"/>
            </w:rPr>
            <w:t>☑</w:t>
          </w:r>
        </w:sdtContent>
      </w:sdt>
      <w:r>
        <w:rPr>
          <w:rFonts w:hint="eastAsia" w:ascii="宋体" w:hAnsi="宋体"/>
          <w:sz w:val="28"/>
          <w:szCs w:val="28"/>
        </w:rPr>
        <w:t>招标代理机构：</w:t>
      </w:r>
      <w:r>
        <w:rPr>
          <w:rFonts w:hint="eastAsia" w:ascii="宋体" w:hAnsi="宋体"/>
          <w:b/>
          <w:sz w:val="24"/>
          <w:u w:val="single"/>
        </w:rPr>
        <w:t xml:space="preserve">  </w:t>
      </w:r>
      <w:r>
        <w:rPr>
          <w:rFonts w:hint="eastAsia" w:ascii="仿宋_GB2312" w:eastAsia="仿宋_GB2312"/>
          <w:b/>
          <w:bCs/>
          <w:sz w:val="28"/>
          <w:u w:val="single"/>
          <w:lang w:eastAsia="zh-CN"/>
        </w:rPr>
        <w:t xml:space="preserve"> </w:t>
      </w:r>
      <w:r>
        <w:rPr>
          <w:rFonts w:hint="eastAsia" w:ascii="仿宋_GB2312" w:eastAsia="仿宋_GB2312"/>
          <w:b/>
          <w:bCs/>
          <w:sz w:val="28"/>
          <w:u w:val="single"/>
          <w:lang w:val="en-US" w:eastAsia="zh-CN"/>
        </w:rPr>
        <w:t xml:space="preserve">  </w:t>
      </w:r>
      <w:r>
        <w:rPr>
          <w:rFonts w:hint="eastAsia" w:ascii="宋体" w:hAnsi="宋体"/>
          <w:b/>
          <w:sz w:val="24"/>
          <w:u w:val="single"/>
        </w:rPr>
        <w:t xml:space="preserve">  </w:t>
      </w:r>
      <w:r>
        <w:rPr>
          <w:rFonts w:hint="eastAsia" w:ascii="宋体" w:hAnsi="宋体"/>
          <w:b/>
          <w:sz w:val="28"/>
          <w:szCs w:val="28"/>
        </w:rPr>
        <w:t>（盖单位章）</w:t>
      </w:r>
    </w:p>
    <w:p w14:paraId="3468E0CD">
      <w:pPr>
        <w:spacing w:line="360" w:lineRule="auto"/>
        <w:rPr>
          <w:rFonts w:ascii="宋体" w:hAnsi="宋体"/>
          <w:b/>
          <w:sz w:val="28"/>
          <w:szCs w:val="28"/>
        </w:rPr>
      </w:pPr>
    </w:p>
    <w:p w14:paraId="581D6E9D">
      <w:pPr>
        <w:spacing w:line="360" w:lineRule="auto"/>
        <w:ind w:firstLine="280" w:firstLineChars="100"/>
        <w:rPr>
          <w:rFonts w:ascii="宋体" w:hAnsi="宋体"/>
          <w:b/>
          <w:sz w:val="28"/>
          <w:szCs w:val="28"/>
        </w:rPr>
      </w:pPr>
      <w:r>
        <w:rPr>
          <w:rFonts w:hint="eastAsia" w:ascii="宋体" w:hAnsi="宋体"/>
          <w:sz w:val="28"/>
          <w:szCs w:val="28"/>
        </w:rPr>
        <w:t>招标代理机构项目负责人：</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b/>
          <w:sz w:val="28"/>
          <w:szCs w:val="28"/>
        </w:rPr>
        <w:t>（盖从业印章）</w:t>
      </w:r>
    </w:p>
    <w:p w14:paraId="73BFDCB4">
      <w:pPr>
        <w:spacing w:line="360" w:lineRule="auto"/>
        <w:rPr>
          <w:rFonts w:ascii="宋体" w:hAnsi="宋体"/>
          <w:b/>
          <w:sz w:val="28"/>
          <w:szCs w:val="28"/>
        </w:rPr>
      </w:pPr>
    </w:p>
    <w:p w14:paraId="2246F89D">
      <w:pPr>
        <w:spacing w:line="360" w:lineRule="auto"/>
        <w:ind w:firstLine="280" w:firstLineChars="100"/>
        <w:rPr>
          <w:rFonts w:ascii="宋体" w:hAnsi="宋体"/>
          <w:sz w:val="28"/>
          <w:szCs w:val="28"/>
        </w:rPr>
      </w:pPr>
      <w:r>
        <w:rPr>
          <w:rFonts w:hint="eastAsia" w:ascii="宋体" w:hAnsi="宋体"/>
          <w:sz w:val="28"/>
          <w:szCs w:val="28"/>
        </w:rPr>
        <w:t>招标文件编制人员：</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8"/>
          <w:szCs w:val="28"/>
        </w:rPr>
        <w:t>（盖从业印章）</w:t>
      </w:r>
    </w:p>
    <w:p w14:paraId="4C00A770">
      <w:pPr>
        <w:spacing w:line="360" w:lineRule="auto"/>
        <w:rPr>
          <w:rFonts w:ascii="宋体" w:hAnsi="宋体"/>
          <w:sz w:val="28"/>
          <w:szCs w:val="28"/>
        </w:rPr>
      </w:pPr>
    </w:p>
    <w:p w14:paraId="067FF7D1">
      <w:pPr>
        <w:spacing w:line="360" w:lineRule="auto"/>
        <w:ind w:firstLine="280" w:firstLineChars="100"/>
        <w:rPr>
          <w:rFonts w:ascii="宋体" w:hAnsi="宋体"/>
          <w:sz w:val="28"/>
          <w:szCs w:val="28"/>
        </w:rPr>
      </w:pPr>
      <w:r>
        <w:rPr>
          <w:rFonts w:hint="eastAsia" w:ascii="宋体" w:hAnsi="宋体"/>
          <w:sz w:val="28"/>
          <w:szCs w:val="28"/>
        </w:rPr>
        <w:t>附件:</w:t>
      </w:r>
      <w:r>
        <w:rPr>
          <w:rFonts w:hint="eastAsia" w:ascii="宋体" w:hAnsi="宋体"/>
          <w:b/>
          <w:sz w:val="28"/>
          <w:szCs w:val="28"/>
          <w:u w:val="single"/>
        </w:rPr>
        <w:t xml:space="preserve"> </w:t>
      </w:r>
      <w:r>
        <w:rPr>
          <w:rFonts w:hint="eastAsia" w:ascii="宋体" w:hAnsi="宋体"/>
          <w:b/>
          <w:sz w:val="28"/>
          <w:szCs w:val="28"/>
          <w:u w:val="single"/>
          <w:lang w:val="en-US" w:eastAsia="zh-CN"/>
        </w:rPr>
        <w:t>/</w:t>
      </w:r>
      <w:r>
        <w:rPr>
          <w:rFonts w:hint="eastAsia" w:ascii="宋体" w:hAnsi="宋体"/>
          <w:b/>
          <w:sz w:val="28"/>
          <w:szCs w:val="28"/>
          <w:u w:val="single"/>
        </w:rPr>
        <w:t xml:space="preserve">  </w:t>
      </w:r>
    </w:p>
    <w:p w14:paraId="79E47087">
      <w:pPr>
        <w:spacing w:line="360" w:lineRule="auto"/>
        <w:jc w:val="center"/>
        <w:rPr>
          <w:rFonts w:ascii="宋体" w:hAnsi="宋体"/>
          <w:sz w:val="28"/>
          <w:szCs w:val="28"/>
        </w:rPr>
      </w:pPr>
      <w:r>
        <w:rPr>
          <w:rFonts w:hint="eastAsia" w:ascii="宋体" w:hAnsi="宋体"/>
          <w:b/>
          <w:sz w:val="28"/>
          <w:szCs w:val="28"/>
          <w:u w:val="single"/>
        </w:rPr>
        <w:t xml:space="preserve"> </w:t>
      </w:r>
      <w:r>
        <w:rPr>
          <w:rFonts w:hint="eastAsia" w:ascii="宋体" w:hAnsi="宋体"/>
          <w:b/>
          <w:sz w:val="28"/>
          <w:szCs w:val="28"/>
          <w:u w:val="single"/>
          <w:lang w:val="en-US" w:eastAsia="zh-CN"/>
        </w:rPr>
        <w:t>2025</w:t>
      </w:r>
      <w:r>
        <w:rPr>
          <w:rFonts w:hint="eastAsia" w:ascii="宋体" w:hAnsi="宋体"/>
          <w:b/>
          <w:sz w:val="28"/>
          <w:szCs w:val="28"/>
          <w:u w:val="single"/>
        </w:rPr>
        <w:t xml:space="preserve">  </w:t>
      </w:r>
      <w:r>
        <w:rPr>
          <w:rFonts w:hint="eastAsia" w:ascii="宋体" w:hAnsi="宋体"/>
          <w:sz w:val="28"/>
          <w:szCs w:val="28"/>
        </w:rPr>
        <w:t>年</w:t>
      </w:r>
      <w:r>
        <w:rPr>
          <w:rFonts w:hint="eastAsia" w:ascii="宋体" w:hAnsi="宋体"/>
          <w:b/>
          <w:sz w:val="28"/>
          <w:szCs w:val="28"/>
          <w:u w:val="single"/>
        </w:rPr>
        <w:t xml:space="preserve"> </w:t>
      </w:r>
      <w:r>
        <w:rPr>
          <w:rFonts w:hint="eastAsia" w:ascii="宋体" w:hAnsi="宋体"/>
          <w:b/>
          <w:sz w:val="28"/>
          <w:szCs w:val="28"/>
          <w:u w:val="single"/>
          <w:lang w:val="en-US" w:eastAsia="zh-CN"/>
        </w:rPr>
        <w:t xml:space="preserve"> </w:t>
      </w:r>
      <w:r>
        <w:rPr>
          <w:rFonts w:hint="eastAsia" w:ascii="宋体" w:hAnsi="宋体"/>
          <w:b/>
          <w:sz w:val="28"/>
          <w:szCs w:val="28"/>
          <w:u w:val="single"/>
        </w:rPr>
        <w:t xml:space="preserve"> </w:t>
      </w:r>
      <w:r>
        <w:rPr>
          <w:rFonts w:hint="eastAsia" w:ascii="宋体" w:hAnsi="宋体"/>
          <w:sz w:val="28"/>
          <w:szCs w:val="28"/>
        </w:rPr>
        <w:t>月</w:t>
      </w:r>
      <w:r>
        <w:rPr>
          <w:rFonts w:hint="eastAsia" w:ascii="宋体" w:hAnsi="宋体"/>
          <w:b/>
          <w:sz w:val="28"/>
          <w:szCs w:val="28"/>
          <w:u w:val="single"/>
        </w:rPr>
        <w:t xml:space="preserve"> </w:t>
      </w:r>
      <w:r>
        <w:rPr>
          <w:rFonts w:hint="eastAsia" w:ascii="宋体" w:hAnsi="宋体"/>
          <w:b/>
          <w:sz w:val="28"/>
          <w:szCs w:val="28"/>
          <w:u w:val="single"/>
          <w:lang w:val="en-US" w:eastAsia="zh-CN"/>
        </w:rPr>
        <w:t xml:space="preserve"> </w:t>
      </w:r>
      <w:r>
        <w:rPr>
          <w:rFonts w:hint="eastAsia" w:ascii="宋体" w:hAnsi="宋体"/>
          <w:b/>
          <w:sz w:val="28"/>
          <w:szCs w:val="28"/>
          <w:u w:val="single"/>
        </w:rPr>
        <w:t xml:space="preserve">  </w:t>
      </w:r>
      <w:r>
        <w:rPr>
          <w:rFonts w:hint="eastAsia" w:ascii="宋体" w:hAnsi="宋体"/>
          <w:sz w:val="28"/>
          <w:szCs w:val="28"/>
        </w:rPr>
        <w:t>日</w:t>
      </w:r>
    </w:p>
    <w:p w14:paraId="4B7D729F">
      <w:pPr>
        <w:spacing w:line="360" w:lineRule="auto"/>
        <w:jc w:val="center"/>
        <w:rPr>
          <w:rFonts w:ascii="宋体" w:hAnsi="宋体"/>
          <w:sz w:val="28"/>
          <w:szCs w:val="28"/>
        </w:rPr>
      </w:pPr>
    </w:p>
    <w:p w14:paraId="5453A1D3">
      <w:pPr>
        <w:spacing w:line="360" w:lineRule="auto"/>
        <w:rPr>
          <w:rFonts w:ascii="宋体" w:hAnsi="宋体" w:cs="宋体"/>
          <w:sz w:val="24"/>
        </w:rPr>
      </w:pPr>
      <w:r>
        <w:rPr>
          <w:rFonts w:hint="eastAsia" w:ascii="宋体" w:hAnsi="宋体" w:cs="宋体"/>
          <w:sz w:val="24"/>
        </w:rPr>
        <w:t xml:space="preserve"> 注：实行委托招标组织形式的，招标代理机构项目负责人和招标文件编制人员应是招标人和招标代理机构双方签订的委托招标代理合同载明的项目负责人和主要专职技术人员。</w:t>
      </w:r>
    </w:p>
    <w:p w14:paraId="6E43EE0C">
      <w:pPr>
        <w:spacing w:line="360" w:lineRule="auto"/>
        <w:jc w:val="center"/>
        <w:rPr>
          <w:rFonts w:ascii="宋体" w:hAnsi="宋体"/>
          <w:sz w:val="28"/>
          <w:szCs w:val="28"/>
        </w:rPr>
        <w:sectPr>
          <w:pgSz w:w="11906" w:h="16838"/>
          <w:pgMar w:top="1417" w:right="1417" w:bottom="1417" w:left="1417" w:header="851" w:footer="850" w:gutter="0"/>
          <w:cols w:space="720" w:num="1"/>
          <w:docGrid w:type="lines" w:linePitch="312" w:charSpace="0"/>
        </w:sectPr>
      </w:pPr>
    </w:p>
    <w:bookmarkEnd w:id="0"/>
    <w:bookmarkEnd w:id="1"/>
    <w:p w14:paraId="558D0D96">
      <w:pPr>
        <w:pStyle w:val="3"/>
        <w:jc w:val="center"/>
        <w:rPr>
          <w:rFonts w:ascii="宋体" w:hAnsi="宋体" w:cs="宋体"/>
          <w:sz w:val="32"/>
          <w:szCs w:val="32"/>
        </w:rPr>
      </w:pPr>
      <w:bookmarkStart w:id="2" w:name="_Toc247527533"/>
      <w:bookmarkStart w:id="3" w:name="_Toc247513932"/>
      <w:bookmarkStart w:id="4" w:name="_Toc152045511"/>
      <w:bookmarkStart w:id="5" w:name="_Toc152042287"/>
      <w:bookmarkStart w:id="6" w:name="_Toc144974479"/>
      <w:r>
        <w:rPr>
          <w:rFonts w:hint="eastAsia" w:ascii="宋体" w:hAnsi="宋体" w:cs="宋体"/>
          <w:sz w:val="32"/>
          <w:szCs w:val="32"/>
        </w:rPr>
        <w:t>目  录</w:t>
      </w:r>
    </w:p>
    <w:p w14:paraId="669E3E26"/>
    <w:p w14:paraId="39D87315">
      <w:pPr>
        <w:pStyle w:val="44"/>
        <w:tabs>
          <w:tab w:val="right" w:leader="dot" w:pos="9072"/>
        </w:tabs>
        <w:spacing w:line="480" w:lineRule="auto"/>
        <w:rPr>
          <w:rFonts w:ascii="宋体" w:hAnsi="宋体" w:cs="宋体"/>
          <w:sz w:val="24"/>
          <w:szCs w:val="24"/>
        </w:rPr>
      </w:pPr>
      <w:bookmarkStart w:id="7" w:name="_Toc19433_WPSOffice_Type1"/>
      <w:r>
        <w:fldChar w:fldCharType="begin"/>
      </w:r>
      <w:r>
        <w:instrText xml:space="preserve"> HYPERLINK \l "_Toc29583_WPSOffice_Level1" </w:instrText>
      </w:r>
      <w:r>
        <w:fldChar w:fldCharType="separate"/>
      </w:r>
      <w:r>
        <w:rPr>
          <w:rFonts w:hint="eastAsia" w:ascii="MS Gothic" w:hAnsi="MS Gothic" w:eastAsia="MS Gothic"/>
          <w:sz w:val="27"/>
          <w:szCs w:val="22"/>
        </w:rPr>
        <w:t>☑</w:t>
      </w:r>
      <w:r>
        <w:rPr>
          <w:rFonts w:hint="eastAsia" w:ascii="宋体" w:hAnsi="宋体" w:cs="宋体"/>
          <w:sz w:val="24"/>
          <w:szCs w:val="24"/>
        </w:rPr>
        <w:t>第一章 招标公告（适用于公开招标）</w:t>
      </w:r>
      <w:r>
        <w:rPr>
          <w:rFonts w:hint="eastAsia" w:ascii="宋体" w:hAnsi="宋体" w:cs="宋体"/>
          <w:sz w:val="24"/>
          <w:szCs w:val="24"/>
        </w:rPr>
        <w:fldChar w:fldCharType="end"/>
      </w:r>
    </w:p>
    <w:p w14:paraId="3515A9FC">
      <w:pPr>
        <w:pStyle w:val="44"/>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第二章 投标人须知</w:t>
      </w:r>
    </w:p>
    <w:p w14:paraId="7F1F7F9D">
      <w:pPr>
        <w:pStyle w:val="44"/>
        <w:tabs>
          <w:tab w:val="right" w:leader="dot" w:pos="9072"/>
        </w:tabs>
        <w:spacing w:line="480" w:lineRule="auto"/>
        <w:ind w:firstLine="200" w:firstLineChars="100"/>
        <w:rPr>
          <w:rFonts w:ascii="宋体" w:hAnsi="宋体" w:cs="宋体"/>
          <w:sz w:val="24"/>
          <w:szCs w:val="24"/>
        </w:rPr>
      </w:pPr>
      <w:r>
        <w:fldChar w:fldCharType="begin"/>
      </w:r>
      <w:r>
        <w:instrText xml:space="preserve"> HYPERLINK \l "_Toc1561_WPSOffice_Level1" </w:instrText>
      </w:r>
      <w:r>
        <w:fldChar w:fldCharType="separate"/>
      </w:r>
      <w:r>
        <w:rPr>
          <w:rFonts w:hint="eastAsia" w:ascii="宋体" w:hAnsi="宋体" w:cs="宋体"/>
          <w:sz w:val="24"/>
          <w:szCs w:val="24"/>
        </w:rPr>
        <w:t>第三章 评标办法（综合评估法）</w:t>
      </w:r>
      <w:r>
        <w:rPr>
          <w:rFonts w:hint="eastAsia" w:ascii="宋体" w:hAnsi="宋体" w:cs="宋体"/>
          <w:sz w:val="24"/>
          <w:szCs w:val="24"/>
        </w:rPr>
        <w:fldChar w:fldCharType="end"/>
      </w:r>
    </w:p>
    <w:p w14:paraId="6C913AEB">
      <w:pPr>
        <w:pStyle w:val="44"/>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第四章 合同条款及格式</w:t>
      </w:r>
      <w:bookmarkEnd w:id="7"/>
    </w:p>
    <w:p w14:paraId="406D1BCC">
      <w:pPr>
        <w:pStyle w:val="44"/>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第五章 发包人要求</w:t>
      </w:r>
    </w:p>
    <w:p w14:paraId="06B1BBD6">
      <w:pPr>
        <w:pStyle w:val="44"/>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第六章 发包人提供的资料</w:t>
      </w:r>
    </w:p>
    <w:p w14:paraId="656A45B0">
      <w:pPr>
        <w:pStyle w:val="44"/>
        <w:tabs>
          <w:tab w:val="right" w:leader="dot" w:pos="9072"/>
        </w:tabs>
        <w:spacing w:line="480" w:lineRule="auto"/>
        <w:ind w:firstLine="240" w:firstLineChars="100"/>
        <w:rPr>
          <w:rFonts w:ascii="宋体" w:hAnsi="宋体" w:cs="宋体"/>
          <w:sz w:val="24"/>
          <w:szCs w:val="24"/>
        </w:rPr>
        <w:sectPr>
          <w:footerReference r:id="rId3" w:type="default"/>
          <w:pgSz w:w="11906" w:h="16838"/>
          <w:pgMar w:top="1417" w:right="1417" w:bottom="1417" w:left="1417" w:header="851" w:footer="850" w:gutter="0"/>
          <w:pgNumType w:start="1"/>
          <w:cols w:space="720" w:num="1"/>
          <w:docGrid w:type="lines" w:linePitch="312" w:charSpace="0"/>
        </w:sectPr>
      </w:pPr>
      <w:r>
        <w:rPr>
          <w:rFonts w:hint="eastAsia" w:ascii="宋体" w:hAnsi="宋体" w:cs="宋体"/>
          <w:sz w:val="24"/>
          <w:szCs w:val="24"/>
        </w:rPr>
        <w:t>第七章 投标文件格式</w:t>
      </w:r>
    </w:p>
    <w:p w14:paraId="7735728D">
      <w:pPr>
        <w:pStyle w:val="3"/>
        <w:widowControl/>
        <w:jc w:val="center"/>
        <w:rPr>
          <w:rFonts w:ascii="宋体" w:hAnsi="宋体" w:cs="宋体"/>
          <w:bCs w:val="0"/>
          <w:sz w:val="32"/>
          <w:szCs w:val="32"/>
        </w:rPr>
      </w:pPr>
      <w:bookmarkStart w:id="8" w:name="_Toc300834927"/>
      <w:r>
        <w:rPr>
          <w:rFonts w:hint="eastAsia" w:ascii="宋体" w:hAnsi="宋体" w:cs="宋体"/>
          <w:bCs w:val="0"/>
          <w:sz w:val="32"/>
          <w:szCs w:val="32"/>
        </w:rPr>
        <w:t>第一卷</w:t>
      </w:r>
      <w:bookmarkEnd w:id="2"/>
      <w:bookmarkEnd w:id="3"/>
      <w:bookmarkEnd w:id="8"/>
    </w:p>
    <w:p w14:paraId="3910C4E3">
      <w:pPr>
        <w:pStyle w:val="3"/>
        <w:jc w:val="center"/>
        <w:rPr>
          <w:rFonts w:ascii="宋体" w:hAnsi="宋体" w:cs="宋体"/>
          <w:bCs w:val="0"/>
          <w:sz w:val="32"/>
          <w:szCs w:val="32"/>
        </w:rPr>
      </w:pPr>
      <w:r>
        <w:br w:type="page"/>
      </w:r>
      <w:bookmarkStart w:id="9" w:name="_Toc247513933"/>
      <w:bookmarkStart w:id="10" w:name="_Toc247527534"/>
      <w:bookmarkStart w:id="11" w:name="_Toc300834928"/>
      <w:r>
        <w:rPr>
          <w:rFonts w:hint="eastAsia" w:ascii="宋体" w:hAnsi="宋体" w:cs="宋体"/>
          <w:bCs w:val="0"/>
          <w:sz w:val="32"/>
          <w:szCs w:val="32"/>
        </w:rPr>
        <w:t>第一章 招标公告（未进行资格预审，适用于公开招标）</w:t>
      </w:r>
      <w:bookmarkEnd w:id="4"/>
      <w:bookmarkEnd w:id="5"/>
      <w:bookmarkEnd w:id="6"/>
      <w:bookmarkEnd w:id="9"/>
      <w:bookmarkEnd w:id="10"/>
      <w:bookmarkEnd w:id="11"/>
    </w:p>
    <w:p w14:paraId="27666D31">
      <w:pPr>
        <w:tabs>
          <w:tab w:val="center" w:pos="4153"/>
        </w:tabs>
        <w:spacing w:line="440" w:lineRule="exact"/>
        <w:rPr>
          <w:rFonts w:eastAsia="黑体"/>
          <w:sz w:val="17"/>
          <w:szCs w:val="17"/>
        </w:rPr>
      </w:pPr>
    </w:p>
    <w:p w14:paraId="79616D0B">
      <w:pPr>
        <w:adjustRightInd w:val="0"/>
        <w:snapToGrid w:val="0"/>
        <w:spacing w:line="360" w:lineRule="auto"/>
        <w:jc w:val="center"/>
        <w:rPr>
          <w:rFonts w:ascii="宋体" w:hAnsi="宋体"/>
          <w:b/>
          <w:sz w:val="28"/>
          <w:szCs w:val="28"/>
        </w:rPr>
      </w:pPr>
      <w:r>
        <w:rPr>
          <w:rFonts w:hint="eastAsia" w:ascii="宋体" w:hAnsi="宋体"/>
          <w:b/>
          <w:sz w:val="28"/>
          <w:szCs w:val="28"/>
          <w:u w:val="single"/>
        </w:rPr>
        <w:t xml:space="preserve"> </w:t>
      </w:r>
      <w:r>
        <w:rPr>
          <w:rFonts w:hint="eastAsia" w:ascii="宋体" w:hAnsi="宋体"/>
          <w:b/>
          <w:sz w:val="28"/>
          <w:szCs w:val="28"/>
          <w:u w:val="single"/>
          <w:lang w:eastAsia="zh-CN"/>
        </w:rPr>
        <w:t>雅安市雨城区河北裘家巷-大兴前进片区城中村改造项目配套基础设施建设项目</w:t>
      </w:r>
      <w:r>
        <w:rPr>
          <w:rFonts w:hint="eastAsia" w:ascii="宋体" w:hAnsi="宋体"/>
          <w:b/>
          <w:sz w:val="28"/>
          <w:szCs w:val="28"/>
          <w:u w:val="single"/>
        </w:rPr>
        <w:t xml:space="preserve">  </w:t>
      </w:r>
      <w:r>
        <w:rPr>
          <w:rFonts w:hint="eastAsia" w:ascii="宋体" w:hAnsi="宋体"/>
          <w:b/>
          <w:sz w:val="28"/>
          <w:szCs w:val="28"/>
        </w:rPr>
        <w:t xml:space="preserve">(项目名称)设计施工总承包 </w:t>
      </w:r>
      <w:r>
        <w:rPr>
          <w:rFonts w:hint="eastAsia" w:ascii="宋体" w:hAnsi="宋体"/>
          <w:b/>
          <w:sz w:val="28"/>
          <w:szCs w:val="28"/>
          <w:u w:val="single"/>
        </w:rPr>
        <w:t xml:space="preserve">  </w:t>
      </w:r>
      <w:r>
        <w:rPr>
          <w:rFonts w:hint="eastAsia" w:ascii="宋体" w:hAnsi="宋体"/>
          <w:b/>
          <w:sz w:val="28"/>
          <w:szCs w:val="28"/>
          <w:u w:val="single"/>
          <w:lang w:val="en-US" w:eastAsia="zh-CN"/>
        </w:rPr>
        <w:t>/</w:t>
      </w:r>
      <w:r>
        <w:rPr>
          <w:rFonts w:hint="eastAsia" w:ascii="宋体" w:hAnsi="宋体"/>
          <w:b/>
          <w:sz w:val="28"/>
          <w:szCs w:val="28"/>
          <w:u w:val="single"/>
        </w:rPr>
        <w:t xml:space="preserve">  </w:t>
      </w:r>
      <w:r>
        <w:rPr>
          <w:rFonts w:hint="eastAsia" w:ascii="宋体" w:hAnsi="宋体"/>
          <w:b/>
          <w:sz w:val="28"/>
          <w:szCs w:val="28"/>
        </w:rPr>
        <w:t xml:space="preserve"> 标段</w:t>
      </w:r>
    </w:p>
    <w:p w14:paraId="442EE16F">
      <w:pPr>
        <w:adjustRightInd w:val="0"/>
        <w:snapToGrid w:val="0"/>
        <w:spacing w:line="360" w:lineRule="auto"/>
        <w:jc w:val="center"/>
        <w:rPr>
          <w:rFonts w:ascii="宋体" w:hAnsi="宋体"/>
          <w:b/>
          <w:sz w:val="28"/>
          <w:szCs w:val="28"/>
        </w:rPr>
      </w:pPr>
      <w:r>
        <w:rPr>
          <w:rFonts w:hint="eastAsia" w:ascii="宋体" w:hAnsi="宋体"/>
          <w:b/>
          <w:sz w:val="28"/>
          <w:szCs w:val="28"/>
        </w:rPr>
        <w:t>招标公告</w:t>
      </w:r>
    </w:p>
    <w:p w14:paraId="0E5B029D">
      <w:pPr>
        <w:spacing w:line="440" w:lineRule="exact"/>
        <w:jc w:val="center"/>
        <w:rPr>
          <w:rFonts w:eastAsia="黑体"/>
          <w:sz w:val="28"/>
          <w:szCs w:val="28"/>
        </w:rPr>
      </w:pPr>
    </w:p>
    <w:p w14:paraId="70ADB5F6">
      <w:pPr>
        <w:spacing w:line="440" w:lineRule="exact"/>
        <w:jc w:val="center"/>
        <w:rPr>
          <w:rFonts w:eastAsia="黑体"/>
          <w:sz w:val="20"/>
          <w:szCs w:val="20"/>
        </w:rPr>
      </w:pPr>
      <w:r>
        <w:rPr>
          <w:rFonts w:eastAsia="黑体"/>
          <w:sz w:val="29"/>
          <w:szCs w:val="29"/>
        </w:rPr>
        <w:t xml:space="preserve"> </w:t>
      </w:r>
      <w:r>
        <w:rPr>
          <w:rFonts w:eastAsia="黑体"/>
          <w:sz w:val="20"/>
          <w:szCs w:val="20"/>
        </w:rPr>
        <w:t xml:space="preserve">               </w:t>
      </w:r>
    </w:p>
    <w:p w14:paraId="561C716B">
      <w:pPr>
        <w:pStyle w:val="4"/>
        <w:rPr>
          <w:rFonts w:ascii="宋体" w:hAnsi="宋体" w:eastAsia="宋体"/>
          <w:bCs w:val="0"/>
          <w:kern w:val="0"/>
          <w:sz w:val="24"/>
          <w:szCs w:val="24"/>
        </w:rPr>
      </w:pPr>
      <w:bookmarkStart w:id="12" w:name="_Toc144974480"/>
      <w:bookmarkStart w:id="13" w:name="_Toc300834929"/>
      <w:bookmarkStart w:id="14" w:name="_Toc247527535"/>
      <w:bookmarkStart w:id="15" w:name="_Toc247513934"/>
      <w:bookmarkStart w:id="16" w:name="_Toc152042288"/>
      <w:bookmarkStart w:id="17" w:name="_Toc152045512"/>
      <w:r>
        <w:rPr>
          <w:rFonts w:hint="eastAsia" w:ascii="宋体" w:hAnsi="宋体" w:eastAsia="宋体"/>
          <w:bCs w:val="0"/>
          <w:kern w:val="0"/>
          <w:sz w:val="24"/>
          <w:szCs w:val="24"/>
        </w:rPr>
        <w:t>1. 招标条件</w:t>
      </w:r>
      <w:bookmarkEnd w:id="12"/>
      <w:bookmarkEnd w:id="13"/>
      <w:bookmarkEnd w:id="14"/>
      <w:bookmarkEnd w:id="15"/>
      <w:bookmarkEnd w:id="16"/>
      <w:bookmarkEnd w:id="17"/>
    </w:p>
    <w:p w14:paraId="4B989EA2">
      <w:pPr>
        <w:adjustRightInd w:val="0"/>
        <w:snapToGrid w:val="0"/>
        <w:spacing w:line="360" w:lineRule="auto"/>
        <w:rPr>
          <w:rFonts w:ascii="宋体" w:hAnsi="宋体"/>
          <w:sz w:val="24"/>
        </w:rPr>
      </w:pPr>
      <w:r>
        <w:rPr>
          <w:szCs w:val="21"/>
        </w:rPr>
        <w:t>　　</w:t>
      </w:r>
      <w:r>
        <w:rPr>
          <w:sz w:val="24"/>
        </w:rPr>
        <w:t xml:space="preserve"> </w:t>
      </w:r>
      <w:r>
        <w:rPr>
          <w:rFonts w:hint="eastAsia" w:ascii="宋体" w:hAnsi="宋体"/>
          <w:sz w:val="24"/>
        </w:rPr>
        <w:t>1.1本招标项目</w:t>
      </w:r>
      <w:r>
        <w:rPr>
          <w:rFonts w:hint="eastAsia" w:ascii="宋体" w:hAnsi="宋体"/>
          <w:b/>
          <w:sz w:val="24"/>
          <w:u w:val="single"/>
        </w:rPr>
        <w:t xml:space="preserve"> </w:t>
      </w:r>
      <w:r>
        <w:rPr>
          <w:rFonts w:hint="eastAsia" w:ascii="宋体" w:hAnsi="宋体"/>
          <w:b/>
          <w:bCs/>
          <w:sz w:val="24"/>
          <w:u w:val="single"/>
          <w:lang w:eastAsia="zh-CN" w:bidi="en-US"/>
        </w:rPr>
        <w:t>雅安市雨城区河北裘家巷-大兴前进片区城中村改造项目配套基础设施建设项目</w:t>
      </w:r>
      <w:r>
        <w:rPr>
          <w:rFonts w:hint="eastAsia" w:ascii="宋体" w:hAnsi="宋体"/>
          <w:b/>
          <w:sz w:val="24"/>
          <w:u w:val="single"/>
        </w:rPr>
        <w:t xml:space="preserve">  </w:t>
      </w:r>
      <w:r>
        <w:rPr>
          <w:rFonts w:hint="eastAsia" w:ascii="宋体" w:hAnsi="宋体"/>
          <w:sz w:val="24"/>
        </w:rPr>
        <w:t>(项目名称)已由</w:t>
      </w:r>
      <w:r>
        <w:rPr>
          <w:rFonts w:hint="eastAsia" w:ascii="宋体" w:hAnsi="宋体"/>
          <w:b/>
          <w:color w:val="000000" w:themeColor="text1"/>
          <w:sz w:val="24"/>
          <w:highlight w:val="none"/>
          <w:u w:val="single"/>
          <w14:textFill>
            <w14:solidFill>
              <w14:schemeClr w14:val="tx1"/>
            </w14:solidFill>
          </w14:textFill>
        </w:rPr>
        <w:t xml:space="preserve"> </w:t>
      </w:r>
      <w:r>
        <w:rPr>
          <w:rFonts w:hint="default" w:ascii="宋体" w:hAnsi="宋体"/>
          <w:b/>
          <w:color w:val="000000" w:themeColor="text1"/>
          <w:sz w:val="24"/>
          <w:highlight w:val="none"/>
          <w:u w:val="single"/>
          <w:lang w:val="en"/>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(项目审批、核准或备案机关名称)以</w:t>
      </w:r>
      <w:r>
        <w:rPr>
          <w:rFonts w:hint="eastAsia" w:ascii="宋体" w:hAnsi="宋体"/>
          <w:b/>
          <w:color w:val="000000" w:themeColor="text1"/>
          <w:sz w:val="28"/>
          <w:szCs w:val="28"/>
          <w:highlight w:val="none"/>
          <w:u w:val="single"/>
          <w:lang w:eastAsia="zh-CN"/>
          <w14:textFill>
            <w14:solidFill>
              <w14:schemeClr w14:val="tx1"/>
            </w14:solidFill>
          </w14:textFill>
        </w:rPr>
        <w:t xml:space="preserve">  </w:t>
      </w:r>
      <w:r>
        <w:rPr>
          <w:rFonts w:hint="eastAsia" w:ascii="宋体" w:hAnsi="宋体"/>
          <w:b/>
          <w:bCs/>
          <w:color w:val="000000" w:themeColor="text1"/>
          <w:sz w:val="24"/>
          <w:highlight w:val="none"/>
          <w:u w:val="single"/>
          <w:lang w:val="en-US" w:eastAsia="zh-CN" w:bidi="en-US"/>
          <w14:textFill>
            <w14:solidFill>
              <w14:schemeClr w14:val="tx1"/>
            </w14:solidFill>
          </w14:textFill>
        </w:rPr>
        <w:t xml:space="preserve"> </w:t>
      </w:r>
      <w:r>
        <w:rPr>
          <w:rFonts w:hint="eastAsia" w:ascii="宋体" w:hAnsi="宋体"/>
          <w:b/>
          <w:color w:val="000000" w:themeColor="text1"/>
          <w:sz w:val="28"/>
          <w:szCs w:val="28"/>
          <w:highlight w:val="none"/>
          <w:u w:val="singl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批文名称及编号）批准建设，项目业主为</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lang w:eastAsia="zh-CN"/>
          <w14:textFill>
            <w14:solidFill>
              <w14:schemeClr w14:val="tx1"/>
            </w14:solidFill>
          </w14:textFill>
        </w:rPr>
        <w:t>雅安城市建设投资开发有限公司</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建设资金来自</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b/>
          <w:bCs/>
          <w:color w:val="000000" w:themeColor="text1"/>
          <w:sz w:val="24"/>
          <w:highlight w:val="none"/>
          <w:u w:val="single"/>
          <w:lang w:val="en-US" w:eastAsia="zh-CN" w:bidi="en-US"/>
          <w14:textFill>
            <w14:solidFill>
              <w14:schemeClr w14:val="tx1"/>
            </w14:solidFill>
          </w14:textFill>
        </w:rPr>
        <w:t>财政资金及一般债</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（资金来源），项目出资比例为</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lang w:val="en-US" w:eastAsia="zh-CN"/>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100%</w:t>
      </w:r>
      <w:r>
        <w:rPr>
          <w:rFonts w:hint="eastAsia" w:ascii="宋体" w:hAnsi="宋体"/>
          <w:b/>
          <w:color w:val="000000" w:themeColor="text1"/>
          <w:sz w:val="24"/>
          <w:highlight w:val="none"/>
          <w:u w:val="single"/>
          <w:lang w:val="en-US" w:eastAsia="zh-CN"/>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，招标人为</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lang w:eastAsia="zh-CN"/>
          <w14:textFill>
            <w14:solidFill>
              <w14:schemeClr w14:val="tx1"/>
            </w14:solidFill>
          </w14:textFill>
        </w:rPr>
        <w:t>雅安城市建设投资开发有限公司</w:t>
      </w:r>
      <w:r>
        <w:rPr>
          <w:rFonts w:hint="eastAsia" w:ascii="宋体" w:hAnsi="宋体"/>
          <w:b/>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。项目已具备招标条</w:t>
      </w:r>
      <w:r>
        <w:rPr>
          <w:rFonts w:hint="eastAsia" w:ascii="宋体" w:hAnsi="宋体"/>
          <w:sz w:val="24"/>
        </w:rPr>
        <w:t>件，现对该项目的设计施工总承包进行公开招标。</w:t>
      </w:r>
    </w:p>
    <w:p w14:paraId="3698A9B4">
      <w:pPr>
        <w:adjustRightInd w:val="0"/>
        <w:snapToGrid w:val="0"/>
        <w:spacing w:line="360" w:lineRule="auto"/>
        <w:rPr>
          <w:szCs w:val="21"/>
        </w:rPr>
      </w:pPr>
      <w:r>
        <w:rPr>
          <w:sz w:val="24"/>
        </w:rPr>
        <w:t xml:space="preserve">    </w:t>
      </w:r>
      <w:r>
        <w:rPr>
          <w:rFonts w:hint="eastAsia" w:ascii="宋体" w:hAnsi="宋体"/>
          <w:sz w:val="24"/>
        </w:rPr>
        <w:t>1.2本招标项目由</w:t>
      </w:r>
      <w:r>
        <w:rPr>
          <w:rFonts w:hint="eastAsia" w:ascii="宋体" w:hAnsi="宋体"/>
          <w:b/>
          <w:sz w:val="24"/>
          <w:u w:val="single"/>
        </w:rPr>
        <w:t xml:space="preserve">  </w:t>
      </w:r>
      <w:r>
        <w:rPr>
          <w:rFonts w:hint="default" w:ascii="宋体" w:hAnsi="宋体"/>
          <w:b/>
          <w:bCs/>
          <w:sz w:val="24"/>
          <w:u w:val="single"/>
          <w:lang w:val="en" w:eastAsia="zh-CN" w:bidi="en-US"/>
        </w:rPr>
        <w:t xml:space="preserve">  /</w:t>
      </w:r>
      <w:r>
        <w:rPr>
          <w:rFonts w:hint="eastAsia" w:ascii="宋体" w:hAnsi="宋体"/>
          <w:b/>
          <w:sz w:val="24"/>
          <w:u w:val="single"/>
        </w:rPr>
        <w:t xml:space="preserve">  </w:t>
      </w:r>
      <w:r>
        <w:rPr>
          <w:rFonts w:hint="eastAsia" w:ascii="宋体" w:hAnsi="宋体"/>
          <w:sz w:val="24"/>
        </w:rPr>
        <w:t>（核准机关名称）核准（招标事项核准文号为</w:t>
      </w:r>
      <w:r>
        <w:rPr>
          <w:rFonts w:hint="eastAsia" w:ascii="宋体" w:hAnsi="宋体"/>
          <w:b/>
          <w:sz w:val="24"/>
          <w:u w:val="single"/>
        </w:rPr>
        <w:t xml:space="preserve">  </w:t>
      </w:r>
      <w:r>
        <w:rPr>
          <w:rFonts w:hint="eastAsia" w:ascii="宋体" w:hAnsi="宋体"/>
          <w:b/>
          <w:bCs/>
          <w:sz w:val="24"/>
          <w:u w:val="single"/>
          <w:lang w:val="en-US" w:eastAsia="zh-CN" w:bidi="en-US"/>
        </w:rPr>
        <w:t xml:space="preserve"> </w:t>
      </w:r>
      <w:r>
        <w:rPr>
          <w:rFonts w:hint="eastAsia" w:ascii="宋体" w:hAnsi="宋体"/>
          <w:b/>
          <w:sz w:val="24"/>
          <w:u w:val="single"/>
        </w:rPr>
        <w:t xml:space="preserve"> </w:t>
      </w:r>
      <w:r>
        <w:rPr>
          <w:rFonts w:hint="eastAsia" w:ascii="宋体" w:hAnsi="宋体"/>
          <w:sz w:val="24"/>
        </w:rPr>
        <w:t>）的招标组织形式为</w:t>
      </w:r>
      <w:r>
        <w:rPr>
          <w:rFonts w:hint="eastAsia" w:ascii="宋体" w:hAnsi="宋体"/>
          <w:b/>
          <w:sz w:val="24"/>
          <w:u w:val="single"/>
        </w:rPr>
        <w:t xml:space="preserve"> </w:t>
      </w:r>
      <w:r>
        <w:rPr>
          <w:rFonts w:hint="default" w:ascii="宋体" w:hAnsi="宋体"/>
          <w:b/>
          <w:sz w:val="24"/>
          <w:u w:val="single"/>
          <w:lang w:val="en"/>
        </w:rPr>
        <w:t>/</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bCs/>
          <w:sz w:val="24"/>
        </w:rPr>
        <w:t>（</w:t>
      </w:r>
      <w:sdt>
        <w:sdtPr>
          <w:rPr>
            <w:rFonts w:hint="eastAsia" w:ascii="宋体" w:hAnsi="宋体"/>
            <w:bCs/>
            <w:sz w:val="24"/>
          </w:rPr>
          <w:id w:val="-961412097"/>
          <w14:checkbox>
            <w14:checked w14:val="0"/>
            <w14:checkedState w14:val="2611" w14:font="MS Gothic"/>
            <w14:uncheckedState w14:val="2610" w14:font="MS Gothic"/>
          </w14:checkbox>
        </w:sdtPr>
        <w:sdtEndPr>
          <w:rPr>
            <w:rFonts w:hint="eastAsia" w:ascii="宋体" w:hAnsi="宋体"/>
            <w:bCs/>
            <w:sz w:val="24"/>
          </w:rPr>
        </w:sdtEndPr>
        <w:sdtContent>
          <w:r>
            <w:rPr>
              <w:rFonts w:hint="eastAsia" w:ascii="MS Gothic" w:hAnsi="MS Gothic" w:eastAsia="MS Gothic" w:cs="MS Gothic"/>
              <w:bCs/>
              <w:sz w:val="24"/>
            </w:rPr>
            <w:t>☐</w:t>
          </w:r>
        </w:sdtContent>
      </w:sdt>
      <w:r>
        <w:rPr>
          <w:rFonts w:hint="eastAsia" w:ascii="宋体" w:hAnsi="宋体"/>
          <w:sz w:val="24"/>
        </w:rPr>
        <w:t xml:space="preserve">自行招标 </w:t>
      </w:r>
      <w:sdt>
        <w:sdtPr>
          <w:rPr>
            <w:rFonts w:hint="eastAsia" w:ascii="宋体" w:hAnsi="宋体"/>
            <w:sz w:val="24"/>
          </w:rPr>
          <w:id w:val="-2081813006"/>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委托招标</w:t>
      </w:r>
      <w:r>
        <w:rPr>
          <w:rFonts w:hint="eastAsia" w:ascii="宋体" w:hAnsi="宋体"/>
          <w:bCs/>
          <w:sz w:val="24"/>
        </w:rPr>
        <w:t>）</w:t>
      </w:r>
      <w:r>
        <w:rPr>
          <w:rFonts w:hint="eastAsia" w:ascii="宋体" w:hAnsi="宋体"/>
          <w:sz w:val="24"/>
        </w:rPr>
        <w:t>。招标人选择的招标代理机构是</w:t>
      </w:r>
      <w:r>
        <w:rPr>
          <w:rFonts w:hint="eastAsia" w:ascii="宋体" w:hAnsi="宋体"/>
          <w:b/>
          <w:sz w:val="24"/>
          <w:u w:val="single"/>
        </w:rPr>
        <w:t xml:space="preserve">  </w:t>
      </w:r>
      <w:r>
        <w:rPr>
          <w:rFonts w:hint="eastAsia" w:ascii="宋体" w:hAnsi="宋体"/>
          <w:b/>
          <w:sz w:val="24"/>
          <w:u w:val="single"/>
          <w:lang w:eastAsia="zh-CN"/>
        </w:rPr>
        <w:t xml:space="preserve"> </w:t>
      </w:r>
      <w:r>
        <w:rPr>
          <w:rFonts w:hint="default" w:ascii="宋体" w:hAnsi="宋体"/>
          <w:b/>
          <w:sz w:val="24"/>
          <w:u w:val="single"/>
          <w:lang w:val="en" w:eastAsia="zh-CN"/>
        </w:rPr>
        <w:t>/</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w:t>
      </w:r>
    </w:p>
    <w:p w14:paraId="1B80085E">
      <w:pPr>
        <w:pStyle w:val="4"/>
        <w:rPr>
          <w:rFonts w:ascii="宋体" w:hAnsi="宋体" w:eastAsia="宋体"/>
          <w:bCs w:val="0"/>
          <w:kern w:val="0"/>
          <w:sz w:val="24"/>
          <w:szCs w:val="24"/>
        </w:rPr>
      </w:pPr>
      <w:bookmarkStart w:id="18" w:name="_Toc144974481"/>
      <w:bookmarkStart w:id="19" w:name="_Toc300834930"/>
      <w:bookmarkStart w:id="20" w:name="_Toc247513935"/>
      <w:bookmarkStart w:id="21" w:name="_Toc152042289"/>
      <w:bookmarkStart w:id="22" w:name="_Toc247527536"/>
      <w:bookmarkStart w:id="23" w:name="_Toc152045513"/>
      <w:r>
        <w:rPr>
          <w:rFonts w:hint="eastAsia" w:ascii="宋体" w:hAnsi="宋体" w:eastAsia="宋体"/>
          <w:bCs w:val="0"/>
          <w:kern w:val="0"/>
          <w:sz w:val="24"/>
          <w:szCs w:val="24"/>
        </w:rPr>
        <w:t>2. 项目概况与招标范围</w:t>
      </w:r>
      <w:bookmarkEnd w:id="18"/>
      <w:bookmarkEnd w:id="19"/>
      <w:bookmarkEnd w:id="20"/>
      <w:bookmarkEnd w:id="21"/>
      <w:bookmarkEnd w:id="22"/>
      <w:bookmarkEnd w:id="23"/>
    </w:p>
    <w:p w14:paraId="670C023D">
      <w:pPr>
        <w:pStyle w:val="22"/>
        <w:tabs>
          <w:tab w:val="left" w:pos="0"/>
          <w:tab w:val="left" w:pos="993"/>
          <w:tab w:val="left" w:pos="1134"/>
        </w:tabs>
        <w:spacing w:line="360" w:lineRule="auto"/>
        <w:ind w:left="0" w:leftChars="0" w:firstLine="0" w:firstLineChars="0"/>
        <w:rPr>
          <w:rFonts w:hint="eastAsia" w:ascii="宋体" w:hAnsi="宋体" w:eastAsia="宋体"/>
          <w:color w:val="FF0000"/>
          <w:sz w:val="24"/>
          <w:lang w:eastAsia="zh-CN"/>
        </w:rPr>
      </w:pPr>
      <w:r>
        <w:rPr>
          <w:szCs w:val="21"/>
        </w:rPr>
        <w:t>　　</w:t>
      </w:r>
      <w:r>
        <w:rPr>
          <w:rFonts w:hint="eastAsia" w:ascii="宋体" w:hAnsi="宋体"/>
          <w:sz w:val="24"/>
        </w:rPr>
        <w:t xml:space="preserve"> 2.1项目建设内容及规模</w:t>
      </w:r>
      <w:r>
        <w:rPr>
          <w:rFonts w:hint="eastAsia" w:ascii="宋体" w:hAnsi="宋体"/>
          <w:sz w:val="24"/>
          <w:lang w:eastAsia="zh-CN"/>
        </w:rPr>
        <w:t>：新建城市支路、裘家巷中部健身场地、滨河生态带、人居环境提升整治约、片区内新设微型消防站、提升内部道路和建筑外立面环境，翻新背街小巷道路、粉刷建筑立面，新设消防栓、微型消防站、铺设消防管道等内容</w:t>
      </w:r>
      <w:r>
        <w:rPr>
          <w:rFonts w:hint="eastAsia" w:ascii="宋体" w:hAnsi="宋体"/>
          <w:sz w:val="24"/>
        </w:rPr>
        <w:t>路。主要包括道路工程、交安工程、排水工程、电力工程、通信工程、照明工程、绿化工程等。</w:t>
      </w:r>
    </w:p>
    <w:p w14:paraId="374B85AA">
      <w:pPr>
        <w:adjustRightInd w:val="0"/>
        <w:snapToGrid w:val="0"/>
        <w:spacing w:line="360" w:lineRule="auto"/>
        <w:ind w:left="1918" w:leftChars="342" w:hanging="1200" w:hangingChars="500"/>
        <w:rPr>
          <w:rFonts w:hint="eastAsia" w:ascii="宋体" w:hAnsi="宋体" w:cs="宋体"/>
          <w:color w:val="auto"/>
          <w:sz w:val="24"/>
          <w:szCs w:val="24"/>
          <w:u w:val="single"/>
          <w:lang w:val="en-US" w:eastAsia="zh-CN"/>
        </w:rPr>
      </w:pPr>
      <w:r>
        <w:rPr>
          <w:rFonts w:hint="eastAsia" w:ascii="宋体" w:hAnsi="宋体"/>
          <w:sz w:val="24"/>
        </w:rPr>
        <w:t>2.2项</w:t>
      </w:r>
      <w:r>
        <w:rPr>
          <w:rFonts w:hint="eastAsia" w:ascii="宋体" w:hAnsi="宋体"/>
          <w:color w:val="auto"/>
          <w:sz w:val="24"/>
        </w:rPr>
        <w:t>目投资及资金来源：项目总投资费用为</w:t>
      </w:r>
      <w:r>
        <w:rPr>
          <w:rFonts w:hint="eastAsia" w:ascii="宋体" w:hAnsi="宋体" w:cs="宋体"/>
          <w:color w:val="auto"/>
          <w:sz w:val="24"/>
          <w:szCs w:val="24"/>
          <w:u w:val="single"/>
          <w:lang w:val="en-US" w:eastAsia="zh-CN"/>
        </w:rPr>
        <w:t xml:space="preserve">    万元</w:t>
      </w:r>
      <w:r>
        <w:rPr>
          <w:rFonts w:hint="eastAsia" w:ascii="宋体" w:hAnsi="宋体"/>
          <w:color w:val="auto"/>
          <w:sz w:val="24"/>
        </w:rPr>
        <w:t>，其中建安费用约</w:t>
      </w:r>
      <w:r>
        <w:rPr>
          <w:rFonts w:hint="eastAsia" w:ascii="宋体" w:hAnsi="宋体"/>
          <w:color w:val="auto"/>
          <w:sz w:val="24"/>
          <w:u w:val="single"/>
          <w:lang w:val="en-US" w:eastAsia="zh-CN"/>
        </w:rPr>
        <w:t xml:space="preserve">     </w:t>
      </w:r>
      <w:r>
        <w:rPr>
          <w:rFonts w:hint="eastAsia" w:ascii="宋体" w:hAnsi="宋体" w:cs="宋体"/>
          <w:color w:val="auto"/>
          <w:sz w:val="24"/>
          <w:szCs w:val="24"/>
          <w:u w:val="single"/>
          <w:lang w:val="en-US" w:eastAsia="zh-CN"/>
        </w:rPr>
        <w:t>万</w:t>
      </w:r>
    </w:p>
    <w:p w14:paraId="30477731">
      <w:pPr>
        <w:adjustRightInd w:val="0"/>
        <w:snapToGrid w:val="0"/>
        <w:spacing w:line="360" w:lineRule="auto"/>
        <w:ind w:left="1918" w:leftChars="342" w:hanging="1200" w:hangingChars="500"/>
        <w:rPr>
          <w:rFonts w:hint="eastAsia" w:ascii="宋体" w:hAnsi="宋体" w:eastAsia="宋体" w:cs="Times New Roman"/>
          <w:color w:val="FF0000"/>
          <w:sz w:val="24"/>
          <w:u w:val="single"/>
          <w:lang w:val="en-US" w:eastAsia="zh-CN"/>
        </w:rPr>
      </w:pPr>
      <w:r>
        <w:rPr>
          <w:rFonts w:hint="eastAsia" w:ascii="宋体" w:hAnsi="宋体" w:cs="宋体"/>
          <w:color w:val="auto"/>
          <w:sz w:val="24"/>
          <w:szCs w:val="24"/>
          <w:u w:val="single"/>
          <w:lang w:val="en-US" w:eastAsia="zh-CN"/>
        </w:rPr>
        <w:t>元</w:t>
      </w:r>
      <w:r>
        <w:rPr>
          <w:rFonts w:hint="eastAsia" w:ascii="宋体" w:hAnsi="宋体"/>
          <w:color w:val="auto"/>
          <w:sz w:val="24"/>
        </w:rPr>
        <w:t>，资金来源为</w:t>
      </w:r>
      <w:r>
        <w:rPr>
          <w:rFonts w:hint="eastAsia" w:ascii="宋体" w:hAnsi="宋体" w:cs="Times New Roman"/>
          <w:color w:val="auto"/>
          <w:sz w:val="24"/>
          <w:u w:val="single"/>
          <w:lang w:val="en-US" w:eastAsia="zh-CN"/>
        </w:rPr>
        <w:t>财政资金及一般债</w:t>
      </w:r>
      <w:r>
        <w:rPr>
          <w:rFonts w:hint="eastAsia" w:ascii="宋体" w:hAnsi="宋体" w:eastAsia="宋体" w:cs="Times New Roman"/>
          <w:color w:val="auto"/>
          <w:sz w:val="24"/>
          <w:u w:val="single"/>
          <w:lang w:val="en-US" w:eastAsia="zh-CN"/>
        </w:rPr>
        <w:t>。</w:t>
      </w:r>
    </w:p>
    <w:p w14:paraId="2A60B38A">
      <w:pPr>
        <w:adjustRightInd w:val="0"/>
        <w:snapToGrid w:val="0"/>
        <w:spacing w:line="360" w:lineRule="auto"/>
        <w:rPr>
          <w:rFonts w:ascii="宋体" w:hAnsi="宋体"/>
          <w:sz w:val="24"/>
        </w:rPr>
      </w:pPr>
      <w:r>
        <w:rPr>
          <w:rFonts w:hint="eastAsia" w:ascii="宋体" w:hAnsi="宋体"/>
          <w:sz w:val="24"/>
        </w:rPr>
        <w:t xml:space="preserve">      2.3工期：</w:t>
      </w:r>
      <w:r>
        <w:rPr>
          <w:rFonts w:hint="eastAsia" w:ascii="宋体" w:hAnsi="宋体"/>
          <w:sz w:val="24"/>
          <w:lang w:val="en-US" w:eastAsia="zh-CN"/>
        </w:rPr>
        <w:t xml:space="preserve"> </w:t>
      </w:r>
      <w:r>
        <w:rPr>
          <w:rFonts w:hint="eastAsia" w:ascii="宋体" w:hAnsi="宋体"/>
          <w:sz w:val="24"/>
        </w:rPr>
        <w:t>日历天。</w:t>
      </w:r>
    </w:p>
    <w:p w14:paraId="2887CBEC">
      <w:pPr>
        <w:widowControl/>
        <w:ind w:firstLine="480" w:firstLineChars="200"/>
        <w:jc w:val="left"/>
        <w:rPr>
          <w:rFonts w:ascii="宋体" w:hAnsi="宋体"/>
          <w:sz w:val="24"/>
        </w:rPr>
      </w:pPr>
      <w:r>
        <w:rPr>
          <w:rFonts w:hint="eastAsia" w:ascii="宋体" w:hAnsi="宋体"/>
          <w:sz w:val="24"/>
        </w:rPr>
        <w:t xml:space="preserve">  2.4项目建设地点：</w:t>
      </w:r>
      <w:r>
        <w:rPr>
          <w:rFonts w:hint="eastAsia" w:ascii="宋体" w:hAnsi="宋体"/>
          <w:sz w:val="24"/>
          <w:lang w:val="en-US" w:eastAsia="zh-CN"/>
        </w:rPr>
        <w:t>雅安市雨城区</w:t>
      </w:r>
      <w:r>
        <w:rPr>
          <w:rFonts w:hint="eastAsia" w:ascii="宋体" w:hAnsi="宋体"/>
          <w:sz w:val="24"/>
        </w:rPr>
        <w:t>。</w:t>
      </w:r>
    </w:p>
    <w:p w14:paraId="2ED4EFF5">
      <w:pPr>
        <w:adjustRightInd w:val="0"/>
        <w:snapToGrid w:val="0"/>
        <w:spacing w:line="360" w:lineRule="auto"/>
        <w:ind w:firstLine="720" w:firstLineChars="300"/>
        <w:rPr>
          <w:rFonts w:hint="eastAsia" w:ascii="宋体" w:hAnsi="宋体"/>
          <w:color w:val="auto"/>
          <w:sz w:val="24"/>
          <w:u w:val="single"/>
          <w:lang w:eastAsia="zh-CN"/>
        </w:rPr>
      </w:pPr>
      <w:r>
        <w:rPr>
          <w:rFonts w:hint="eastAsia" w:ascii="宋体" w:hAnsi="宋体"/>
          <w:sz w:val="24"/>
        </w:rPr>
        <w:t>2.5招标范围：</w:t>
      </w:r>
      <w:r>
        <w:rPr>
          <w:rFonts w:hint="eastAsia" w:ascii="宋体" w:hAnsi="宋体"/>
          <w:color w:val="auto"/>
          <w:sz w:val="24"/>
          <w:u w:val="single"/>
          <w:lang w:eastAsia="zh-CN"/>
        </w:rPr>
        <w:t>本项目范围内所有建设工程内容的施工图设计、施工等直至竣工验收合格及整体移交、工程缺陷责任期内的修复、保修工作以及发包人指定承包人完成的其他工作。</w:t>
      </w:r>
    </w:p>
    <w:p w14:paraId="6AC7F1D2">
      <w:pPr>
        <w:pStyle w:val="22"/>
        <w:tabs>
          <w:tab w:val="left" w:pos="0"/>
          <w:tab w:val="left" w:pos="993"/>
          <w:tab w:val="left" w:pos="1134"/>
        </w:tabs>
        <w:spacing w:line="360" w:lineRule="auto"/>
        <w:ind w:left="0" w:leftChars="0" w:firstLine="720" w:firstLineChars="300"/>
      </w:pPr>
      <w:r>
        <w:rPr>
          <w:rFonts w:hint="eastAsia" w:ascii="宋体" w:hAnsi="宋体"/>
          <w:sz w:val="24"/>
        </w:rPr>
        <w:t>2.6标段划分：一个标段。</w:t>
      </w:r>
    </w:p>
    <w:p w14:paraId="62C592BB">
      <w:pPr>
        <w:adjustRightInd w:val="0"/>
        <w:snapToGrid w:val="0"/>
        <w:spacing w:line="360" w:lineRule="auto"/>
        <w:rPr>
          <w:rFonts w:ascii="宋体" w:hAnsi="宋体"/>
          <w:sz w:val="24"/>
        </w:rPr>
      </w:pPr>
      <w:r>
        <w:rPr>
          <w:rFonts w:hint="eastAsia" w:ascii="宋体" w:hAnsi="宋体"/>
          <w:sz w:val="24"/>
        </w:rPr>
        <w:t>2.7设计质量要求：满足国家及地方相应现行规范要求并通过有关主管部门审查；施工质量要求：达到国家现行标准规范要求，工程质量等级合格；</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14:paraId="28F0C4DC">
      <w:pPr>
        <w:adjustRightInd w:val="0"/>
        <w:snapToGrid w:val="0"/>
        <w:spacing w:line="360" w:lineRule="auto"/>
        <w:rPr>
          <w:szCs w:val="21"/>
        </w:rPr>
      </w:pPr>
      <w:r>
        <w:rPr>
          <w:rFonts w:hint="eastAsia" w:ascii="宋体" w:hAnsi="宋体"/>
          <w:sz w:val="24"/>
        </w:rPr>
        <w:t>（说明本次招标项目的建设地点、规模及投资额、计划工期、招标范围、标段划分及标段投资额等）。</w:t>
      </w:r>
    </w:p>
    <w:p w14:paraId="2DBD507E">
      <w:pPr>
        <w:pStyle w:val="4"/>
        <w:rPr>
          <w:rFonts w:ascii="宋体" w:hAnsi="宋体" w:eastAsia="宋体"/>
          <w:bCs w:val="0"/>
          <w:kern w:val="0"/>
          <w:sz w:val="24"/>
          <w:szCs w:val="24"/>
        </w:rPr>
      </w:pPr>
      <w:bookmarkStart w:id="24" w:name="_Toc300834931"/>
      <w:bookmarkStart w:id="25" w:name="_Toc152045514"/>
      <w:bookmarkStart w:id="26" w:name="_Toc247513936"/>
      <w:bookmarkStart w:id="27" w:name="_Toc144974482"/>
      <w:bookmarkStart w:id="28" w:name="_Toc247527537"/>
      <w:bookmarkStart w:id="29" w:name="_Toc152042290"/>
      <w:r>
        <w:rPr>
          <w:rFonts w:hint="eastAsia" w:ascii="宋体" w:hAnsi="宋体" w:eastAsia="宋体"/>
          <w:bCs w:val="0"/>
          <w:kern w:val="0"/>
          <w:sz w:val="24"/>
          <w:szCs w:val="24"/>
        </w:rPr>
        <w:t>3. 投标人资格要求</w:t>
      </w:r>
      <w:bookmarkEnd w:id="24"/>
      <w:bookmarkEnd w:id="25"/>
      <w:bookmarkEnd w:id="26"/>
      <w:bookmarkEnd w:id="27"/>
      <w:bookmarkEnd w:id="28"/>
      <w:bookmarkEnd w:id="29"/>
    </w:p>
    <w:p w14:paraId="3048F6AD">
      <w:pPr>
        <w:adjustRightInd w:val="0"/>
        <w:snapToGrid w:val="0"/>
        <w:spacing w:line="360" w:lineRule="auto"/>
        <w:ind w:firstLine="480"/>
        <w:rPr>
          <w:rFonts w:ascii="宋体" w:hAnsi="宋体"/>
          <w:sz w:val="24"/>
        </w:rPr>
      </w:pPr>
      <w:bookmarkStart w:id="30" w:name="_Toc144974483"/>
      <w:bookmarkStart w:id="31" w:name="_Toc152042291"/>
      <w:bookmarkStart w:id="32" w:name="_Toc152045515"/>
      <w:bookmarkStart w:id="33" w:name="_Toc300834932"/>
      <w:bookmarkStart w:id="34" w:name="_Toc247513937"/>
      <w:bookmarkStart w:id="35" w:name="_Toc247527538"/>
      <w:r>
        <w:rPr>
          <w:rFonts w:hint="eastAsia" w:ascii="宋体" w:hAnsi="宋体"/>
          <w:sz w:val="24"/>
        </w:rPr>
        <w:t>3.1本次招标要求投标人须具备</w:t>
      </w:r>
    </w:p>
    <w:p w14:paraId="2ECE2519">
      <w:pPr>
        <w:adjustRightInd w:val="0"/>
        <w:snapToGrid w:val="0"/>
        <w:spacing w:line="360" w:lineRule="auto"/>
        <w:ind w:firstLine="816" w:firstLineChars="340"/>
        <w:rPr>
          <w:rFonts w:ascii="宋体" w:hAnsi="宋体"/>
          <w:sz w:val="24"/>
        </w:rPr>
      </w:pPr>
      <w:r>
        <w:rPr>
          <w:rFonts w:hint="eastAsia" w:ascii="宋体" w:hAnsi="宋体"/>
          <w:sz w:val="24"/>
        </w:rPr>
        <w:t>3.1.1资质要求：</w:t>
      </w:r>
      <w:r>
        <w:rPr>
          <w:rFonts w:hint="eastAsia" w:ascii="宋体" w:hAnsi="宋体"/>
          <w:b/>
          <w:sz w:val="24"/>
          <w:u w:val="single"/>
        </w:rPr>
        <w:t xml:space="preserve">  </w:t>
      </w:r>
      <w:r>
        <w:rPr>
          <w:rFonts w:hint="eastAsia" w:ascii="宋体" w:hAnsi="宋体"/>
          <w:sz w:val="24"/>
          <w:u w:val="single"/>
          <w:lang w:val="en-US" w:eastAsia="zh-CN"/>
        </w:rPr>
        <w:t xml:space="preserve"> </w:t>
      </w:r>
      <w:r>
        <w:rPr>
          <w:rFonts w:hint="eastAsia" w:ascii="宋体" w:hAnsi="宋体"/>
          <w:b/>
          <w:sz w:val="24"/>
          <w:u w:val="single"/>
        </w:rPr>
        <w:t xml:space="preserve">  </w:t>
      </w:r>
      <w:r>
        <w:rPr>
          <w:rFonts w:hint="eastAsia" w:ascii="宋体" w:hAnsi="宋体"/>
          <w:bCs/>
          <w:sz w:val="24"/>
          <w:u w:val="single"/>
        </w:rPr>
        <w:t xml:space="preserve"> </w:t>
      </w:r>
      <w:r>
        <w:rPr>
          <w:rFonts w:hint="eastAsia" w:ascii="宋体" w:hAnsi="宋体"/>
          <w:bCs/>
          <w:sz w:val="24"/>
        </w:rPr>
        <w:t>，施工单位须具备有效的安全生产许可证</w:t>
      </w:r>
      <w:r>
        <w:rPr>
          <w:rFonts w:hint="eastAsia" w:ascii="宋体" w:hAnsi="宋体"/>
          <w:sz w:val="24"/>
        </w:rPr>
        <w:t>。</w:t>
      </w:r>
    </w:p>
    <w:p w14:paraId="51201F17">
      <w:pPr>
        <w:adjustRightInd w:val="0"/>
        <w:snapToGrid w:val="0"/>
        <w:spacing w:line="360" w:lineRule="auto"/>
        <w:ind w:firstLine="816" w:firstLineChars="340"/>
        <w:rPr>
          <w:rFonts w:ascii="宋体" w:hAnsi="宋体"/>
          <w:sz w:val="24"/>
        </w:rPr>
      </w:pPr>
      <w:r>
        <w:rPr>
          <w:rFonts w:hint="eastAsia" w:ascii="宋体" w:hAnsi="宋体"/>
          <w:sz w:val="24"/>
        </w:rPr>
        <w:t>3.1.2业绩要求：（本项为</w:t>
      </w:r>
      <w:r>
        <w:rPr>
          <w:rFonts w:ascii="宋体" w:hAnsi="宋体"/>
          <w:sz w:val="24"/>
        </w:rPr>
        <w:t>多选</w:t>
      </w:r>
      <w:r>
        <w:rPr>
          <w:rFonts w:hint="eastAsia" w:ascii="宋体" w:hAnsi="宋体"/>
          <w:sz w:val="24"/>
        </w:rPr>
        <w:t>）</w:t>
      </w:r>
    </w:p>
    <w:p w14:paraId="6A822F4D">
      <w:pPr>
        <w:adjustRightInd w:val="0"/>
        <w:snapToGrid w:val="0"/>
        <w:spacing w:line="360" w:lineRule="auto"/>
        <w:ind w:firstLine="1296" w:firstLineChars="540"/>
        <w:rPr>
          <w:rFonts w:ascii="宋体" w:hAnsi="宋体"/>
          <w:bCs/>
          <w:sz w:val="24"/>
        </w:rPr>
      </w:pPr>
      <w:sdt>
        <w:sdtPr>
          <w:rPr>
            <w:rFonts w:hint="eastAsia" w:ascii="宋体" w:hAnsi="宋体"/>
            <w:sz w:val="24"/>
          </w:rPr>
          <w:id w:val="-1407221747"/>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设计</w:t>
      </w:r>
      <w:r>
        <w:rPr>
          <w:rFonts w:ascii="宋体" w:hAnsi="宋体"/>
          <w:sz w:val="24"/>
        </w:rPr>
        <w:t>业绩要求：</w:t>
      </w:r>
      <w:r>
        <w:rPr>
          <w:rFonts w:hint="eastAsia" w:ascii="宋体" w:hAnsi="宋体"/>
          <w:sz w:val="24"/>
        </w:rPr>
        <w:t>近年（</w:t>
      </w:r>
      <w:r>
        <w:rPr>
          <w:rFonts w:hint="eastAsia" w:ascii="宋体" w:hAnsi="宋体"/>
          <w:sz w:val="24"/>
          <w:u w:val="single"/>
        </w:rPr>
        <w:t xml:space="preserve"> </w:t>
      </w:r>
      <w:r>
        <w:rPr>
          <w:rFonts w:hint="eastAsia" w:ascii="宋体" w:hAnsi="宋体"/>
          <w:sz w:val="24"/>
          <w:u w:val="single"/>
          <w:lang w:val="en-US" w:eastAsia="zh-CN"/>
        </w:rPr>
        <w:t>2022</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日至投标截止时间，不少于3年）（</w:t>
      </w:r>
      <w:sdt>
        <w:sdtPr>
          <w:rPr>
            <w:rFonts w:hint="eastAsia" w:ascii="宋体" w:hAnsi="宋体"/>
            <w:sz w:val="24"/>
          </w:rPr>
          <w:id w:val="562454650"/>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 xml:space="preserve">已完成  </w:t>
      </w:r>
      <w:sdt>
        <w:sdtPr>
          <w:rPr>
            <w:rFonts w:hint="eastAsia" w:ascii="宋体" w:hAnsi="宋体"/>
            <w:sz w:val="24"/>
          </w:rPr>
          <w:id w:val="-1459789048"/>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已完成或新承接或正在设计）不少于</w:t>
      </w:r>
      <w:r>
        <w:rPr>
          <w:rFonts w:hint="eastAsia" w:ascii="宋体" w:hAnsi="宋体"/>
          <w:b/>
          <w:sz w:val="24"/>
          <w:u w:val="single"/>
        </w:rPr>
        <w:t xml:space="preserve">  </w:t>
      </w:r>
      <w:r>
        <w:rPr>
          <w:rFonts w:hint="eastAsia" w:ascii="宋体" w:hAnsi="宋体"/>
          <w:b/>
          <w:sz w:val="24"/>
          <w:u w:val="single"/>
          <w:lang w:val="en-US" w:eastAsia="zh-CN"/>
        </w:rPr>
        <w:t>1</w:t>
      </w:r>
      <w:r>
        <w:rPr>
          <w:rFonts w:hint="eastAsia" w:ascii="宋体" w:hAnsi="宋体"/>
          <w:b/>
          <w:sz w:val="24"/>
          <w:u w:val="single"/>
        </w:rPr>
        <w:t xml:space="preserve">  </w:t>
      </w:r>
      <w:r>
        <w:rPr>
          <w:rFonts w:hint="eastAsia" w:ascii="宋体" w:hAnsi="宋体"/>
          <w:sz w:val="24"/>
        </w:rPr>
        <w:t>（1 至3个）个类似项目。类似项目是指:</w:t>
      </w:r>
      <w:r>
        <w:rPr>
          <w:rFonts w:hint="eastAsia" w:ascii="宋体" w:hAnsi="宋体"/>
          <w:b/>
          <w:sz w:val="24"/>
          <w:u w:val="single"/>
        </w:rPr>
        <w:t xml:space="preserve">  </w:t>
      </w:r>
      <w:r>
        <w:rPr>
          <w:rFonts w:hint="eastAsia" w:ascii="宋体" w:hAnsi="宋体"/>
          <w:color w:val="FF0000"/>
          <w:sz w:val="24"/>
          <w:u w:val="single"/>
          <w:lang w:val="en-US" w:eastAsia="zh-CN"/>
        </w:rPr>
        <w:t xml:space="preserve"> </w:t>
      </w:r>
      <w:r>
        <w:rPr>
          <w:rFonts w:hint="eastAsia" w:ascii="宋体" w:hAnsi="宋体"/>
          <w:b/>
          <w:sz w:val="24"/>
          <w:u w:val="single"/>
        </w:rPr>
        <w:t xml:space="preserve">  </w:t>
      </w:r>
      <w:r>
        <w:rPr>
          <w:rFonts w:hint="eastAsia" w:ascii="宋体" w:hAnsi="宋体"/>
          <w:bCs/>
          <w:sz w:val="24"/>
        </w:rPr>
        <w:t>。</w:t>
      </w:r>
    </w:p>
    <w:p w14:paraId="22B56369">
      <w:pPr>
        <w:adjustRightInd w:val="0"/>
        <w:snapToGrid w:val="0"/>
        <w:spacing w:line="360" w:lineRule="auto"/>
        <w:ind w:firstLine="1296" w:firstLineChars="540"/>
        <w:rPr>
          <w:rFonts w:ascii="宋体" w:hAnsi="宋体"/>
          <w:bCs/>
          <w:sz w:val="24"/>
        </w:rPr>
      </w:pPr>
      <w:sdt>
        <w:sdtPr>
          <w:rPr>
            <w:rFonts w:hint="eastAsia" w:ascii="宋体" w:hAnsi="宋体"/>
            <w:sz w:val="24"/>
          </w:rPr>
          <w:id w:val="2085334083"/>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施工</w:t>
      </w:r>
      <w:r>
        <w:rPr>
          <w:rFonts w:ascii="宋体" w:hAnsi="宋体"/>
          <w:sz w:val="24"/>
        </w:rPr>
        <w:t>业绩要求：</w:t>
      </w:r>
      <w:r>
        <w:rPr>
          <w:rFonts w:hint="eastAsia" w:ascii="宋体" w:hAnsi="宋体"/>
          <w:sz w:val="24"/>
        </w:rPr>
        <w:t>近年（</w:t>
      </w:r>
      <w:r>
        <w:rPr>
          <w:rFonts w:hint="eastAsia" w:ascii="宋体" w:hAnsi="宋体"/>
          <w:sz w:val="24"/>
          <w:u w:val="single"/>
        </w:rPr>
        <w:t xml:space="preserve"> </w:t>
      </w:r>
      <w:r>
        <w:rPr>
          <w:rFonts w:hint="eastAsia" w:ascii="宋体" w:hAnsi="宋体"/>
          <w:sz w:val="24"/>
          <w:u w:val="single"/>
          <w:lang w:val="en-US" w:eastAsia="zh-CN"/>
        </w:rPr>
        <w:t>2022</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日至投标截止时间，不少于3年）（</w:t>
      </w:r>
      <w:sdt>
        <w:sdtPr>
          <w:rPr>
            <w:rFonts w:hint="eastAsia" w:ascii="宋体" w:hAnsi="宋体"/>
            <w:sz w:val="24"/>
          </w:rPr>
          <w:id w:val="382913963"/>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 xml:space="preserve">已完成  </w:t>
      </w:r>
      <w:sdt>
        <w:sdtPr>
          <w:rPr>
            <w:rFonts w:hint="eastAsia" w:ascii="宋体" w:hAnsi="宋体"/>
            <w:sz w:val="24"/>
          </w:rPr>
          <w:id w:val="-126013416"/>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已完成或新承接</w:t>
      </w:r>
      <w:r>
        <w:rPr>
          <w:rFonts w:hint="eastAsia" w:ascii="宋体" w:hAnsi="宋体"/>
          <w:sz w:val="27"/>
        </w:rPr>
        <w:t>或</w:t>
      </w:r>
      <w:r>
        <w:rPr>
          <w:rFonts w:hint="eastAsia" w:ascii="宋体" w:hAnsi="宋体"/>
          <w:sz w:val="24"/>
        </w:rPr>
        <w:t>正在施工）不少于</w:t>
      </w:r>
      <w:r>
        <w:rPr>
          <w:rFonts w:hint="eastAsia" w:ascii="宋体" w:hAnsi="宋体"/>
          <w:b/>
          <w:sz w:val="24"/>
          <w:u w:val="single"/>
        </w:rPr>
        <w:t xml:space="preserve">  </w:t>
      </w:r>
      <w:r>
        <w:rPr>
          <w:rFonts w:hint="eastAsia" w:ascii="宋体" w:hAnsi="宋体"/>
          <w:b/>
          <w:sz w:val="24"/>
          <w:u w:val="single"/>
          <w:lang w:val="en-US" w:eastAsia="zh-CN"/>
        </w:rPr>
        <w:t>1</w:t>
      </w:r>
      <w:r>
        <w:rPr>
          <w:rFonts w:hint="eastAsia" w:ascii="宋体" w:hAnsi="宋体"/>
          <w:b/>
          <w:sz w:val="24"/>
          <w:u w:val="single"/>
        </w:rPr>
        <w:t xml:space="preserve">  </w:t>
      </w:r>
      <w:r>
        <w:rPr>
          <w:rFonts w:hint="eastAsia" w:ascii="宋体" w:hAnsi="宋体"/>
          <w:sz w:val="24"/>
        </w:rPr>
        <w:t>（1 至3个）个类似项目。类似项目是指:</w:t>
      </w:r>
      <w:r>
        <w:rPr>
          <w:rFonts w:hint="eastAsia" w:ascii="宋体" w:hAnsi="宋体"/>
          <w:b/>
          <w:sz w:val="24"/>
          <w:u w:val="single"/>
        </w:rPr>
        <w:t xml:space="preserve">  </w:t>
      </w:r>
      <w:r>
        <w:rPr>
          <w:rFonts w:hint="eastAsia" w:ascii="宋体" w:hAnsi="宋体"/>
          <w:color w:val="FF0000"/>
          <w:sz w:val="24"/>
          <w:u w:val="single"/>
          <w:lang w:val="en-US" w:eastAsia="zh-CN"/>
        </w:rPr>
        <w:t xml:space="preserve"> </w:t>
      </w:r>
      <w:r>
        <w:rPr>
          <w:rFonts w:hint="eastAsia" w:ascii="宋体" w:hAnsi="宋体"/>
          <w:b/>
          <w:sz w:val="24"/>
          <w:u w:val="single"/>
        </w:rPr>
        <w:t xml:space="preserve">  </w:t>
      </w:r>
      <w:r>
        <w:rPr>
          <w:rFonts w:hint="eastAsia" w:ascii="宋体" w:hAnsi="宋体"/>
          <w:bCs/>
          <w:sz w:val="24"/>
        </w:rPr>
        <w:t>。</w:t>
      </w:r>
    </w:p>
    <w:p w14:paraId="72F7C1C3">
      <w:pPr>
        <w:adjustRightInd w:val="0"/>
        <w:snapToGrid w:val="0"/>
        <w:spacing w:line="360" w:lineRule="auto"/>
        <w:ind w:firstLine="1132" w:firstLineChars="472"/>
        <w:rPr>
          <w:rFonts w:ascii="宋体" w:hAnsi="宋体"/>
          <w:sz w:val="24"/>
        </w:rPr>
      </w:pPr>
      <w:sdt>
        <w:sdtPr>
          <w:rPr>
            <w:rFonts w:hint="eastAsia" w:ascii="宋体" w:hAnsi="宋体"/>
            <w:sz w:val="24"/>
          </w:rPr>
          <w:id w:val="1467700692"/>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无业绩要求。</w:t>
      </w:r>
    </w:p>
    <w:p w14:paraId="376BC630">
      <w:pPr>
        <w:adjustRightInd w:val="0"/>
        <w:snapToGrid w:val="0"/>
        <w:spacing w:line="360" w:lineRule="auto"/>
        <w:ind w:firstLine="816" w:firstLineChars="340"/>
        <w:rPr>
          <w:rFonts w:ascii="宋体" w:hAnsi="宋体"/>
          <w:sz w:val="24"/>
        </w:rPr>
      </w:pPr>
      <w:r>
        <w:rPr>
          <w:rFonts w:hint="eastAsia" w:ascii="宋体" w:hAnsi="宋体"/>
          <w:sz w:val="24"/>
        </w:rPr>
        <w:t>3.1.3项目经理的资格要求：</w:t>
      </w:r>
      <w:sdt>
        <w:sdtPr>
          <w:rPr>
            <w:rFonts w:hint="eastAsia" w:ascii="宋体" w:hAnsi="宋体"/>
            <w:sz w:val="24"/>
          </w:rPr>
          <w:id w:val="1506863186"/>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7"/>
          <w:szCs w:val="22"/>
          <w:u w:val="single"/>
        </w:rPr>
        <w:t xml:space="preserve">   </w:t>
      </w:r>
      <w:r>
        <w:rPr>
          <w:rFonts w:hint="eastAsia" w:ascii="宋体" w:hAnsi="宋体"/>
          <w:sz w:val="24"/>
          <w:u w:val="single"/>
          <w:lang w:val="en-US" w:eastAsia="zh-CN"/>
        </w:rPr>
        <w:t xml:space="preserve"> </w:t>
      </w:r>
      <w:r>
        <w:rPr>
          <w:rFonts w:hint="eastAsia" w:ascii="宋体" w:hAnsi="宋体"/>
          <w:sz w:val="27"/>
          <w:szCs w:val="22"/>
          <w:u w:val="single"/>
        </w:rPr>
        <w:t xml:space="preserve">  </w:t>
      </w:r>
      <w:r>
        <w:rPr>
          <w:rFonts w:ascii="宋体" w:hAnsi="宋体"/>
          <w:sz w:val="27"/>
          <w:szCs w:val="22"/>
        </w:rPr>
        <w:t xml:space="preserve"> </w:t>
      </w:r>
      <w:sdt>
        <w:sdtPr>
          <w:rPr>
            <w:rFonts w:ascii="宋体" w:hAnsi="宋体"/>
            <w:sz w:val="27"/>
            <w:szCs w:val="22"/>
          </w:rPr>
          <w:id w:val="815302704"/>
          <w14:checkbox>
            <w14:checked w14:val="0"/>
            <w14:checkedState w14:val="2611" w14:font="MS Gothic"/>
            <w14:uncheckedState w14:val="2610" w14:font="MS Gothic"/>
          </w14:checkbox>
        </w:sdtPr>
        <w:sdtEndPr>
          <w:rPr>
            <w:rFonts w:ascii="宋体" w:hAnsi="宋体"/>
            <w:sz w:val="27"/>
            <w:szCs w:val="22"/>
          </w:rPr>
        </w:sdtEndPr>
        <w:sdtContent>
          <w:r>
            <w:rPr>
              <w:rFonts w:hint="eastAsia" w:ascii="MS Gothic" w:hAnsi="MS Gothic" w:eastAsia="MS Gothic" w:cs="MS Gothic"/>
              <w:sz w:val="27"/>
              <w:szCs w:val="22"/>
            </w:rPr>
            <w:t>☐</w:t>
          </w:r>
        </w:sdtContent>
      </w:sdt>
      <w:r>
        <w:rPr>
          <w:rFonts w:hint="eastAsia" w:ascii="宋体" w:hAnsi="宋体"/>
          <w:sz w:val="24"/>
        </w:rPr>
        <w:t>由设计负责人兼任</w:t>
      </w:r>
      <w:sdt>
        <w:sdtPr>
          <w:rPr>
            <w:rFonts w:hint="eastAsia" w:ascii="宋体" w:hAnsi="宋体"/>
            <w:sz w:val="24"/>
          </w:rPr>
          <w:id w:val="1402950913"/>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由施工负责人兼任，</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r>
        <w:rPr>
          <w:rFonts w:hint="eastAsia" w:ascii="宋体" w:hAnsi="宋体"/>
          <w:bCs/>
          <w:sz w:val="24"/>
          <w:u w:val="single"/>
        </w:rPr>
        <w:t>（业绩要求）</w:t>
      </w:r>
      <w:r>
        <w:rPr>
          <w:rFonts w:hint="eastAsia" w:ascii="宋体" w:hAnsi="宋体"/>
          <w:sz w:val="24"/>
        </w:rPr>
        <w:t xml:space="preserve"> ，须为</w:t>
      </w:r>
      <w:r>
        <w:rPr>
          <w:rFonts w:hint="eastAsia" w:ascii="宋体" w:hAnsi="宋体"/>
          <w:bCs/>
          <w:sz w:val="24"/>
        </w:rPr>
        <w:t>本单位人员（若为联合体投标，须为联合体牵头</w:t>
      </w:r>
      <w:r>
        <w:rPr>
          <w:rFonts w:hint="eastAsia" w:ascii="宋体" w:hAnsi="宋体"/>
          <w:sz w:val="24"/>
        </w:rPr>
        <w:t>人人员）。</w:t>
      </w:r>
    </w:p>
    <w:p w14:paraId="27233D4B">
      <w:pPr>
        <w:adjustRightInd w:val="0"/>
        <w:snapToGrid w:val="0"/>
        <w:spacing w:line="360" w:lineRule="auto"/>
        <w:ind w:firstLine="840" w:firstLineChars="350"/>
        <w:rPr>
          <w:rFonts w:ascii="宋体" w:hAnsi="宋体"/>
          <w:sz w:val="24"/>
        </w:rPr>
      </w:pPr>
      <w:r>
        <w:rPr>
          <w:rFonts w:hint="eastAsia" w:ascii="宋体" w:hAnsi="宋体"/>
          <w:sz w:val="24"/>
        </w:rPr>
        <w:t>3.1.4设计负责人的资格要求：</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，须为投标人</w:t>
      </w:r>
      <w:r>
        <w:rPr>
          <w:rFonts w:hint="eastAsia" w:ascii="宋体" w:hAnsi="宋体"/>
          <w:bCs/>
          <w:sz w:val="24"/>
        </w:rPr>
        <w:t>本单位人员</w:t>
      </w:r>
      <w:r>
        <w:rPr>
          <w:rFonts w:hint="eastAsia" w:ascii="宋体" w:hAnsi="宋体"/>
          <w:sz w:val="24"/>
        </w:rPr>
        <w:t>。</w:t>
      </w:r>
    </w:p>
    <w:p w14:paraId="02BE9B72">
      <w:pPr>
        <w:adjustRightInd w:val="0"/>
        <w:snapToGrid w:val="0"/>
        <w:spacing w:line="360" w:lineRule="auto"/>
        <w:ind w:firstLine="840" w:firstLineChars="350"/>
        <w:rPr>
          <w:rFonts w:ascii="宋体" w:hAnsi="宋体"/>
          <w:sz w:val="24"/>
        </w:rPr>
      </w:pPr>
      <w:r>
        <w:rPr>
          <w:rFonts w:hint="eastAsia" w:ascii="宋体" w:hAnsi="宋体"/>
          <w:sz w:val="24"/>
        </w:rPr>
        <w:t>3.1.5施工负责人（建造师，下同）的资格要求：</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建造师，具有省级及以上住房城乡建设主管部门颁发的安全生产考核合格证（B证），须为投标人</w:t>
      </w:r>
      <w:r>
        <w:rPr>
          <w:rFonts w:hint="eastAsia" w:ascii="宋体" w:hAnsi="宋体"/>
          <w:bCs/>
          <w:sz w:val="24"/>
        </w:rPr>
        <w:t>本单位人员</w:t>
      </w:r>
      <w:r>
        <w:rPr>
          <w:rFonts w:hint="eastAsia" w:ascii="宋体" w:hAnsi="宋体"/>
          <w:sz w:val="24"/>
        </w:rPr>
        <w:t>。</w:t>
      </w:r>
    </w:p>
    <w:p w14:paraId="3D859D2D">
      <w:pPr>
        <w:adjustRightInd w:val="0"/>
        <w:snapToGrid w:val="0"/>
        <w:spacing w:line="360" w:lineRule="auto"/>
        <w:ind w:firstLine="480"/>
        <w:rPr>
          <w:rFonts w:ascii="宋体" w:hAnsi="宋体"/>
          <w:sz w:val="24"/>
        </w:rPr>
      </w:pPr>
      <w:r>
        <w:rPr>
          <w:rFonts w:hint="eastAsia" w:ascii="宋体" w:hAnsi="宋体"/>
          <w:sz w:val="24"/>
        </w:rPr>
        <w:t>3.2本次招标</w:t>
      </w:r>
      <w:r>
        <w:rPr>
          <w:rFonts w:hint="eastAsia" w:ascii="宋体" w:hAnsi="宋体"/>
          <w:bCs/>
          <w:sz w:val="24"/>
        </w:rPr>
        <w:t>接受</w:t>
      </w:r>
      <w:r>
        <w:rPr>
          <w:rFonts w:hint="eastAsia" w:ascii="宋体" w:hAnsi="宋体"/>
          <w:sz w:val="24"/>
        </w:rPr>
        <w:t>联合体投标。联合体投标的，联合体牵头人应为</w:t>
      </w:r>
      <w:sdt>
        <w:sdtPr>
          <w:rPr>
            <w:rFonts w:hint="eastAsia" w:ascii="宋体" w:hAnsi="宋体"/>
            <w:sz w:val="24"/>
          </w:rPr>
          <w:id w:val="-1878926011"/>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设计单位</w:t>
      </w:r>
      <w:sdt>
        <w:sdtPr>
          <w:rPr>
            <w:rFonts w:hint="eastAsia" w:ascii="宋体" w:hAnsi="宋体"/>
            <w:sz w:val="24"/>
          </w:rPr>
          <w:id w:val="-2031636114"/>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施工单位，同时满足下列要求：</w:t>
      </w:r>
      <w:r>
        <w:rPr>
          <w:rFonts w:hint="eastAsia" w:ascii="宋体" w:hAnsi="宋体"/>
          <w:b/>
          <w:sz w:val="24"/>
          <w:u w:val="single"/>
        </w:rPr>
        <w:t xml:space="preserve">  </w:t>
      </w:r>
      <w:r>
        <w:rPr>
          <w:rFonts w:hint="eastAsia" w:ascii="宋体" w:hAnsi="宋体"/>
          <w:sz w:val="24"/>
          <w:u w:val="single"/>
          <w:lang w:val="en-US" w:eastAsia="zh-CN"/>
        </w:rPr>
        <w:t xml:space="preserve"> </w:t>
      </w:r>
      <w:r>
        <w:rPr>
          <w:rFonts w:hint="eastAsia" w:ascii="宋体" w:hAnsi="宋体"/>
          <w:sz w:val="24"/>
        </w:rPr>
        <w:t>。</w:t>
      </w:r>
    </w:p>
    <w:p w14:paraId="5FAAA40E">
      <w:pPr>
        <w:pStyle w:val="4"/>
        <w:rPr>
          <w:rFonts w:ascii="宋体" w:hAnsi="宋体" w:eastAsia="宋体"/>
          <w:bCs w:val="0"/>
          <w:kern w:val="0"/>
          <w:sz w:val="24"/>
          <w:szCs w:val="24"/>
        </w:rPr>
      </w:pPr>
      <w:r>
        <w:rPr>
          <w:rFonts w:hint="eastAsia" w:ascii="宋体" w:hAnsi="宋体" w:eastAsia="宋体"/>
          <w:bCs w:val="0"/>
          <w:kern w:val="0"/>
          <w:sz w:val="24"/>
          <w:szCs w:val="24"/>
        </w:rPr>
        <w:t>4. 招标文件的获取</w:t>
      </w:r>
      <w:bookmarkEnd w:id="30"/>
      <w:bookmarkEnd w:id="31"/>
      <w:bookmarkEnd w:id="32"/>
      <w:bookmarkEnd w:id="33"/>
      <w:bookmarkEnd w:id="34"/>
      <w:bookmarkEnd w:id="35"/>
    </w:p>
    <w:p w14:paraId="42F6BB5A">
      <w:pPr>
        <w:spacing w:line="360" w:lineRule="auto"/>
        <w:rPr>
          <w:rFonts w:ascii="宋体" w:hAnsi="宋体"/>
          <w:sz w:val="24"/>
        </w:rPr>
      </w:pPr>
      <w:bookmarkStart w:id="36" w:name="_Toc152045516"/>
      <w:bookmarkStart w:id="37" w:name="_Toc247513938"/>
      <w:bookmarkStart w:id="38" w:name="_Toc152042292"/>
      <w:bookmarkStart w:id="39" w:name="_Toc144974484"/>
      <w:bookmarkStart w:id="40" w:name="_Toc300834933"/>
      <w:bookmarkStart w:id="41" w:name="_Toc247527539"/>
      <w:r>
        <w:rPr>
          <w:rFonts w:ascii="宋体" w:hAnsi="宋体"/>
          <w:sz w:val="24"/>
        </w:rPr>
        <w:t xml:space="preserve"> </w:t>
      </w:r>
      <w:r>
        <w:rPr>
          <w:rFonts w:hint="eastAsia" w:ascii="宋体" w:hAnsi="宋体"/>
          <w:sz w:val="24"/>
        </w:rPr>
        <w:t xml:space="preserve">   4.1 </w:t>
      </w:r>
      <w:r>
        <w:rPr>
          <w:rFonts w:hint="eastAsia" w:ascii="宋体" w:hAnsi="宋体" w:cs="宋体"/>
          <w:sz w:val="24"/>
        </w:rPr>
        <w:t>凡有意参加投标者，请于</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日至</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日登陆：□全国公共资源交易平台（四川省）（网址：http://ggzyjy.sc.gov.cn）—“登录”—“交易主体”—“建设工程”，通过数字证书免费下载招标资料（招标文件、技术资料等）。</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cs="宋体"/>
          <w:sz w:val="24"/>
          <w:u w:val="single"/>
        </w:rPr>
        <w:t xml:space="preserve">  雅安  </w:t>
      </w:r>
      <w:r>
        <w:rPr>
          <w:rFonts w:hint="eastAsia" w:ascii="宋体" w:hAnsi="宋体" w:cs="宋体"/>
          <w:sz w:val="24"/>
        </w:rPr>
        <w:t>市）（网址：</w:t>
      </w:r>
      <w:r>
        <w:rPr>
          <w:rFonts w:hint="eastAsia" w:ascii="宋体" w:hAnsi="宋体" w:cs="宋体"/>
          <w:sz w:val="24"/>
          <w:u w:val="single"/>
        </w:rPr>
        <w:t xml:space="preserve">   </w:t>
      </w:r>
      <w:r>
        <w:rPr>
          <w:rFonts w:ascii="宋体" w:hAnsi="宋体" w:cs="宋体"/>
          <w:sz w:val="24"/>
          <w:u w:val="single"/>
        </w:rPr>
        <w:t>http://www.yaggzy.org.cn</w:t>
      </w:r>
      <w:r>
        <w:rPr>
          <w:rFonts w:hint="eastAsia" w:ascii="宋体" w:hAnsi="宋体" w:cs="宋体"/>
          <w:sz w:val="24"/>
          <w:u w:val="single"/>
        </w:rPr>
        <w:t xml:space="preserve">   </w:t>
      </w:r>
      <w:r>
        <w:rPr>
          <w:rFonts w:hint="eastAsia" w:ascii="宋体" w:hAnsi="宋体" w:cs="宋体"/>
          <w:sz w:val="24"/>
        </w:rPr>
        <w:t>）—“登录”—“</w:t>
      </w:r>
      <w:r>
        <w:rPr>
          <w:rFonts w:hint="eastAsia" w:ascii="宋体" w:hAnsi="宋体" w:cs="宋体"/>
          <w:sz w:val="24"/>
          <w:u w:val="single"/>
        </w:rPr>
        <w:t xml:space="preserve">  建设工程   </w:t>
      </w:r>
      <w:r>
        <w:rPr>
          <w:rFonts w:hint="eastAsia" w:ascii="宋体" w:hAnsi="宋体" w:cs="宋体"/>
          <w:sz w:val="24"/>
        </w:rPr>
        <w:t>”，通过数字证书免费下载招标资料（招标文件、技术资料等）。</w:t>
      </w:r>
    </w:p>
    <w:p w14:paraId="4E10ABAC">
      <w:pPr>
        <w:spacing w:line="360" w:lineRule="auto"/>
        <w:ind w:firstLine="480" w:firstLineChars="200"/>
        <w:rPr>
          <w:rFonts w:ascii="宋体" w:hAnsi="宋体"/>
          <w:sz w:val="24"/>
        </w:rPr>
      </w:pPr>
      <w:r>
        <w:rPr>
          <w:rFonts w:hint="eastAsia" w:ascii="宋体" w:hAnsi="宋体"/>
          <w:sz w:val="24"/>
        </w:rPr>
        <w:t>4.2 招标人不提供招标文件获取的其他方式。</w:t>
      </w:r>
    </w:p>
    <w:p w14:paraId="24CB660A">
      <w:pPr>
        <w:pStyle w:val="4"/>
        <w:rPr>
          <w:rFonts w:ascii="宋体" w:hAnsi="宋体" w:eastAsia="宋体"/>
          <w:bCs w:val="0"/>
          <w:kern w:val="0"/>
          <w:sz w:val="24"/>
          <w:szCs w:val="24"/>
        </w:rPr>
      </w:pPr>
      <w:r>
        <w:rPr>
          <w:rFonts w:hint="eastAsia" w:ascii="宋体" w:hAnsi="宋体" w:eastAsia="宋体"/>
          <w:bCs w:val="0"/>
          <w:kern w:val="0"/>
          <w:sz w:val="24"/>
          <w:szCs w:val="24"/>
        </w:rPr>
        <w:t>5. 投标文件的递交</w:t>
      </w:r>
      <w:bookmarkEnd w:id="36"/>
      <w:bookmarkEnd w:id="37"/>
      <w:bookmarkEnd w:id="38"/>
      <w:bookmarkEnd w:id="39"/>
      <w:bookmarkEnd w:id="40"/>
      <w:bookmarkEnd w:id="41"/>
    </w:p>
    <w:p w14:paraId="0B357FB5">
      <w:pPr>
        <w:adjustRightInd w:val="0"/>
        <w:snapToGrid w:val="0"/>
        <w:spacing w:line="360" w:lineRule="auto"/>
        <w:ind w:firstLine="480" w:firstLineChars="200"/>
        <w:rPr>
          <w:rFonts w:ascii="宋体" w:hAnsi="宋体"/>
          <w:sz w:val="24"/>
        </w:rPr>
      </w:pPr>
      <w:bookmarkStart w:id="42" w:name="_Toc157499355"/>
      <w:bookmarkStart w:id="43" w:name="_Toc300834934"/>
      <w:bookmarkStart w:id="44" w:name="_Toc247513939"/>
      <w:bookmarkStart w:id="45" w:name="_Toc247527540"/>
      <w:r>
        <w:rPr>
          <w:rFonts w:hint="eastAsia" w:ascii="宋体" w:hAnsi="宋体"/>
          <w:sz w:val="24"/>
        </w:rPr>
        <w:t>投标文件递交的截止时间（投标截止时间，下同）为</w:t>
      </w:r>
      <w:r>
        <w:rPr>
          <w:rFonts w:hint="eastAsia" w:ascii="宋体" w:hAnsi="宋体"/>
          <w:b/>
          <w:sz w:val="24"/>
          <w:u w:val="single"/>
        </w:rPr>
        <w:t xml:space="preserve">  </w:t>
      </w:r>
      <w:r>
        <w:rPr>
          <w:rFonts w:hint="eastAsia" w:ascii="宋体" w:hAnsi="宋体"/>
          <w:b/>
          <w:sz w:val="24"/>
          <w:u w:val="single"/>
          <w:lang w:val="en-US" w:eastAsia="zh-CN"/>
        </w:rPr>
        <w:t>2025</w:t>
      </w:r>
      <w:r>
        <w:rPr>
          <w:rFonts w:hint="eastAsia" w:ascii="宋体" w:hAnsi="宋体"/>
          <w:b/>
          <w:sz w:val="24"/>
          <w:u w:val="single"/>
        </w:rPr>
        <w:t xml:space="preserve"> </w:t>
      </w:r>
      <w:r>
        <w:rPr>
          <w:rFonts w:hint="eastAsia" w:ascii="宋体" w:hAnsi="宋体"/>
          <w:sz w:val="24"/>
        </w:rPr>
        <w:t>年</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月</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日</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时</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sz w:val="24"/>
        </w:rPr>
        <w:t>分，投标人应在投标截止时间前在线递交经投标人数字证书加密的数据电文形式投标文件。</w:t>
      </w:r>
    </w:p>
    <w:p w14:paraId="23F124AF">
      <w:pPr>
        <w:adjustRightInd w:val="0"/>
        <w:snapToGrid w:val="0"/>
        <w:spacing w:line="360" w:lineRule="auto"/>
        <w:ind w:firstLine="480" w:firstLineChars="200"/>
        <w:rPr>
          <w:rFonts w:ascii="宋体" w:hAnsi="宋体"/>
          <w:sz w:val="24"/>
        </w:rPr>
      </w:pPr>
    </w:p>
    <w:p w14:paraId="63550257">
      <w:pPr>
        <w:pStyle w:val="4"/>
        <w:rPr>
          <w:rFonts w:ascii="宋体" w:hAnsi="宋体" w:eastAsia="宋体"/>
          <w:bCs w:val="0"/>
          <w:kern w:val="0"/>
          <w:sz w:val="24"/>
          <w:szCs w:val="24"/>
        </w:rPr>
      </w:pPr>
      <w:r>
        <w:rPr>
          <w:rFonts w:hint="eastAsia" w:ascii="宋体" w:hAnsi="宋体" w:eastAsia="宋体"/>
          <w:bCs w:val="0"/>
          <w:kern w:val="0"/>
          <w:sz w:val="24"/>
          <w:szCs w:val="24"/>
        </w:rPr>
        <w:t>6.发布公告的媒介</w:t>
      </w:r>
      <w:bookmarkEnd w:id="42"/>
      <w:bookmarkEnd w:id="43"/>
      <w:bookmarkEnd w:id="44"/>
      <w:bookmarkEnd w:id="45"/>
      <w:bookmarkStart w:id="46" w:name="_Toc152042293"/>
      <w:bookmarkStart w:id="47" w:name="_Toc152045517"/>
      <w:bookmarkStart w:id="48" w:name="_Toc247527541"/>
      <w:bookmarkStart w:id="49" w:name="_Toc247513940"/>
      <w:bookmarkStart w:id="50" w:name="_Toc300834935"/>
      <w:bookmarkStart w:id="51" w:name="_Toc144974485"/>
    </w:p>
    <w:p w14:paraId="67EFE6A9">
      <w:pPr>
        <w:adjustRightInd w:val="0"/>
        <w:snapToGrid w:val="0"/>
        <w:spacing w:line="360" w:lineRule="auto"/>
        <w:ind w:firstLine="480" w:firstLineChars="200"/>
        <w:rPr>
          <w:rFonts w:ascii="宋体" w:hAnsi="宋体" w:cs="宋体"/>
          <w:sz w:val="24"/>
        </w:rPr>
      </w:pPr>
      <w:r>
        <w:rPr>
          <w:rFonts w:hint="eastAsia" w:ascii="宋体" w:hAnsi="宋体" w:cs="宋体"/>
          <w:sz w:val="24"/>
        </w:rPr>
        <w:t>本次招标公告在《全国公共资源交易平台（四川省）》和</w:t>
      </w:r>
      <w:r>
        <w:rPr>
          <w:rFonts w:hint="eastAsia" w:ascii="宋体" w:hAnsi="宋体" w:cs="宋体"/>
          <w:sz w:val="24"/>
          <w:u w:val="single"/>
        </w:rPr>
        <w:t xml:space="preserve">    </w:t>
      </w:r>
      <w:r>
        <w:rPr>
          <w:rFonts w:hint="eastAsia" w:ascii="宋体" w:hAnsi="宋体" w:cs="宋体"/>
          <w:b/>
          <w:sz w:val="24"/>
          <w:u w:val="single"/>
        </w:rPr>
        <w:t>《全国公共资源交易平台（四川省·雅安市）》</w:t>
      </w:r>
      <w:r>
        <w:rPr>
          <w:rFonts w:hint="eastAsia" w:ascii="宋体" w:hAnsi="宋体" w:cs="宋体"/>
          <w:sz w:val="24"/>
          <w:u w:val="single"/>
        </w:rPr>
        <w:t xml:space="preserve">      (公告发布的其它媒介名称）</w:t>
      </w:r>
      <w:r>
        <w:rPr>
          <w:rFonts w:hint="eastAsia" w:ascii="宋体" w:hAnsi="宋体" w:cs="宋体"/>
          <w:sz w:val="24"/>
        </w:rPr>
        <w:t>上发布。</w:t>
      </w:r>
    </w:p>
    <w:p w14:paraId="6F21259E">
      <w:pPr>
        <w:pStyle w:val="4"/>
        <w:rPr>
          <w:rFonts w:ascii="宋体" w:hAnsi="宋体" w:eastAsia="宋体"/>
          <w:bCs w:val="0"/>
          <w:kern w:val="0"/>
          <w:sz w:val="24"/>
          <w:szCs w:val="24"/>
        </w:rPr>
      </w:pPr>
      <w:r>
        <w:rPr>
          <w:rFonts w:hint="eastAsia" w:ascii="宋体" w:hAnsi="宋体" w:eastAsia="宋体"/>
          <w:bCs w:val="0"/>
          <w:kern w:val="0"/>
          <w:sz w:val="24"/>
          <w:szCs w:val="24"/>
        </w:rPr>
        <w:t>7. 联系方式</w:t>
      </w:r>
      <w:bookmarkEnd w:id="46"/>
      <w:bookmarkEnd w:id="47"/>
      <w:bookmarkEnd w:id="48"/>
      <w:bookmarkEnd w:id="49"/>
      <w:bookmarkEnd w:id="50"/>
      <w:bookmarkEnd w:id="51"/>
    </w:p>
    <w:p w14:paraId="389A00DA">
      <w:pPr>
        <w:adjustRightInd w:val="0"/>
        <w:snapToGrid w:val="0"/>
        <w:spacing w:line="360" w:lineRule="auto"/>
        <w:ind w:firstLine="240" w:firstLineChars="100"/>
        <w:rPr>
          <w:rFonts w:ascii="宋体" w:hAnsi="宋体"/>
          <w:sz w:val="24"/>
          <w:highlight w:val="none"/>
        </w:rPr>
      </w:pPr>
      <w:r>
        <w:rPr>
          <w:rFonts w:hint="eastAsia" w:ascii="宋体" w:hAnsi="宋体"/>
          <w:sz w:val="24"/>
          <w:highlight w:val="none"/>
        </w:rPr>
        <w:t>招 标 人：</w:t>
      </w:r>
      <w:r>
        <w:rPr>
          <w:rFonts w:hint="eastAsia" w:ascii="宋体" w:hAnsi="宋体"/>
          <w:b/>
          <w:sz w:val="24"/>
          <w:highlight w:val="none"/>
          <w:u w:val="single"/>
        </w:rPr>
        <w:t xml:space="preserve"> </w:t>
      </w:r>
      <w:r>
        <w:rPr>
          <w:rFonts w:hint="eastAsia" w:ascii="宋体" w:hAnsi="宋体"/>
          <w:b/>
          <w:sz w:val="24"/>
          <w:highlight w:val="none"/>
          <w:u w:val="single"/>
          <w:lang w:eastAsia="zh-CN"/>
        </w:rPr>
        <w:t>雅安城市建设投资开发有限公司</w:t>
      </w:r>
      <w:r>
        <w:rPr>
          <w:rFonts w:hint="eastAsia" w:ascii="宋体" w:hAnsi="宋体"/>
          <w:b/>
          <w:sz w:val="24"/>
          <w:highlight w:val="none"/>
          <w:u w:val="single"/>
        </w:rPr>
        <w:t xml:space="preserve">  </w:t>
      </w:r>
    </w:p>
    <w:p w14:paraId="3199ABA6">
      <w:pPr>
        <w:adjustRightInd w:val="0"/>
        <w:snapToGrid w:val="0"/>
        <w:spacing w:line="360" w:lineRule="auto"/>
        <w:ind w:firstLine="240" w:firstLineChars="100"/>
        <w:rPr>
          <w:rFonts w:ascii="宋体" w:hAnsi="宋体"/>
          <w:sz w:val="24"/>
          <w:highlight w:val="none"/>
        </w:rPr>
      </w:pPr>
      <w:r>
        <w:rPr>
          <w:rFonts w:hint="eastAsia" w:ascii="宋体" w:hAnsi="宋体"/>
          <w:sz w:val="24"/>
          <w:highlight w:val="none"/>
        </w:rPr>
        <w:t>地    址：</w:t>
      </w:r>
      <w:r>
        <w:rPr>
          <w:rFonts w:hint="eastAsia" w:ascii="宋体" w:hAnsi="宋体"/>
          <w:b/>
          <w:sz w:val="24"/>
          <w:highlight w:val="none"/>
          <w:u w:val="single"/>
        </w:rPr>
        <w:t xml:space="preserve"> </w:t>
      </w:r>
      <w:r>
        <w:rPr>
          <w:rFonts w:hint="eastAsia" w:ascii="宋体" w:hAnsi="宋体" w:cs="宋体"/>
          <w:b/>
          <w:bCs/>
          <w:sz w:val="24"/>
          <w:highlight w:val="none"/>
          <w:u w:val="single"/>
          <w:lang w:eastAsia="zh-CN"/>
        </w:rPr>
        <w:t>雅安市雨城区和兴街1号</w:t>
      </w:r>
      <w:r>
        <w:rPr>
          <w:rFonts w:hint="eastAsia" w:ascii="宋体" w:hAnsi="宋体"/>
          <w:b/>
          <w:sz w:val="24"/>
          <w:highlight w:val="none"/>
          <w:u w:val="single"/>
        </w:rPr>
        <w:t xml:space="preserve">  </w:t>
      </w:r>
    </w:p>
    <w:p w14:paraId="0D742F9C">
      <w:pPr>
        <w:adjustRightInd w:val="0"/>
        <w:snapToGrid w:val="0"/>
        <w:spacing w:line="360" w:lineRule="auto"/>
        <w:ind w:firstLine="240" w:firstLineChars="100"/>
        <w:rPr>
          <w:rFonts w:ascii="宋体" w:hAnsi="宋体"/>
          <w:sz w:val="24"/>
          <w:highlight w:val="none"/>
        </w:rPr>
      </w:pPr>
      <w:r>
        <w:rPr>
          <w:rFonts w:hint="eastAsia" w:ascii="宋体" w:hAnsi="宋体"/>
          <w:sz w:val="24"/>
          <w:highlight w:val="none"/>
        </w:rPr>
        <w:t>邮    编：</w:t>
      </w:r>
      <w:r>
        <w:rPr>
          <w:rFonts w:hint="eastAsia" w:ascii="宋体" w:hAnsi="宋体"/>
          <w:b/>
          <w:sz w:val="24"/>
          <w:highlight w:val="none"/>
          <w:u w:val="single"/>
        </w:rPr>
        <w:t xml:space="preserve">  </w:t>
      </w:r>
      <w:r>
        <w:rPr>
          <w:rFonts w:hint="eastAsia" w:ascii="宋体" w:hAnsi="宋体"/>
          <w:b/>
          <w:sz w:val="24"/>
          <w:highlight w:val="none"/>
          <w:u w:val="single"/>
          <w:lang w:eastAsia="zh-CN"/>
        </w:rPr>
        <w:t>625000</w:t>
      </w:r>
      <w:r>
        <w:rPr>
          <w:rFonts w:hint="eastAsia" w:ascii="宋体" w:hAnsi="宋体"/>
          <w:b/>
          <w:sz w:val="24"/>
          <w:highlight w:val="none"/>
          <w:u w:val="single"/>
        </w:rPr>
        <w:t xml:space="preserve">  </w:t>
      </w:r>
    </w:p>
    <w:p w14:paraId="5FE71BE2">
      <w:pPr>
        <w:adjustRightInd w:val="0"/>
        <w:snapToGrid w:val="0"/>
        <w:spacing w:line="360" w:lineRule="auto"/>
        <w:ind w:firstLine="240" w:firstLineChars="100"/>
        <w:rPr>
          <w:rFonts w:ascii="宋体" w:hAnsi="宋体"/>
          <w:sz w:val="24"/>
          <w:highlight w:val="none"/>
        </w:rPr>
      </w:pPr>
      <w:r>
        <w:rPr>
          <w:rFonts w:hint="eastAsia" w:ascii="宋体" w:hAnsi="宋体"/>
          <w:sz w:val="24"/>
          <w:highlight w:val="none"/>
        </w:rPr>
        <w:t>联 系 人：</w:t>
      </w:r>
      <w:r>
        <w:rPr>
          <w:rFonts w:hint="eastAsia" w:ascii="宋体" w:hAnsi="宋体"/>
          <w:b/>
          <w:sz w:val="24"/>
          <w:highlight w:val="none"/>
          <w:u w:val="single"/>
        </w:rPr>
        <w:t xml:space="preserve">  </w:t>
      </w:r>
      <w:r>
        <w:rPr>
          <w:rFonts w:hint="eastAsia" w:ascii="宋体" w:hAnsi="宋体"/>
          <w:b/>
          <w:sz w:val="24"/>
          <w:highlight w:val="none"/>
          <w:u w:val="single"/>
          <w:lang w:eastAsia="zh-CN"/>
        </w:rPr>
        <w:t>罗先生</w:t>
      </w:r>
      <w:r>
        <w:rPr>
          <w:rFonts w:hint="eastAsia" w:ascii="宋体" w:hAnsi="宋体"/>
          <w:b/>
          <w:sz w:val="24"/>
          <w:highlight w:val="none"/>
          <w:u w:val="single"/>
        </w:rPr>
        <w:t xml:space="preserve">  </w:t>
      </w:r>
    </w:p>
    <w:p w14:paraId="0A596975">
      <w:pPr>
        <w:adjustRightInd w:val="0"/>
        <w:snapToGrid w:val="0"/>
        <w:spacing w:line="360" w:lineRule="auto"/>
        <w:ind w:firstLine="240" w:firstLineChars="100"/>
        <w:rPr>
          <w:rFonts w:ascii="宋体" w:hAnsi="宋体"/>
          <w:sz w:val="24"/>
          <w:highlight w:val="none"/>
        </w:rPr>
      </w:pPr>
      <w:r>
        <w:rPr>
          <w:rFonts w:hint="eastAsia" w:ascii="宋体" w:hAnsi="宋体"/>
          <w:sz w:val="24"/>
          <w:highlight w:val="none"/>
        </w:rPr>
        <w:t>电    话：</w:t>
      </w:r>
      <w:r>
        <w:rPr>
          <w:rFonts w:hint="eastAsia" w:ascii="宋体" w:hAnsi="宋体"/>
          <w:b/>
          <w:sz w:val="24"/>
          <w:highlight w:val="none"/>
          <w:u w:val="single"/>
        </w:rPr>
        <w:t xml:space="preserve">  </w:t>
      </w:r>
      <w:r>
        <w:rPr>
          <w:rFonts w:hint="eastAsia" w:ascii="宋体" w:hAnsi="宋体"/>
          <w:b/>
          <w:sz w:val="24"/>
          <w:highlight w:val="none"/>
          <w:u w:val="single"/>
          <w:lang w:eastAsia="zh-CN"/>
        </w:rPr>
        <w:t>0835-2628392</w:t>
      </w:r>
      <w:r>
        <w:rPr>
          <w:rFonts w:hint="eastAsia" w:ascii="宋体" w:hAnsi="宋体"/>
          <w:b/>
          <w:sz w:val="24"/>
          <w:highlight w:val="none"/>
          <w:u w:val="single"/>
        </w:rPr>
        <w:t xml:space="preserve">  </w:t>
      </w:r>
    </w:p>
    <w:p w14:paraId="1136D6A7">
      <w:pPr>
        <w:adjustRightInd w:val="0"/>
        <w:snapToGrid w:val="0"/>
        <w:spacing w:line="360" w:lineRule="auto"/>
        <w:ind w:firstLine="240" w:firstLineChars="100"/>
        <w:rPr>
          <w:rFonts w:ascii="宋体" w:hAnsi="宋体"/>
          <w:sz w:val="24"/>
        </w:rPr>
      </w:pPr>
      <w:r>
        <w:rPr>
          <w:rFonts w:hint="eastAsia" w:ascii="宋体" w:hAnsi="宋体"/>
          <w:sz w:val="24"/>
        </w:rPr>
        <w:t>传    真：</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09301713">
      <w:pPr>
        <w:adjustRightInd w:val="0"/>
        <w:snapToGrid w:val="0"/>
        <w:spacing w:line="360" w:lineRule="auto"/>
        <w:ind w:firstLine="240" w:firstLineChars="100"/>
        <w:rPr>
          <w:rFonts w:ascii="宋体" w:hAnsi="宋体"/>
          <w:sz w:val="24"/>
        </w:rPr>
      </w:pPr>
      <w:r>
        <w:rPr>
          <w:rFonts w:hint="eastAsia" w:ascii="宋体" w:hAnsi="宋体"/>
          <w:sz w:val="24"/>
        </w:rPr>
        <w:t>电子邮件：</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32FBA577">
      <w:pPr>
        <w:adjustRightInd w:val="0"/>
        <w:snapToGrid w:val="0"/>
        <w:spacing w:line="360" w:lineRule="auto"/>
        <w:ind w:firstLine="240" w:firstLineChars="100"/>
        <w:rPr>
          <w:rFonts w:ascii="宋体" w:hAnsi="宋体"/>
          <w:sz w:val="24"/>
        </w:rPr>
      </w:pPr>
      <w:r>
        <w:rPr>
          <w:rFonts w:hint="eastAsia" w:ascii="宋体" w:hAnsi="宋体"/>
          <w:sz w:val="24"/>
        </w:rPr>
        <w:t>网    址：</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2D8B58AC">
      <w:pPr>
        <w:adjustRightInd w:val="0"/>
        <w:snapToGrid w:val="0"/>
        <w:spacing w:line="360" w:lineRule="auto"/>
        <w:ind w:firstLine="240" w:firstLineChars="100"/>
        <w:rPr>
          <w:rFonts w:ascii="宋体" w:hAnsi="宋体"/>
          <w:sz w:val="24"/>
        </w:rPr>
      </w:pPr>
      <w:r>
        <w:rPr>
          <w:rFonts w:hint="eastAsia" w:ascii="宋体" w:hAnsi="宋体"/>
          <w:sz w:val="24"/>
        </w:rPr>
        <w:t>开户银行：</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7645942C">
      <w:pPr>
        <w:adjustRightInd w:val="0"/>
        <w:snapToGrid w:val="0"/>
        <w:spacing w:line="360" w:lineRule="auto"/>
        <w:ind w:firstLine="240" w:firstLineChars="100"/>
        <w:rPr>
          <w:rFonts w:ascii="宋体" w:hAnsi="宋体"/>
          <w:sz w:val="24"/>
        </w:rPr>
      </w:pPr>
      <w:r>
        <w:rPr>
          <w:rFonts w:hint="eastAsia" w:ascii="宋体" w:hAnsi="宋体"/>
          <w:sz w:val="24"/>
        </w:rPr>
        <w:t>账    号：</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112D95BE">
      <w:pPr>
        <w:adjustRightInd w:val="0"/>
        <w:snapToGrid w:val="0"/>
        <w:spacing w:line="360" w:lineRule="auto"/>
        <w:rPr>
          <w:rFonts w:ascii="宋体" w:hAnsi="宋体"/>
          <w:sz w:val="24"/>
        </w:rPr>
      </w:pPr>
    </w:p>
    <w:p w14:paraId="66AAB9C7">
      <w:pPr>
        <w:adjustRightInd w:val="0"/>
        <w:snapToGrid w:val="0"/>
        <w:spacing w:line="360" w:lineRule="auto"/>
        <w:rPr>
          <w:rFonts w:ascii="宋体" w:hAnsi="宋体"/>
          <w:sz w:val="24"/>
        </w:rPr>
      </w:pPr>
      <w:sdt>
        <w:sdtPr>
          <w:rPr>
            <w:rFonts w:hint="eastAsia" w:ascii="宋体" w:hAnsi="宋体"/>
            <w:sz w:val="27"/>
          </w:rPr>
          <w:id w:val="1404259756"/>
          <w14:checkbox>
            <w14:checked w14:val="0"/>
            <w14:checkedState w14:val="2611" w14:font="MS Gothic"/>
            <w14:uncheckedState w14:val="2610" w14:font="MS Gothic"/>
          </w14:checkbox>
        </w:sdtPr>
        <w:sdtEndPr>
          <w:rPr>
            <w:rFonts w:hint="eastAsia" w:ascii="宋体" w:hAnsi="宋体"/>
            <w:sz w:val="27"/>
          </w:rPr>
        </w:sdtEndPr>
        <w:sdtContent>
          <w:r>
            <w:rPr>
              <w:rFonts w:hint="eastAsia" w:ascii="MS Gothic" w:hAnsi="MS Gothic" w:eastAsia="MS Gothic" w:cs="MS Gothic"/>
              <w:sz w:val="27"/>
            </w:rPr>
            <w:t>☐</w:t>
          </w:r>
        </w:sdtContent>
      </w:sdt>
      <w:r>
        <w:rPr>
          <w:rFonts w:hint="eastAsia" w:ascii="宋体" w:hAnsi="宋体"/>
          <w:sz w:val="27"/>
        </w:rPr>
        <w:t xml:space="preserve"> </w:t>
      </w:r>
      <w:r>
        <w:rPr>
          <w:rFonts w:hint="eastAsia" w:ascii="宋体" w:hAnsi="宋体"/>
          <w:sz w:val="24"/>
        </w:rPr>
        <w:t>招标代理机构：</w:t>
      </w:r>
      <w:r>
        <w:rPr>
          <w:rFonts w:hint="eastAsia" w:ascii="宋体" w:hAnsi="宋体"/>
          <w:b/>
          <w:sz w:val="24"/>
          <w:u w:val="single"/>
        </w:rPr>
        <w:t xml:space="preserve">    /     </w:t>
      </w:r>
    </w:p>
    <w:p w14:paraId="31CEF8B2">
      <w:pPr>
        <w:adjustRightInd w:val="0"/>
        <w:snapToGrid w:val="0"/>
        <w:spacing w:line="360" w:lineRule="auto"/>
        <w:jc w:val="center"/>
        <w:rPr>
          <w:rFonts w:ascii="宋体" w:hAnsi="宋体"/>
          <w:sz w:val="24"/>
        </w:rPr>
      </w:pPr>
    </w:p>
    <w:p w14:paraId="20B6026E">
      <w:pPr>
        <w:adjustRightInd w:val="0"/>
        <w:snapToGrid w:val="0"/>
        <w:spacing w:line="360" w:lineRule="auto"/>
        <w:rPr>
          <w:rFonts w:ascii="宋体" w:hAnsi="宋体"/>
          <w:sz w:val="24"/>
        </w:rPr>
      </w:pPr>
      <w:sdt>
        <w:sdtPr>
          <w:rPr>
            <w:rFonts w:hint="eastAsia" w:ascii="宋体" w:hAnsi="宋体"/>
            <w:sz w:val="27"/>
          </w:rPr>
          <w:id w:val="-419405260"/>
          <w14:checkbox>
            <w14:checked w14:val="1"/>
            <w14:checkedState w14:val="2611" w14:font="MS Gothic"/>
            <w14:uncheckedState w14:val="2610" w14:font="MS Gothic"/>
          </w14:checkbox>
        </w:sdtPr>
        <w:sdtEndPr>
          <w:rPr>
            <w:rFonts w:hint="eastAsia" w:ascii="宋体" w:hAnsi="宋体"/>
            <w:sz w:val="27"/>
          </w:rPr>
        </w:sdtEndPr>
        <w:sdtContent>
          <w:r>
            <w:rPr>
              <w:rFonts w:hint="eastAsia" w:ascii="MS Gothic" w:hAnsi="MS Gothic" w:eastAsia="MS Gothic" w:cs="MS Gothic"/>
              <w:kern w:val="2"/>
              <w:sz w:val="27"/>
              <w:szCs w:val="24"/>
              <w:lang w:val="en-US" w:eastAsia="zh-CN" w:bidi="ar-SA"/>
            </w:rPr>
            <w:t>☑</w:t>
          </w:r>
        </w:sdtContent>
      </w:sdt>
      <w:r>
        <w:rPr>
          <w:rFonts w:hint="eastAsia" w:ascii="宋体" w:hAnsi="宋体"/>
          <w:sz w:val="27"/>
        </w:rPr>
        <w:t xml:space="preserve"> </w:t>
      </w:r>
      <w:r>
        <w:rPr>
          <w:rFonts w:hint="eastAsia" w:ascii="宋体" w:hAnsi="宋体"/>
          <w:sz w:val="24"/>
        </w:rPr>
        <w:t>招标代理机构：</w:t>
      </w:r>
      <w:r>
        <w:rPr>
          <w:rFonts w:hint="eastAsia" w:ascii="宋体" w:hAnsi="宋体"/>
          <w:b/>
          <w:sz w:val="24"/>
          <w:u w:val="single"/>
        </w:rPr>
        <w:t xml:space="preserve"> </w:t>
      </w:r>
      <w:r>
        <w:rPr>
          <w:rFonts w:hint="eastAsia" w:ascii="宋体" w:hAnsi="宋体"/>
          <w:b/>
          <w:sz w:val="24"/>
          <w:u w:val="single"/>
          <w:lang w:eastAsia="zh-CN"/>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p>
    <w:p w14:paraId="26C51DF2">
      <w:pPr>
        <w:adjustRightInd w:val="0"/>
        <w:snapToGrid w:val="0"/>
        <w:spacing w:line="360" w:lineRule="auto"/>
        <w:ind w:firstLine="240" w:firstLineChars="100"/>
        <w:rPr>
          <w:rFonts w:ascii="宋体" w:hAnsi="宋体"/>
          <w:sz w:val="24"/>
        </w:rPr>
      </w:pPr>
      <w:r>
        <w:rPr>
          <w:rFonts w:hint="eastAsia" w:ascii="宋体" w:hAnsi="宋体"/>
          <w:sz w:val="24"/>
        </w:rPr>
        <w:t>地    址：</w:t>
      </w:r>
      <w:r>
        <w:rPr>
          <w:rFonts w:hint="eastAsia" w:ascii="宋体" w:hAnsi="宋体"/>
          <w:b/>
          <w:sz w:val="24"/>
          <w:u w:val="single"/>
        </w:rPr>
        <w:t xml:space="preserve"> </w:t>
      </w:r>
      <w:r>
        <w:rPr>
          <w:rFonts w:hint="eastAsia" w:ascii="宋体" w:hAnsi="宋体"/>
          <w:b/>
          <w:sz w:val="24"/>
          <w:u w:val="single"/>
          <w:lang w:eastAsia="zh-CN"/>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p>
    <w:p w14:paraId="1F60C53F">
      <w:pPr>
        <w:adjustRightInd w:val="0"/>
        <w:snapToGrid w:val="0"/>
        <w:spacing w:line="360" w:lineRule="auto"/>
        <w:ind w:firstLine="240" w:firstLineChars="100"/>
        <w:rPr>
          <w:rFonts w:ascii="宋体" w:hAnsi="宋体"/>
          <w:sz w:val="24"/>
        </w:rPr>
      </w:pPr>
      <w:r>
        <w:rPr>
          <w:rFonts w:hint="eastAsia" w:ascii="宋体" w:hAnsi="宋体"/>
          <w:sz w:val="24"/>
        </w:rPr>
        <w:t>邮    编：</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p>
    <w:p w14:paraId="17ACDDAE">
      <w:pPr>
        <w:adjustRightInd w:val="0"/>
        <w:snapToGrid w:val="0"/>
        <w:spacing w:line="360" w:lineRule="auto"/>
        <w:ind w:firstLine="240" w:firstLineChars="100"/>
        <w:rPr>
          <w:rFonts w:ascii="宋体" w:hAnsi="宋体"/>
          <w:sz w:val="24"/>
        </w:rPr>
      </w:pPr>
      <w:r>
        <w:rPr>
          <w:rFonts w:hint="eastAsia" w:ascii="宋体" w:hAnsi="宋体"/>
          <w:sz w:val="24"/>
        </w:rPr>
        <w:t>联 系 人：</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p>
    <w:p w14:paraId="08683BB0">
      <w:pPr>
        <w:adjustRightInd w:val="0"/>
        <w:snapToGrid w:val="0"/>
        <w:spacing w:line="360" w:lineRule="auto"/>
        <w:ind w:firstLine="240" w:firstLineChars="100"/>
        <w:rPr>
          <w:rFonts w:ascii="宋体" w:hAnsi="宋体"/>
          <w:sz w:val="24"/>
        </w:rPr>
      </w:pPr>
      <w:r>
        <w:rPr>
          <w:rFonts w:hint="eastAsia" w:ascii="宋体" w:hAnsi="宋体"/>
          <w:sz w:val="24"/>
        </w:rPr>
        <w:t>电    话：</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lang w:eastAsia="zh-CN"/>
        </w:rPr>
        <w:t xml:space="preserve"> </w:t>
      </w:r>
      <w:r>
        <w:rPr>
          <w:rFonts w:hint="eastAsia" w:ascii="宋体" w:hAnsi="宋体"/>
          <w:b/>
          <w:sz w:val="24"/>
          <w:u w:val="single"/>
        </w:rPr>
        <w:t xml:space="preserve">  </w:t>
      </w:r>
    </w:p>
    <w:p w14:paraId="45486B31">
      <w:pPr>
        <w:adjustRightInd w:val="0"/>
        <w:snapToGrid w:val="0"/>
        <w:spacing w:line="360" w:lineRule="auto"/>
        <w:ind w:firstLine="240" w:firstLineChars="100"/>
        <w:rPr>
          <w:rFonts w:ascii="宋体" w:hAnsi="宋体"/>
          <w:sz w:val="24"/>
        </w:rPr>
      </w:pPr>
      <w:r>
        <w:rPr>
          <w:rFonts w:hint="eastAsia" w:ascii="宋体" w:hAnsi="宋体"/>
          <w:sz w:val="24"/>
        </w:rPr>
        <w:t>传    真：</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53F675F9">
      <w:pPr>
        <w:adjustRightInd w:val="0"/>
        <w:snapToGrid w:val="0"/>
        <w:spacing w:line="360" w:lineRule="auto"/>
        <w:ind w:firstLine="240" w:firstLineChars="100"/>
        <w:rPr>
          <w:rFonts w:ascii="宋体" w:hAnsi="宋体"/>
          <w:sz w:val="24"/>
        </w:rPr>
      </w:pPr>
      <w:r>
        <w:rPr>
          <w:rFonts w:hint="eastAsia" w:ascii="宋体" w:hAnsi="宋体"/>
          <w:sz w:val="24"/>
        </w:rPr>
        <w:t>电子邮件：</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05337FDB">
      <w:pPr>
        <w:adjustRightInd w:val="0"/>
        <w:snapToGrid w:val="0"/>
        <w:spacing w:line="360" w:lineRule="auto"/>
        <w:ind w:firstLine="240" w:firstLineChars="100"/>
        <w:rPr>
          <w:rFonts w:ascii="宋体" w:hAnsi="宋体"/>
          <w:sz w:val="24"/>
        </w:rPr>
      </w:pPr>
      <w:r>
        <w:rPr>
          <w:rFonts w:hint="eastAsia" w:ascii="宋体" w:hAnsi="宋体"/>
          <w:sz w:val="24"/>
        </w:rPr>
        <w:t>网    址：</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48282855">
      <w:pPr>
        <w:adjustRightInd w:val="0"/>
        <w:snapToGrid w:val="0"/>
        <w:spacing w:line="360" w:lineRule="auto"/>
        <w:ind w:firstLine="240" w:firstLineChars="100"/>
        <w:rPr>
          <w:rFonts w:ascii="宋体" w:hAnsi="宋体"/>
          <w:sz w:val="24"/>
        </w:rPr>
      </w:pPr>
      <w:r>
        <w:rPr>
          <w:rFonts w:hint="eastAsia" w:ascii="宋体" w:hAnsi="宋体"/>
          <w:sz w:val="24"/>
        </w:rPr>
        <w:t>开户银行：</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4BE8958A">
      <w:pPr>
        <w:adjustRightInd w:val="0"/>
        <w:snapToGrid w:val="0"/>
        <w:spacing w:line="360" w:lineRule="auto"/>
        <w:ind w:firstLine="240" w:firstLineChars="100"/>
        <w:rPr>
          <w:rFonts w:ascii="宋体" w:hAnsi="宋体"/>
          <w:sz w:val="24"/>
        </w:rPr>
      </w:pPr>
      <w:r>
        <w:rPr>
          <w:rFonts w:hint="eastAsia" w:ascii="宋体" w:hAnsi="宋体"/>
          <w:sz w:val="24"/>
        </w:rPr>
        <w:t>账    号：</w:t>
      </w:r>
      <w:r>
        <w:rPr>
          <w:rFonts w:hint="eastAsia" w:ascii="宋体" w:hAnsi="宋体"/>
          <w:b/>
          <w:sz w:val="24"/>
          <w:u w:val="single"/>
        </w:rPr>
        <w:t xml:space="preserve">    </w:t>
      </w:r>
      <w:r>
        <w:rPr>
          <w:rFonts w:hint="eastAsia" w:ascii="宋体" w:hAnsi="宋体"/>
          <w:b/>
          <w:sz w:val="24"/>
          <w:u w:val="single"/>
          <w:lang w:val="en-US" w:eastAsia="zh-CN"/>
        </w:rPr>
        <w:t>/</w:t>
      </w:r>
      <w:r>
        <w:rPr>
          <w:rFonts w:hint="eastAsia" w:ascii="宋体" w:hAnsi="宋体"/>
          <w:b/>
          <w:sz w:val="24"/>
          <w:u w:val="single"/>
        </w:rPr>
        <w:t xml:space="preserve">     </w:t>
      </w:r>
    </w:p>
    <w:p w14:paraId="1E4C75F5">
      <w:pPr>
        <w:adjustRightInd w:val="0"/>
        <w:snapToGrid w:val="0"/>
        <w:spacing w:line="360" w:lineRule="auto"/>
        <w:jc w:val="center"/>
        <w:rPr>
          <w:rFonts w:ascii="宋体" w:hAnsi="宋体"/>
          <w:sz w:val="24"/>
        </w:rPr>
      </w:pPr>
      <w:r>
        <w:rPr>
          <w:rFonts w:hint="eastAsia" w:ascii="宋体" w:hAnsi="宋体"/>
          <w:b/>
          <w:sz w:val="24"/>
        </w:rPr>
        <w:t xml:space="preserve">                                      </w:t>
      </w:r>
      <w:r>
        <w:rPr>
          <w:rFonts w:hint="eastAsia" w:ascii="宋体" w:hAnsi="宋体"/>
          <w:b/>
          <w:sz w:val="24"/>
          <w:u w:val="single"/>
        </w:rPr>
        <w:t xml:space="preserve"> </w:t>
      </w:r>
      <w:r>
        <w:rPr>
          <w:rFonts w:hint="eastAsia" w:ascii="宋体" w:hAnsi="宋体"/>
          <w:b/>
          <w:sz w:val="24"/>
          <w:u w:val="single"/>
          <w:lang w:val="en-US" w:eastAsia="zh-CN"/>
        </w:rPr>
        <w:t>2025</w:t>
      </w:r>
      <w:r>
        <w:rPr>
          <w:rFonts w:hint="eastAsia" w:ascii="宋体" w:hAnsi="宋体"/>
          <w:b/>
          <w:sz w:val="24"/>
          <w:u w:val="single"/>
        </w:rPr>
        <w:t xml:space="preserve">  </w:t>
      </w:r>
      <w:r>
        <w:rPr>
          <w:rFonts w:hint="eastAsia" w:ascii="宋体" w:hAnsi="宋体"/>
          <w:sz w:val="24"/>
        </w:rPr>
        <w:t>年</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月</w:t>
      </w:r>
      <w:r>
        <w:rPr>
          <w:rFonts w:hint="eastAsia" w:ascii="宋体" w:hAnsi="宋体"/>
          <w:b/>
          <w:sz w:val="24"/>
          <w:u w:val="single"/>
        </w:rPr>
        <w:t xml:space="preserve"> </w:t>
      </w:r>
      <w:r>
        <w:rPr>
          <w:rFonts w:hint="eastAsia" w:ascii="宋体" w:hAnsi="宋体"/>
          <w:b/>
          <w:sz w:val="24"/>
          <w:u w:val="single"/>
          <w:lang w:val="en-US" w:eastAsia="zh-CN"/>
        </w:rPr>
        <w:t xml:space="preserve"> </w:t>
      </w:r>
      <w:r>
        <w:rPr>
          <w:rFonts w:hint="eastAsia" w:ascii="宋体" w:hAnsi="宋体"/>
          <w:b/>
          <w:sz w:val="24"/>
          <w:u w:val="single"/>
        </w:rPr>
        <w:t xml:space="preserve"> </w:t>
      </w:r>
      <w:r>
        <w:rPr>
          <w:rFonts w:hint="eastAsia" w:ascii="宋体" w:hAnsi="宋体"/>
          <w:sz w:val="24"/>
        </w:rPr>
        <w:t>日</w:t>
      </w:r>
    </w:p>
    <w:p w14:paraId="28DED51B">
      <w:pPr>
        <w:spacing w:line="360" w:lineRule="auto"/>
        <w:rPr>
          <w:rFonts w:ascii="宋体" w:hAnsi="宋体" w:cs="宋体"/>
          <w:sz w:val="24"/>
        </w:rPr>
      </w:pPr>
    </w:p>
    <w:p w14:paraId="3F5E2EEB">
      <w:pPr>
        <w:spacing w:line="360" w:lineRule="auto"/>
        <w:rPr>
          <w:rFonts w:ascii="宋体" w:hAnsi="宋体" w:cs="宋体"/>
          <w:sz w:val="24"/>
        </w:rPr>
      </w:pPr>
      <w:r>
        <w:rPr>
          <w:rFonts w:hint="eastAsia" w:ascii="宋体" w:hAnsi="宋体" w:cs="宋体"/>
          <w:sz w:val="24"/>
        </w:rPr>
        <w:t>注：</w:t>
      </w:r>
    </w:p>
    <w:p w14:paraId="29539E9A">
      <w:pPr>
        <w:spacing w:line="360" w:lineRule="auto"/>
        <w:ind w:firstLine="480" w:firstLineChars="200"/>
        <w:rPr>
          <w:rFonts w:ascii="宋体" w:hAnsi="宋体" w:cs="宋体"/>
          <w:sz w:val="24"/>
        </w:rPr>
      </w:pPr>
      <w:r>
        <w:rPr>
          <w:rFonts w:hint="eastAsia" w:ascii="宋体" w:hAnsi="宋体" w:cs="宋体"/>
          <w:sz w:val="24"/>
        </w:rPr>
        <w:t>（1）若</w:t>
      </w:r>
      <w:r>
        <w:rPr>
          <w:rFonts w:ascii="宋体" w:hAnsi="宋体" w:cs="宋体"/>
          <w:sz w:val="24"/>
        </w:rPr>
        <w:t>划分标段，则填写标段序号；</w:t>
      </w:r>
      <w:r>
        <w:rPr>
          <w:rFonts w:hint="eastAsia" w:ascii="宋体" w:hAnsi="宋体" w:cs="宋体"/>
          <w:sz w:val="24"/>
        </w:rPr>
        <w:t>若</w:t>
      </w:r>
      <w:r>
        <w:rPr>
          <w:rFonts w:ascii="宋体" w:hAnsi="宋体" w:cs="宋体"/>
          <w:sz w:val="24"/>
        </w:rPr>
        <w:t>划分为两个及以上标段，应分别明确各标段的具体内容、划分情况。</w:t>
      </w:r>
    </w:p>
    <w:p w14:paraId="3AD297F8">
      <w:pPr>
        <w:spacing w:line="360" w:lineRule="auto"/>
        <w:ind w:firstLine="480" w:firstLineChars="200"/>
        <w:rPr>
          <w:rFonts w:ascii="宋体" w:hAnsi="宋体" w:cs="宋体"/>
          <w:sz w:val="24"/>
        </w:rPr>
      </w:pPr>
      <w:r>
        <w:rPr>
          <w:rFonts w:ascii="宋体" w:hAnsi="宋体" w:cs="宋体"/>
          <w:sz w:val="24"/>
        </w:rPr>
        <w:t>（</w:t>
      </w:r>
      <w:r>
        <w:rPr>
          <w:rFonts w:hint="eastAsia" w:ascii="宋体" w:hAnsi="宋体" w:cs="宋体"/>
          <w:sz w:val="24"/>
        </w:rPr>
        <w:t>2</w:t>
      </w:r>
      <w:r>
        <w:rPr>
          <w:rFonts w:ascii="宋体" w:hAnsi="宋体" w:cs="宋体"/>
          <w:sz w:val="24"/>
        </w:rPr>
        <w:t>）招标人对投标人的资质要求，应是国家对投标人资质的强制性规定。不是国家规定必须具备的资质，不得作为</w:t>
      </w:r>
      <w:r>
        <w:rPr>
          <w:rFonts w:hint="eastAsia" w:ascii="宋体" w:hAnsi="宋体" w:cs="宋体"/>
          <w:sz w:val="24"/>
        </w:rPr>
        <w:t>资质要求。</w:t>
      </w:r>
    </w:p>
    <w:p w14:paraId="1E071542">
      <w:pPr>
        <w:spacing w:line="360" w:lineRule="auto"/>
        <w:ind w:firstLine="480" w:firstLineChars="200"/>
        <w:rPr>
          <w:rFonts w:ascii="宋体" w:hAnsi="宋体" w:cs="宋体"/>
          <w:sz w:val="24"/>
        </w:rPr>
      </w:pPr>
      <w:r>
        <w:rPr>
          <w:rFonts w:ascii="宋体" w:hAnsi="宋体" w:cs="宋体"/>
          <w:sz w:val="24"/>
        </w:rPr>
        <w:t>（</w:t>
      </w:r>
      <w:r>
        <w:rPr>
          <w:rFonts w:hint="eastAsia" w:ascii="宋体" w:hAnsi="宋体" w:cs="宋体"/>
          <w:sz w:val="24"/>
        </w:rPr>
        <w:t>3</w:t>
      </w:r>
      <w:r>
        <w:rPr>
          <w:rFonts w:ascii="宋体" w:hAnsi="宋体" w:cs="宋体"/>
          <w:sz w:val="24"/>
        </w:rPr>
        <w:t>）招标人对投标人的</w:t>
      </w:r>
      <w:r>
        <w:rPr>
          <w:rFonts w:hint="eastAsia" w:ascii="宋体" w:hAnsi="宋体" w:cs="宋体"/>
          <w:sz w:val="24"/>
        </w:rPr>
        <w:t>类似项目业绩</w:t>
      </w:r>
      <w:r>
        <w:rPr>
          <w:rFonts w:ascii="宋体" w:hAnsi="宋体" w:cs="宋体"/>
          <w:sz w:val="24"/>
        </w:rPr>
        <w:t>要求</w:t>
      </w:r>
      <w:r>
        <w:rPr>
          <w:rFonts w:hint="eastAsia" w:ascii="宋体" w:hAnsi="宋体" w:cs="宋体"/>
          <w:sz w:val="24"/>
        </w:rPr>
        <w:t>，设置的投资额、面积、长度等规模量化指标不得高于本次招标工程相应指标，</w:t>
      </w:r>
      <w:r>
        <w:rPr>
          <w:rFonts w:ascii="宋体" w:hAnsi="宋体" w:cs="宋体"/>
          <w:sz w:val="24"/>
        </w:rPr>
        <w:t>类似项目业绩的定义应明确，用语准确无歧义。</w:t>
      </w:r>
    </w:p>
    <w:p w14:paraId="638F9D04">
      <w:pPr>
        <w:spacing w:line="360" w:lineRule="auto"/>
        <w:ind w:firstLine="480" w:firstLineChars="200"/>
        <w:rPr>
          <w:rFonts w:ascii="宋体" w:hAnsi="宋体" w:cs="宋体"/>
          <w:sz w:val="24"/>
        </w:rPr>
      </w:pPr>
      <w:r>
        <w:rPr>
          <w:rFonts w:hint="eastAsia" w:ascii="宋体" w:hAnsi="宋体" w:cs="宋体"/>
          <w:sz w:val="24"/>
        </w:rPr>
        <w:t>（4）招标人限定的联合体成员数量不得少于设定的资质个数。</w:t>
      </w:r>
    </w:p>
    <w:p w14:paraId="747DBA4E">
      <w:pPr>
        <w:spacing w:line="400" w:lineRule="exact"/>
      </w:pPr>
      <w:r>
        <w:br w:type="page"/>
      </w:r>
    </w:p>
    <w:p w14:paraId="5DE3E0DD">
      <w:pPr>
        <w:pStyle w:val="3"/>
        <w:jc w:val="center"/>
      </w:pPr>
      <w:bookmarkStart w:id="52" w:name="_Toc300834947"/>
      <w:bookmarkStart w:id="53" w:name="_Toc247513950"/>
      <w:bookmarkStart w:id="54" w:name="_Toc144974495"/>
      <w:bookmarkStart w:id="55" w:name="_Toc152042303"/>
      <w:bookmarkStart w:id="56" w:name="_Toc247527551"/>
      <w:bookmarkStart w:id="57" w:name="_Toc152045527"/>
      <w:r>
        <w:rPr>
          <w:rFonts w:hint="eastAsia" w:ascii="宋体" w:hAnsi="宋体" w:cs="宋体"/>
          <w:bCs w:val="0"/>
          <w:sz w:val="32"/>
          <w:szCs w:val="32"/>
        </w:rPr>
        <w:t>第二章 投标人须知</w:t>
      </w:r>
      <w:bookmarkEnd w:id="52"/>
      <w:bookmarkEnd w:id="53"/>
      <w:bookmarkEnd w:id="54"/>
      <w:bookmarkEnd w:id="55"/>
      <w:bookmarkEnd w:id="56"/>
      <w:bookmarkEnd w:id="57"/>
    </w:p>
    <w:p w14:paraId="5C864A32">
      <w:pPr>
        <w:pStyle w:val="3"/>
        <w:widowControl/>
        <w:adjustRightInd w:val="0"/>
        <w:snapToGrid w:val="0"/>
        <w:spacing w:line="360" w:lineRule="auto"/>
        <w:jc w:val="center"/>
      </w:pPr>
      <w:bookmarkStart w:id="58" w:name="_Toc152045528"/>
      <w:bookmarkStart w:id="59" w:name="_Toc144974496"/>
      <w:bookmarkStart w:id="60" w:name="_Toc247527552"/>
      <w:bookmarkStart w:id="61" w:name="_Toc152042304"/>
      <w:bookmarkStart w:id="62" w:name="_Toc300834948"/>
      <w:bookmarkStart w:id="63" w:name="_Toc247513951"/>
      <w:r>
        <w:rPr>
          <w:rFonts w:hint="eastAsia" w:ascii="宋体" w:hAnsi="宋体"/>
          <w:bCs w:val="0"/>
          <w:sz w:val="28"/>
          <w:szCs w:val="28"/>
        </w:rPr>
        <w:t>投标人须知前附表</w:t>
      </w:r>
      <w:bookmarkEnd w:id="58"/>
      <w:bookmarkEnd w:id="59"/>
      <w:bookmarkEnd w:id="60"/>
      <w:bookmarkEnd w:id="61"/>
      <w:bookmarkEnd w:id="62"/>
      <w:bookmarkEnd w:id="63"/>
    </w:p>
    <w:tbl>
      <w:tblPr>
        <w:tblStyle w:val="23"/>
        <w:tblW w:w="0" w:type="auto"/>
        <w:tblInd w:w="0" w:type="dxa"/>
        <w:tblLayout w:type="fixed"/>
        <w:tblCellMar>
          <w:top w:w="0" w:type="dxa"/>
          <w:left w:w="108" w:type="dxa"/>
          <w:bottom w:w="0" w:type="dxa"/>
          <w:right w:w="108" w:type="dxa"/>
        </w:tblCellMar>
      </w:tblPr>
      <w:tblGrid>
        <w:gridCol w:w="1165"/>
        <w:gridCol w:w="2252"/>
        <w:gridCol w:w="6437"/>
      </w:tblGrid>
      <w:tr w14:paraId="2A56AB6C">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ACA4E84">
            <w:pPr>
              <w:spacing w:line="440" w:lineRule="exact"/>
              <w:jc w:val="center"/>
              <w:rPr>
                <w:rFonts w:ascii="宋体" w:hAnsi="宋体" w:cs="宋体"/>
                <w:b/>
                <w:sz w:val="24"/>
              </w:rPr>
            </w:pPr>
            <w:r>
              <w:rPr>
                <w:rFonts w:hint="eastAsia" w:ascii="宋体" w:hAnsi="宋体" w:cs="宋体"/>
                <w:b/>
                <w:sz w:val="24"/>
              </w:rPr>
              <w:t>条款号</w:t>
            </w:r>
          </w:p>
        </w:tc>
        <w:tc>
          <w:tcPr>
            <w:tcW w:w="2252" w:type="dxa"/>
            <w:tcBorders>
              <w:top w:val="single" w:color="auto" w:sz="4" w:space="0"/>
              <w:left w:val="single" w:color="auto" w:sz="4" w:space="0"/>
              <w:bottom w:val="single" w:color="auto" w:sz="4" w:space="0"/>
              <w:right w:val="single" w:color="auto" w:sz="4" w:space="0"/>
            </w:tcBorders>
            <w:vAlign w:val="center"/>
          </w:tcPr>
          <w:p w14:paraId="4D942B8E">
            <w:pPr>
              <w:spacing w:line="440" w:lineRule="exact"/>
              <w:jc w:val="center"/>
              <w:rPr>
                <w:rFonts w:ascii="宋体" w:hAnsi="宋体" w:cs="宋体"/>
                <w:b/>
                <w:sz w:val="24"/>
              </w:rPr>
            </w:pPr>
            <w:r>
              <w:rPr>
                <w:rFonts w:hint="eastAsia" w:ascii="宋体" w:hAnsi="宋体" w:cs="宋体"/>
                <w:b/>
                <w:sz w:val="24"/>
              </w:rPr>
              <w:t>条  款  名  称</w:t>
            </w:r>
          </w:p>
        </w:tc>
        <w:tc>
          <w:tcPr>
            <w:tcW w:w="6437" w:type="dxa"/>
            <w:tcBorders>
              <w:top w:val="single" w:color="auto" w:sz="4" w:space="0"/>
              <w:left w:val="single" w:color="auto" w:sz="4" w:space="0"/>
              <w:bottom w:val="single" w:color="auto" w:sz="4" w:space="0"/>
              <w:right w:val="single" w:color="auto" w:sz="4" w:space="0"/>
            </w:tcBorders>
            <w:vAlign w:val="center"/>
          </w:tcPr>
          <w:p w14:paraId="0D54DC7B">
            <w:pPr>
              <w:spacing w:line="440" w:lineRule="exact"/>
              <w:jc w:val="center"/>
              <w:rPr>
                <w:rFonts w:ascii="宋体" w:hAnsi="宋体" w:cs="宋体"/>
                <w:b/>
                <w:sz w:val="24"/>
              </w:rPr>
            </w:pPr>
            <w:r>
              <w:rPr>
                <w:rFonts w:hint="eastAsia" w:ascii="宋体" w:hAnsi="宋体" w:cs="宋体"/>
                <w:b/>
                <w:sz w:val="24"/>
              </w:rPr>
              <w:t>编  列  内  容</w:t>
            </w:r>
          </w:p>
        </w:tc>
      </w:tr>
      <w:tr w14:paraId="26A26A3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6FB7FE9">
            <w:pPr>
              <w:spacing w:line="440" w:lineRule="exact"/>
              <w:jc w:val="center"/>
              <w:rPr>
                <w:rFonts w:ascii="宋体" w:hAnsi="宋体" w:cs="宋体"/>
                <w:sz w:val="24"/>
              </w:rPr>
            </w:pPr>
            <w:r>
              <w:rPr>
                <w:rFonts w:hint="eastAsia" w:ascii="宋体" w:hAnsi="宋体" w:cs="宋体"/>
                <w:sz w:val="24"/>
              </w:rPr>
              <w:t>1.1.2</w:t>
            </w:r>
          </w:p>
        </w:tc>
        <w:tc>
          <w:tcPr>
            <w:tcW w:w="2252" w:type="dxa"/>
            <w:tcBorders>
              <w:top w:val="single" w:color="auto" w:sz="4" w:space="0"/>
              <w:left w:val="single" w:color="auto" w:sz="4" w:space="0"/>
              <w:bottom w:val="single" w:color="auto" w:sz="4" w:space="0"/>
              <w:right w:val="single" w:color="auto" w:sz="4" w:space="0"/>
            </w:tcBorders>
            <w:vAlign w:val="center"/>
          </w:tcPr>
          <w:p w14:paraId="4815479D">
            <w:pPr>
              <w:adjustRightInd w:val="0"/>
              <w:snapToGrid w:val="0"/>
              <w:spacing w:line="360" w:lineRule="auto"/>
              <w:jc w:val="center"/>
              <w:rPr>
                <w:rFonts w:ascii="宋体" w:hAnsi="宋体" w:cs="宋体"/>
                <w:sz w:val="24"/>
              </w:rPr>
            </w:pPr>
            <w:r>
              <w:rPr>
                <w:rFonts w:hint="eastAsia" w:ascii="宋体" w:hAnsi="宋体" w:cs="宋体"/>
                <w:sz w:val="24"/>
              </w:rPr>
              <w:t>招标人</w:t>
            </w:r>
          </w:p>
        </w:tc>
        <w:tc>
          <w:tcPr>
            <w:tcW w:w="6437" w:type="dxa"/>
            <w:tcBorders>
              <w:top w:val="single" w:color="auto" w:sz="4" w:space="0"/>
              <w:left w:val="single" w:color="auto" w:sz="4" w:space="0"/>
              <w:bottom w:val="single" w:color="auto" w:sz="4" w:space="0"/>
              <w:right w:val="single" w:color="auto" w:sz="4" w:space="0"/>
            </w:tcBorders>
            <w:vAlign w:val="center"/>
          </w:tcPr>
          <w:p w14:paraId="52E1A2E8">
            <w:pPr>
              <w:adjustRightInd w:val="0"/>
              <w:snapToGrid w:val="0"/>
              <w:spacing w:line="360" w:lineRule="auto"/>
              <w:rPr>
                <w:rFonts w:ascii="宋体" w:hAnsi="宋体" w:cs="宋体"/>
                <w:sz w:val="24"/>
                <w:highlight w:val="none"/>
              </w:rPr>
            </w:pPr>
            <w:r>
              <w:rPr>
                <w:rFonts w:hint="eastAsia" w:ascii="宋体" w:hAnsi="宋体" w:cs="宋体"/>
                <w:sz w:val="24"/>
              </w:rPr>
              <w:t>名  称</w:t>
            </w:r>
            <w:r>
              <w:rPr>
                <w:rFonts w:hint="eastAsia" w:ascii="宋体" w:hAnsi="宋体" w:cs="宋体"/>
                <w:sz w:val="24"/>
                <w:highlight w:val="none"/>
              </w:rPr>
              <w:t>：</w:t>
            </w:r>
            <w:r>
              <w:rPr>
                <w:rFonts w:hint="eastAsia" w:ascii="宋体" w:hAnsi="宋体" w:cs="宋体"/>
                <w:bCs/>
                <w:sz w:val="24"/>
                <w:highlight w:val="none"/>
                <w:u w:val="single"/>
              </w:rPr>
              <w:t xml:space="preserve"> </w:t>
            </w:r>
            <w:r>
              <w:rPr>
                <w:rFonts w:hint="eastAsia" w:ascii="宋体" w:hAnsi="宋体" w:cs="宋体"/>
                <w:bCs/>
                <w:sz w:val="24"/>
                <w:highlight w:val="none"/>
                <w:u w:val="single"/>
                <w:lang w:eastAsia="zh-CN"/>
              </w:rPr>
              <w:t>雅安城市建设投资开发有限公司</w:t>
            </w:r>
            <w:r>
              <w:rPr>
                <w:rFonts w:hint="eastAsia" w:ascii="宋体" w:hAnsi="宋体" w:cs="宋体"/>
                <w:bCs/>
                <w:sz w:val="24"/>
                <w:highlight w:val="none"/>
                <w:u w:val="single"/>
              </w:rPr>
              <w:t xml:space="preserve">   </w:t>
            </w:r>
            <w:r>
              <w:rPr>
                <w:rFonts w:hint="eastAsia" w:ascii="宋体" w:hAnsi="宋体" w:cs="宋体"/>
                <w:bCs/>
                <w:sz w:val="24"/>
                <w:highlight w:val="none"/>
              </w:rPr>
              <w:t xml:space="preserve"> ；</w:t>
            </w:r>
          </w:p>
          <w:p w14:paraId="229711E9">
            <w:pPr>
              <w:adjustRightInd w:val="0"/>
              <w:snapToGrid w:val="0"/>
              <w:spacing w:line="360" w:lineRule="auto"/>
              <w:rPr>
                <w:rFonts w:ascii="宋体" w:hAnsi="宋体" w:cs="宋体"/>
                <w:sz w:val="24"/>
              </w:rPr>
            </w:pPr>
            <w:r>
              <w:rPr>
                <w:rFonts w:hint="eastAsia" w:ascii="宋体" w:hAnsi="宋体" w:cs="宋体"/>
                <w:sz w:val="24"/>
              </w:rPr>
              <w:t>地  址：</w:t>
            </w:r>
            <w:r>
              <w:rPr>
                <w:rFonts w:hint="eastAsia" w:ascii="宋体" w:hAnsi="宋体" w:cs="宋体"/>
                <w:bCs/>
                <w:sz w:val="24"/>
                <w:u w:val="single"/>
              </w:rPr>
              <w:t xml:space="preserve">  </w:t>
            </w:r>
            <w:r>
              <w:rPr>
                <w:rFonts w:hint="eastAsia" w:ascii="宋体" w:hAnsi="宋体" w:cs="宋体"/>
                <w:b/>
                <w:sz w:val="24"/>
                <w:u w:val="single"/>
                <w:lang w:eastAsia="zh-CN"/>
              </w:rPr>
              <w:t>雅</w:t>
            </w:r>
            <w:bookmarkStart w:id="574" w:name="_GoBack"/>
            <w:bookmarkEnd w:id="574"/>
            <w:r>
              <w:rPr>
                <w:rFonts w:hint="eastAsia" w:ascii="宋体" w:hAnsi="宋体" w:cs="宋体"/>
                <w:b/>
                <w:sz w:val="24"/>
                <w:u w:val="single"/>
                <w:lang w:eastAsia="zh-CN"/>
              </w:rPr>
              <w:t>安市雨城区和兴街1号</w:t>
            </w:r>
            <w:r>
              <w:rPr>
                <w:rFonts w:hint="eastAsia" w:ascii="宋体" w:hAnsi="宋体" w:cs="宋体"/>
                <w:bCs/>
                <w:sz w:val="24"/>
                <w:u w:val="single"/>
              </w:rPr>
              <w:t xml:space="preserve">  </w:t>
            </w:r>
            <w:r>
              <w:rPr>
                <w:rFonts w:hint="eastAsia" w:ascii="宋体" w:hAnsi="宋体" w:cs="宋体"/>
                <w:bCs/>
                <w:sz w:val="24"/>
              </w:rPr>
              <w:t>；</w:t>
            </w:r>
          </w:p>
          <w:p w14:paraId="35747C46">
            <w:pPr>
              <w:adjustRightInd w:val="0"/>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bCs/>
                <w:sz w:val="24"/>
                <w:u w:val="single"/>
              </w:rPr>
              <w:t xml:space="preserve">  </w:t>
            </w:r>
            <w:r>
              <w:rPr>
                <w:rFonts w:hint="eastAsia" w:ascii="宋体" w:hAnsi="宋体" w:cs="宋体"/>
                <w:bCs/>
                <w:sz w:val="24"/>
                <w:u w:val="single"/>
                <w:lang w:eastAsia="zh-CN"/>
              </w:rPr>
              <w:t>罗先生</w:t>
            </w:r>
            <w:r>
              <w:rPr>
                <w:rFonts w:hint="eastAsia" w:ascii="宋体" w:hAnsi="宋体" w:cs="宋体"/>
                <w:bCs/>
                <w:sz w:val="24"/>
                <w:u w:val="single"/>
              </w:rPr>
              <w:t xml:space="preserve">     </w:t>
            </w:r>
            <w:r>
              <w:rPr>
                <w:rFonts w:hint="eastAsia" w:ascii="宋体" w:hAnsi="宋体" w:cs="宋体"/>
                <w:bCs/>
                <w:sz w:val="24"/>
              </w:rPr>
              <w:t>；</w:t>
            </w:r>
          </w:p>
          <w:p w14:paraId="722B9224">
            <w:pPr>
              <w:adjustRightInd w:val="0"/>
              <w:snapToGrid w:val="0"/>
              <w:spacing w:line="360" w:lineRule="auto"/>
              <w:rPr>
                <w:rFonts w:ascii="宋体" w:hAnsi="宋体" w:cs="宋体"/>
                <w:sz w:val="24"/>
              </w:rPr>
            </w:pPr>
            <w:r>
              <w:rPr>
                <w:rFonts w:hint="eastAsia" w:ascii="宋体" w:hAnsi="宋体" w:cs="宋体"/>
                <w:sz w:val="24"/>
              </w:rPr>
              <w:t>电  话：</w:t>
            </w:r>
            <w:r>
              <w:rPr>
                <w:rFonts w:hint="eastAsia" w:ascii="宋体" w:hAnsi="宋体" w:cs="宋体"/>
                <w:bCs/>
                <w:sz w:val="24"/>
                <w:u w:val="single"/>
              </w:rPr>
              <w:t xml:space="preserve">   </w:t>
            </w:r>
            <w:r>
              <w:rPr>
                <w:rFonts w:hint="eastAsia" w:ascii="宋体" w:hAnsi="宋体"/>
                <w:b/>
                <w:sz w:val="24"/>
                <w:u w:val="single"/>
                <w:lang w:eastAsia="zh-CN"/>
              </w:rPr>
              <w:t>0835-2628392</w:t>
            </w:r>
            <w:r>
              <w:rPr>
                <w:rFonts w:hint="eastAsia" w:ascii="宋体" w:hAnsi="宋体" w:cs="宋体"/>
                <w:bCs/>
                <w:sz w:val="24"/>
                <w:u w:val="single"/>
              </w:rPr>
              <w:t xml:space="preserve">   </w:t>
            </w:r>
            <w:r>
              <w:rPr>
                <w:rFonts w:hint="eastAsia" w:ascii="宋体" w:hAnsi="宋体" w:cs="宋体"/>
                <w:sz w:val="24"/>
              </w:rPr>
              <w:t>。</w:t>
            </w:r>
          </w:p>
        </w:tc>
      </w:tr>
      <w:tr w14:paraId="4ED3DB10">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5847364">
            <w:pPr>
              <w:spacing w:line="440" w:lineRule="exact"/>
              <w:jc w:val="center"/>
              <w:rPr>
                <w:rFonts w:ascii="宋体" w:hAnsi="宋体" w:cs="宋体"/>
                <w:sz w:val="24"/>
              </w:rPr>
            </w:pPr>
            <w:r>
              <w:rPr>
                <w:rFonts w:hint="eastAsia" w:ascii="宋体" w:hAnsi="宋体" w:cs="宋体"/>
                <w:sz w:val="24"/>
              </w:rPr>
              <w:t>1.1.3</w:t>
            </w:r>
          </w:p>
        </w:tc>
        <w:tc>
          <w:tcPr>
            <w:tcW w:w="2252" w:type="dxa"/>
            <w:tcBorders>
              <w:top w:val="single" w:color="auto" w:sz="4" w:space="0"/>
              <w:left w:val="single" w:color="auto" w:sz="4" w:space="0"/>
              <w:bottom w:val="single" w:color="auto" w:sz="4" w:space="0"/>
              <w:right w:val="single" w:color="auto" w:sz="4" w:space="0"/>
            </w:tcBorders>
            <w:vAlign w:val="center"/>
          </w:tcPr>
          <w:p w14:paraId="54675604">
            <w:pPr>
              <w:adjustRightInd w:val="0"/>
              <w:snapToGrid w:val="0"/>
              <w:spacing w:line="360" w:lineRule="auto"/>
              <w:jc w:val="center"/>
              <w:rPr>
                <w:rFonts w:ascii="宋体" w:hAnsi="宋体" w:cs="宋体"/>
                <w:sz w:val="24"/>
              </w:rPr>
            </w:pPr>
            <w:r>
              <w:rPr>
                <w:rFonts w:hint="eastAsia" w:ascii="宋体" w:hAnsi="宋体" w:cs="宋体"/>
                <w:sz w:val="24"/>
              </w:rPr>
              <w:t>招标代理机构</w:t>
            </w:r>
          </w:p>
        </w:tc>
        <w:tc>
          <w:tcPr>
            <w:tcW w:w="6437" w:type="dxa"/>
            <w:tcBorders>
              <w:top w:val="single" w:color="auto" w:sz="4" w:space="0"/>
              <w:left w:val="single" w:color="auto" w:sz="4" w:space="0"/>
              <w:bottom w:val="single" w:color="auto" w:sz="4" w:space="0"/>
              <w:right w:val="single" w:color="auto" w:sz="4" w:space="0"/>
            </w:tcBorders>
            <w:vAlign w:val="center"/>
          </w:tcPr>
          <w:p w14:paraId="32ABB380">
            <w:pPr>
              <w:adjustRightInd w:val="0"/>
              <w:snapToGrid w:val="0"/>
              <w:spacing w:line="360" w:lineRule="auto"/>
              <w:rPr>
                <w:rFonts w:ascii="宋体" w:hAnsi="宋体"/>
                <w:sz w:val="27"/>
              </w:rPr>
            </w:pPr>
            <w:sdt>
              <w:sdtPr>
                <w:rPr>
                  <w:rFonts w:hint="eastAsia" w:ascii="宋体" w:hAnsi="宋体" w:cs="宋体"/>
                  <w:bCs/>
                  <w:sz w:val="24"/>
                  <w:u w:val="single"/>
                </w:rPr>
                <w:id w:val="1412974435"/>
                <w14:checkbox>
                  <w14:checked w14:val="0"/>
                  <w14:checkedState w14:val="2611" w14:font="MS Gothic"/>
                  <w14:uncheckedState w14:val="2610" w14:font="MS Gothic"/>
                </w14:checkbox>
              </w:sdtPr>
              <w:sdtEndPr>
                <w:rPr>
                  <w:rFonts w:hint="eastAsia" w:ascii="宋体" w:hAnsi="宋体" w:cs="宋体"/>
                  <w:bCs/>
                  <w:sz w:val="24"/>
                  <w:u w:val="single"/>
                </w:rPr>
              </w:sdtEndPr>
              <w:sdtContent>
                <w:r>
                  <w:rPr>
                    <w:rFonts w:hint="eastAsia" w:ascii="MS Gothic" w:hAnsi="MS Gothic" w:eastAsia="MS Gothic" w:cs="MS Gothic"/>
                    <w:bCs/>
                    <w:sz w:val="24"/>
                    <w:u w:val="single"/>
                  </w:rPr>
                  <w:t>☐</w:t>
                </w:r>
              </w:sdtContent>
            </w:sdt>
            <w:r>
              <w:rPr>
                <w:rFonts w:hint="eastAsia" w:ascii="宋体" w:hAnsi="宋体" w:cs="宋体"/>
                <w:bCs/>
                <w:sz w:val="24"/>
                <w:u w:val="single"/>
              </w:rPr>
              <w:t xml:space="preserve">        /           </w:t>
            </w:r>
            <w:r>
              <w:rPr>
                <w:rFonts w:hint="eastAsia" w:ascii="宋体" w:hAnsi="宋体" w:cs="宋体"/>
                <w:sz w:val="24"/>
              </w:rPr>
              <w:t>。</w:t>
            </w:r>
          </w:p>
          <w:p w14:paraId="19A1E2B8">
            <w:pPr>
              <w:adjustRightInd w:val="0"/>
              <w:snapToGrid w:val="0"/>
              <w:spacing w:line="360" w:lineRule="auto"/>
              <w:rPr>
                <w:rFonts w:ascii="宋体" w:hAnsi="宋体" w:cs="宋体"/>
                <w:sz w:val="24"/>
              </w:rPr>
            </w:pPr>
            <w:sdt>
              <w:sdtPr>
                <w:rPr>
                  <w:rFonts w:hint="eastAsia" w:ascii="宋体" w:hAnsi="宋体" w:cs="宋体"/>
                  <w:sz w:val="24"/>
                </w:rPr>
                <w:id w:val="-930345325"/>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名  称：</w:t>
            </w:r>
            <w:r>
              <w:rPr>
                <w:rFonts w:hint="eastAsia" w:ascii="宋体" w:hAnsi="宋体" w:cs="宋体"/>
                <w:bCs/>
                <w:sz w:val="24"/>
                <w:u w:val="single"/>
              </w:rPr>
              <w:t xml:space="preserve">   </w:t>
            </w:r>
            <w:r>
              <w:rPr>
                <w:rFonts w:hint="eastAsia" w:ascii="宋体" w:hAnsi="宋体" w:cs="宋体"/>
                <w:b/>
                <w:sz w:val="24"/>
                <w:u w:val="single"/>
                <w:lang w:eastAsia="zh-CN"/>
              </w:rPr>
              <w:t xml:space="preserve"> </w:t>
            </w:r>
            <w:r>
              <w:rPr>
                <w:rFonts w:hint="eastAsia" w:ascii="宋体" w:hAnsi="宋体" w:cs="宋体"/>
                <w:b/>
                <w:sz w:val="24"/>
                <w:u w:val="single"/>
                <w:lang w:val="en-US" w:eastAsia="zh-CN"/>
              </w:rPr>
              <w:t xml:space="preserve"> </w:t>
            </w:r>
            <w:r>
              <w:rPr>
                <w:rFonts w:hint="eastAsia" w:ascii="宋体" w:hAnsi="宋体" w:cs="宋体"/>
                <w:bCs/>
                <w:sz w:val="24"/>
                <w:u w:val="single"/>
              </w:rPr>
              <w:t xml:space="preserve"> </w:t>
            </w:r>
            <w:r>
              <w:rPr>
                <w:rFonts w:hint="eastAsia" w:ascii="宋体" w:hAnsi="宋体" w:cs="宋体"/>
                <w:bCs/>
                <w:sz w:val="24"/>
              </w:rPr>
              <w:t>；</w:t>
            </w:r>
          </w:p>
          <w:p w14:paraId="5AABAF01">
            <w:pPr>
              <w:adjustRightInd w:val="0"/>
              <w:snapToGrid w:val="0"/>
              <w:spacing w:line="360" w:lineRule="auto"/>
              <w:ind w:firstLine="240" w:firstLineChars="100"/>
              <w:rPr>
                <w:rFonts w:ascii="宋体" w:hAnsi="宋体" w:cs="宋体"/>
                <w:sz w:val="24"/>
              </w:rPr>
            </w:pPr>
            <w:r>
              <w:rPr>
                <w:rFonts w:hint="eastAsia" w:ascii="宋体" w:hAnsi="宋体" w:cs="宋体"/>
                <w:sz w:val="24"/>
              </w:rPr>
              <w:t>地  址：</w:t>
            </w:r>
            <w:r>
              <w:rPr>
                <w:rFonts w:hint="eastAsia" w:ascii="宋体" w:hAnsi="宋体" w:cs="宋体"/>
                <w:bCs/>
                <w:sz w:val="24"/>
                <w:u w:val="single"/>
              </w:rPr>
              <w:t xml:space="preserve">  </w:t>
            </w:r>
            <w:r>
              <w:rPr>
                <w:rFonts w:hint="eastAsia" w:ascii="宋体" w:hAnsi="宋体" w:cs="宋体"/>
                <w:b/>
                <w:sz w:val="24"/>
                <w:u w:val="single"/>
                <w:lang w:eastAsia="zh-CN"/>
              </w:rPr>
              <w:t xml:space="preserve"> </w:t>
            </w:r>
            <w:r>
              <w:rPr>
                <w:rFonts w:hint="eastAsia" w:ascii="宋体" w:hAnsi="宋体" w:cs="宋体"/>
                <w:b/>
                <w:sz w:val="24"/>
                <w:u w:val="single"/>
                <w:lang w:val="en-US" w:eastAsia="zh-CN"/>
              </w:rPr>
              <w:t xml:space="preserve"> </w:t>
            </w:r>
            <w:r>
              <w:rPr>
                <w:rFonts w:hint="eastAsia" w:ascii="宋体" w:hAnsi="宋体" w:cs="宋体"/>
                <w:bCs/>
                <w:sz w:val="24"/>
                <w:u w:val="single"/>
              </w:rPr>
              <w:t xml:space="preserve">  </w:t>
            </w:r>
            <w:r>
              <w:rPr>
                <w:rFonts w:hint="eastAsia" w:ascii="宋体" w:hAnsi="宋体" w:cs="宋体"/>
                <w:bCs/>
                <w:sz w:val="24"/>
              </w:rPr>
              <w:t>；</w:t>
            </w:r>
          </w:p>
          <w:p w14:paraId="435D50B1">
            <w:pPr>
              <w:adjustRightInd w:val="0"/>
              <w:snapToGrid w:val="0"/>
              <w:spacing w:line="360" w:lineRule="auto"/>
              <w:ind w:firstLine="240" w:firstLineChars="100"/>
              <w:rPr>
                <w:rFonts w:ascii="宋体" w:hAnsi="宋体" w:cs="宋体"/>
                <w:sz w:val="24"/>
              </w:rPr>
            </w:pPr>
            <w:r>
              <w:rPr>
                <w:rFonts w:hint="eastAsia" w:ascii="宋体" w:hAnsi="宋体" w:cs="宋体"/>
                <w:sz w:val="24"/>
              </w:rPr>
              <w:t>联系人：</w:t>
            </w:r>
            <w:r>
              <w:rPr>
                <w:rFonts w:hint="eastAsia" w:ascii="宋体" w:hAnsi="宋体" w:cs="宋体"/>
                <w:bCs/>
                <w:sz w:val="24"/>
                <w:u w:val="single"/>
              </w:rPr>
              <w:t xml:space="preserve"> </w:t>
            </w:r>
            <w:r>
              <w:rPr>
                <w:rFonts w:hint="eastAsia" w:ascii="宋体" w:hAnsi="宋体" w:cs="宋体"/>
                <w:bCs/>
                <w:sz w:val="24"/>
                <w:u w:val="single"/>
                <w:lang w:val="en-US" w:eastAsia="zh-CN"/>
              </w:rPr>
              <w:t xml:space="preserve"> </w:t>
            </w:r>
            <w:r>
              <w:rPr>
                <w:rFonts w:hint="eastAsia" w:ascii="宋体" w:hAnsi="宋体" w:cs="宋体"/>
                <w:bCs/>
                <w:sz w:val="24"/>
                <w:u w:val="single"/>
              </w:rPr>
              <w:t xml:space="preserve">   </w:t>
            </w:r>
            <w:r>
              <w:rPr>
                <w:rFonts w:hint="eastAsia" w:ascii="宋体" w:hAnsi="宋体" w:cs="宋体"/>
                <w:bCs/>
                <w:sz w:val="24"/>
              </w:rPr>
              <w:t>；</w:t>
            </w:r>
          </w:p>
          <w:p w14:paraId="6EC44D59">
            <w:pPr>
              <w:adjustRightInd w:val="0"/>
              <w:snapToGrid w:val="0"/>
              <w:spacing w:line="360" w:lineRule="auto"/>
              <w:ind w:firstLine="240" w:firstLineChars="100"/>
              <w:rPr>
                <w:rFonts w:ascii="宋体" w:hAnsi="宋体" w:cs="宋体"/>
                <w:sz w:val="24"/>
              </w:rPr>
            </w:pPr>
            <w:r>
              <w:rPr>
                <w:rFonts w:hint="eastAsia" w:ascii="宋体" w:hAnsi="宋体" w:cs="宋体"/>
                <w:sz w:val="24"/>
              </w:rPr>
              <w:t>电  话：</w:t>
            </w:r>
            <w:r>
              <w:rPr>
                <w:rFonts w:hint="eastAsia" w:ascii="宋体" w:hAnsi="宋体" w:cs="宋体"/>
                <w:bCs/>
                <w:sz w:val="24"/>
                <w:u w:val="single"/>
              </w:rPr>
              <w:t xml:space="preserve">  </w:t>
            </w:r>
            <w:r>
              <w:rPr>
                <w:rFonts w:hint="eastAsia" w:ascii="宋体" w:hAnsi="宋体" w:cs="宋体"/>
                <w:b/>
                <w:sz w:val="24"/>
                <w:u w:val="single"/>
                <w:lang w:val="en-US" w:eastAsia="zh-CN"/>
              </w:rPr>
              <w:t xml:space="preserve"> </w:t>
            </w:r>
            <w:r>
              <w:rPr>
                <w:rFonts w:hint="eastAsia" w:ascii="宋体" w:hAnsi="宋体" w:cs="宋体"/>
                <w:b/>
                <w:sz w:val="24"/>
                <w:u w:val="single"/>
                <w:lang w:eastAsia="zh-CN"/>
              </w:rPr>
              <w:t xml:space="preserve"> </w:t>
            </w:r>
            <w:r>
              <w:rPr>
                <w:rFonts w:hint="eastAsia" w:ascii="宋体" w:hAnsi="宋体" w:cs="宋体"/>
                <w:bCs/>
                <w:sz w:val="24"/>
                <w:u w:val="single"/>
              </w:rPr>
              <w:t xml:space="preserve">    </w:t>
            </w:r>
            <w:r>
              <w:rPr>
                <w:rFonts w:hint="eastAsia" w:ascii="宋体" w:hAnsi="宋体" w:cs="宋体"/>
                <w:sz w:val="24"/>
              </w:rPr>
              <w:t>。</w:t>
            </w:r>
          </w:p>
        </w:tc>
      </w:tr>
      <w:tr w14:paraId="60BDBA13">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212E840">
            <w:pPr>
              <w:spacing w:line="440" w:lineRule="exact"/>
              <w:jc w:val="center"/>
              <w:rPr>
                <w:rFonts w:ascii="宋体" w:hAnsi="宋体" w:cs="宋体"/>
                <w:sz w:val="24"/>
              </w:rPr>
            </w:pPr>
            <w:r>
              <w:rPr>
                <w:rFonts w:hint="eastAsia" w:ascii="宋体" w:hAnsi="宋体" w:cs="宋体"/>
                <w:sz w:val="24"/>
              </w:rPr>
              <w:t>1.1.4</w:t>
            </w:r>
          </w:p>
        </w:tc>
        <w:tc>
          <w:tcPr>
            <w:tcW w:w="2252" w:type="dxa"/>
            <w:tcBorders>
              <w:top w:val="single" w:color="auto" w:sz="4" w:space="0"/>
              <w:left w:val="single" w:color="auto" w:sz="4" w:space="0"/>
              <w:bottom w:val="single" w:color="auto" w:sz="4" w:space="0"/>
              <w:right w:val="single" w:color="auto" w:sz="4" w:space="0"/>
            </w:tcBorders>
            <w:vAlign w:val="center"/>
          </w:tcPr>
          <w:p w14:paraId="10EC7CEC">
            <w:pPr>
              <w:spacing w:line="440" w:lineRule="exact"/>
              <w:jc w:val="center"/>
              <w:rPr>
                <w:rFonts w:ascii="宋体" w:hAnsi="宋体" w:cs="宋体"/>
                <w:sz w:val="24"/>
              </w:rPr>
            </w:pPr>
            <w:r>
              <w:rPr>
                <w:rFonts w:hint="eastAsia" w:ascii="宋体" w:hAnsi="宋体" w:cs="宋体"/>
                <w:sz w:val="24"/>
              </w:rPr>
              <w:t>项目名称</w:t>
            </w:r>
          </w:p>
        </w:tc>
        <w:tc>
          <w:tcPr>
            <w:tcW w:w="6437" w:type="dxa"/>
            <w:tcBorders>
              <w:top w:val="single" w:color="auto" w:sz="4" w:space="0"/>
              <w:left w:val="single" w:color="auto" w:sz="4" w:space="0"/>
              <w:bottom w:val="single" w:color="auto" w:sz="4" w:space="0"/>
              <w:right w:val="single" w:color="auto" w:sz="4" w:space="0"/>
            </w:tcBorders>
            <w:vAlign w:val="center"/>
          </w:tcPr>
          <w:p w14:paraId="501B64C1">
            <w:pPr>
              <w:spacing w:line="440" w:lineRule="exact"/>
              <w:rPr>
                <w:rFonts w:ascii="宋体" w:hAnsi="宋体" w:cs="宋体"/>
                <w:sz w:val="24"/>
              </w:rPr>
            </w:pPr>
            <w:r>
              <w:rPr>
                <w:rFonts w:hint="eastAsia" w:ascii="宋体" w:hAnsi="宋体" w:cs="宋体"/>
                <w:bCs/>
                <w:sz w:val="24"/>
                <w:u w:val="single"/>
              </w:rPr>
              <w:t xml:space="preserve">  </w:t>
            </w:r>
            <w:r>
              <w:rPr>
                <w:rFonts w:hint="eastAsia" w:ascii="宋体" w:hAnsi="宋体"/>
                <w:b/>
                <w:sz w:val="28"/>
                <w:szCs w:val="28"/>
                <w:u w:val="single"/>
                <w:lang w:eastAsia="zh-CN"/>
              </w:rPr>
              <w:t>雅安市雨城区河北裘家巷-大兴前进片区城中村改造项目配套基础设施建设项目</w:t>
            </w:r>
            <w:r>
              <w:rPr>
                <w:rFonts w:hint="eastAsia" w:ascii="宋体" w:hAnsi="宋体" w:cs="宋体"/>
                <w:bCs/>
                <w:sz w:val="24"/>
                <w:u w:val="single"/>
              </w:rPr>
              <w:t xml:space="preserve">  </w:t>
            </w:r>
            <w:r>
              <w:rPr>
                <w:rFonts w:hint="eastAsia" w:ascii="宋体" w:hAnsi="宋体" w:cs="宋体"/>
                <w:bCs/>
                <w:sz w:val="24"/>
              </w:rPr>
              <w:t>(项目名称）</w:t>
            </w:r>
            <w:r>
              <w:rPr>
                <w:rFonts w:hint="eastAsia" w:ascii="宋体" w:hAnsi="宋体"/>
                <w:sz w:val="24"/>
              </w:rPr>
              <w:t>设计施工总承包</w:t>
            </w:r>
            <w:r>
              <w:rPr>
                <w:rFonts w:hint="eastAsia" w:ascii="宋体" w:hAnsi="宋体" w:cs="宋体"/>
                <w:bCs/>
                <w:sz w:val="24"/>
                <w:u w:val="single"/>
              </w:rPr>
              <w:t xml:space="preserve">  </w:t>
            </w:r>
            <w:r>
              <w:rPr>
                <w:rFonts w:hint="eastAsia" w:ascii="宋体" w:hAnsi="宋体" w:cs="宋体"/>
                <w:bCs/>
                <w:sz w:val="24"/>
                <w:u w:val="single"/>
                <w:lang w:val="en-US" w:eastAsia="zh-CN"/>
              </w:rPr>
              <w:t>/</w:t>
            </w:r>
            <w:r>
              <w:rPr>
                <w:rFonts w:hint="eastAsia" w:ascii="宋体" w:hAnsi="宋体" w:cs="宋体"/>
                <w:bCs/>
                <w:sz w:val="24"/>
                <w:u w:val="single"/>
              </w:rPr>
              <w:t xml:space="preserve">  </w:t>
            </w:r>
            <w:r>
              <w:rPr>
                <w:rFonts w:hint="eastAsia" w:ascii="宋体" w:hAnsi="宋体" w:cs="宋体"/>
                <w:bCs/>
                <w:sz w:val="24"/>
              </w:rPr>
              <w:t>标段</w:t>
            </w:r>
          </w:p>
        </w:tc>
      </w:tr>
      <w:tr w14:paraId="2217290D">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F527FFD">
            <w:pPr>
              <w:spacing w:line="440" w:lineRule="exact"/>
              <w:jc w:val="center"/>
              <w:rPr>
                <w:rFonts w:ascii="宋体" w:hAnsi="宋体" w:cs="宋体"/>
                <w:sz w:val="24"/>
              </w:rPr>
            </w:pPr>
            <w:r>
              <w:rPr>
                <w:rFonts w:hint="eastAsia" w:ascii="宋体" w:hAnsi="宋体" w:cs="宋体"/>
                <w:sz w:val="24"/>
              </w:rPr>
              <w:t>1.1.5</w:t>
            </w:r>
          </w:p>
        </w:tc>
        <w:tc>
          <w:tcPr>
            <w:tcW w:w="2252" w:type="dxa"/>
            <w:tcBorders>
              <w:top w:val="single" w:color="auto" w:sz="4" w:space="0"/>
              <w:left w:val="single" w:color="auto" w:sz="4" w:space="0"/>
              <w:bottom w:val="single" w:color="auto" w:sz="4" w:space="0"/>
              <w:right w:val="single" w:color="auto" w:sz="4" w:space="0"/>
            </w:tcBorders>
            <w:vAlign w:val="center"/>
          </w:tcPr>
          <w:p w14:paraId="0998F847">
            <w:pPr>
              <w:spacing w:line="440" w:lineRule="exact"/>
              <w:jc w:val="center"/>
              <w:rPr>
                <w:rFonts w:ascii="宋体" w:hAnsi="宋体" w:cs="宋体"/>
                <w:sz w:val="24"/>
              </w:rPr>
            </w:pPr>
            <w:r>
              <w:rPr>
                <w:rFonts w:hint="eastAsia" w:ascii="宋体" w:hAnsi="宋体" w:cs="宋体"/>
                <w:sz w:val="24"/>
              </w:rPr>
              <w:t>建设地点</w:t>
            </w:r>
          </w:p>
        </w:tc>
        <w:tc>
          <w:tcPr>
            <w:tcW w:w="6437" w:type="dxa"/>
            <w:tcBorders>
              <w:top w:val="single" w:color="auto" w:sz="4" w:space="0"/>
              <w:left w:val="single" w:color="auto" w:sz="4" w:space="0"/>
              <w:bottom w:val="single" w:color="auto" w:sz="4" w:space="0"/>
              <w:right w:val="single" w:color="auto" w:sz="4" w:space="0"/>
            </w:tcBorders>
            <w:vAlign w:val="center"/>
          </w:tcPr>
          <w:p w14:paraId="2AA16C2A">
            <w:pPr>
              <w:spacing w:line="440" w:lineRule="exact"/>
              <w:rPr>
                <w:rFonts w:ascii="宋体" w:hAnsi="宋体" w:cs="宋体"/>
                <w:sz w:val="24"/>
              </w:rPr>
            </w:pPr>
            <w:r>
              <w:rPr>
                <w:rFonts w:hint="eastAsia" w:ascii="宋体" w:hAnsi="宋体" w:cs="宋体"/>
                <w:bCs/>
                <w:sz w:val="24"/>
                <w:u w:val="single"/>
              </w:rPr>
              <w:t xml:space="preserve">   </w:t>
            </w:r>
            <w:r>
              <w:rPr>
                <w:rFonts w:hint="eastAsia" w:ascii="宋体" w:hAnsi="宋体" w:cs="宋体"/>
                <w:b/>
                <w:sz w:val="24"/>
                <w:u w:val="single"/>
                <w:lang w:val="en-US" w:eastAsia="zh-CN" w:bidi="en-US"/>
              </w:rPr>
              <w:t>雅安市雨城区</w:t>
            </w:r>
            <w:r>
              <w:rPr>
                <w:rFonts w:hint="eastAsia" w:ascii="宋体" w:hAnsi="宋体" w:cs="宋体"/>
                <w:bCs/>
                <w:sz w:val="24"/>
                <w:u w:val="single"/>
              </w:rPr>
              <w:t xml:space="preserve">    </w:t>
            </w:r>
            <w:r>
              <w:rPr>
                <w:rFonts w:hint="eastAsia" w:ascii="宋体" w:hAnsi="宋体" w:cs="宋体"/>
                <w:sz w:val="24"/>
              </w:rPr>
              <w:t>。</w:t>
            </w:r>
          </w:p>
        </w:tc>
      </w:tr>
      <w:tr w14:paraId="024FC5CA">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032BE6D">
            <w:pPr>
              <w:spacing w:line="440" w:lineRule="exact"/>
              <w:jc w:val="center"/>
              <w:rPr>
                <w:rFonts w:ascii="宋体" w:hAnsi="宋体" w:cs="宋体"/>
                <w:sz w:val="24"/>
              </w:rPr>
            </w:pPr>
            <w:r>
              <w:rPr>
                <w:rFonts w:hint="eastAsia" w:ascii="宋体" w:hAnsi="宋体" w:cs="宋体"/>
                <w:sz w:val="24"/>
              </w:rPr>
              <w:t>1.2.1</w:t>
            </w:r>
          </w:p>
        </w:tc>
        <w:tc>
          <w:tcPr>
            <w:tcW w:w="2252" w:type="dxa"/>
            <w:tcBorders>
              <w:top w:val="single" w:color="auto" w:sz="4" w:space="0"/>
              <w:left w:val="single" w:color="auto" w:sz="4" w:space="0"/>
              <w:bottom w:val="single" w:color="auto" w:sz="4" w:space="0"/>
              <w:right w:val="single" w:color="auto" w:sz="4" w:space="0"/>
            </w:tcBorders>
            <w:vAlign w:val="center"/>
          </w:tcPr>
          <w:p w14:paraId="2CA621EE">
            <w:pPr>
              <w:spacing w:line="440" w:lineRule="exact"/>
              <w:jc w:val="center"/>
              <w:rPr>
                <w:rFonts w:ascii="宋体" w:hAnsi="宋体" w:cs="宋体"/>
                <w:sz w:val="24"/>
              </w:rPr>
            </w:pPr>
            <w:r>
              <w:rPr>
                <w:rFonts w:hint="eastAsia" w:ascii="宋体" w:hAnsi="宋体" w:cs="宋体"/>
                <w:sz w:val="24"/>
              </w:rPr>
              <w:t>资金来源及比例</w:t>
            </w:r>
          </w:p>
        </w:tc>
        <w:tc>
          <w:tcPr>
            <w:tcW w:w="6437" w:type="dxa"/>
            <w:tcBorders>
              <w:top w:val="single" w:color="auto" w:sz="4" w:space="0"/>
              <w:left w:val="single" w:color="auto" w:sz="4" w:space="0"/>
              <w:bottom w:val="single" w:color="auto" w:sz="4" w:space="0"/>
              <w:right w:val="single" w:color="auto" w:sz="4" w:space="0"/>
            </w:tcBorders>
            <w:vAlign w:val="center"/>
          </w:tcPr>
          <w:p w14:paraId="1BC53F6D">
            <w:pPr>
              <w:spacing w:line="440" w:lineRule="exact"/>
              <w:rPr>
                <w:rFonts w:ascii="宋体" w:hAnsi="宋体" w:cs="宋体"/>
                <w:sz w:val="24"/>
              </w:rPr>
            </w:pPr>
            <w:r>
              <w:rPr>
                <w:rFonts w:hint="eastAsia" w:ascii="宋体" w:hAnsi="宋体" w:cs="宋体"/>
                <w:bCs/>
                <w:sz w:val="24"/>
                <w:u w:val="single"/>
              </w:rPr>
              <w:t xml:space="preserve">   </w:t>
            </w:r>
            <w:r>
              <w:rPr>
                <w:rFonts w:hint="eastAsia" w:ascii="宋体" w:hAnsi="宋体" w:cs="宋体"/>
                <w:b/>
                <w:sz w:val="24"/>
                <w:u w:val="single"/>
                <w:lang w:val="en-US" w:eastAsia="zh-CN" w:bidi="en-US"/>
              </w:rPr>
              <w:t>财政资金及一般债</w:t>
            </w:r>
            <w:r>
              <w:rPr>
                <w:rFonts w:hint="eastAsia" w:ascii="宋体" w:hAnsi="宋体" w:cs="宋体"/>
                <w:bCs/>
                <w:sz w:val="24"/>
                <w:u w:val="single"/>
              </w:rPr>
              <w:t>，</w:t>
            </w:r>
            <w:r>
              <w:rPr>
                <w:rFonts w:hint="eastAsia" w:ascii="宋体" w:hAnsi="宋体"/>
                <w:b/>
                <w:sz w:val="24"/>
                <w:u w:val="single"/>
              </w:rPr>
              <w:t>资金比例为100%</w:t>
            </w:r>
            <w:r>
              <w:rPr>
                <w:rFonts w:hint="eastAsia" w:ascii="宋体" w:hAnsi="宋体" w:cs="宋体"/>
                <w:bCs/>
                <w:sz w:val="24"/>
                <w:u w:val="single"/>
              </w:rPr>
              <w:t xml:space="preserve">   </w:t>
            </w:r>
            <w:r>
              <w:rPr>
                <w:rFonts w:hint="eastAsia" w:ascii="宋体" w:hAnsi="宋体" w:cs="宋体"/>
                <w:sz w:val="24"/>
              </w:rPr>
              <w:t>。</w:t>
            </w:r>
          </w:p>
        </w:tc>
      </w:tr>
      <w:tr w14:paraId="4243150A">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F3EAB07">
            <w:pPr>
              <w:spacing w:line="440" w:lineRule="exact"/>
              <w:jc w:val="center"/>
              <w:rPr>
                <w:rFonts w:ascii="宋体" w:hAnsi="宋体" w:cs="宋体"/>
                <w:sz w:val="24"/>
              </w:rPr>
            </w:pPr>
            <w:r>
              <w:rPr>
                <w:rFonts w:hint="eastAsia" w:ascii="宋体" w:hAnsi="宋体" w:cs="宋体"/>
                <w:sz w:val="24"/>
              </w:rPr>
              <w:t>1.2.2</w:t>
            </w:r>
          </w:p>
        </w:tc>
        <w:tc>
          <w:tcPr>
            <w:tcW w:w="2252" w:type="dxa"/>
            <w:tcBorders>
              <w:top w:val="single" w:color="auto" w:sz="4" w:space="0"/>
              <w:left w:val="single" w:color="auto" w:sz="4" w:space="0"/>
              <w:bottom w:val="single" w:color="auto" w:sz="4" w:space="0"/>
              <w:right w:val="single" w:color="auto" w:sz="4" w:space="0"/>
            </w:tcBorders>
            <w:vAlign w:val="center"/>
          </w:tcPr>
          <w:p w14:paraId="743E55F2">
            <w:pPr>
              <w:spacing w:line="440" w:lineRule="exact"/>
              <w:jc w:val="center"/>
              <w:rPr>
                <w:rFonts w:ascii="宋体" w:hAnsi="宋体" w:cs="宋体"/>
                <w:sz w:val="24"/>
              </w:rPr>
            </w:pPr>
            <w:r>
              <w:rPr>
                <w:rFonts w:hint="eastAsia" w:ascii="宋体" w:hAnsi="宋体" w:cs="宋体"/>
                <w:sz w:val="24"/>
              </w:rPr>
              <w:t>资金落实情况</w:t>
            </w:r>
          </w:p>
        </w:tc>
        <w:tc>
          <w:tcPr>
            <w:tcW w:w="6437" w:type="dxa"/>
            <w:tcBorders>
              <w:top w:val="single" w:color="auto" w:sz="4" w:space="0"/>
              <w:left w:val="single" w:color="auto" w:sz="4" w:space="0"/>
              <w:bottom w:val="single" w:color="auto" w:sz="4" w:space="0"/>
              <w:right w:val="single" w:color="auto" w:sz="4" w:space="0"/>
            </w:tcBorders>
            <w:vAlign w:val="center"/>
          </w:tcPr>
          <w:p w14:paraId="6C5BC0E7">
            <w:pPr>
              <w:spacing w:line="440" w:lineRule="exact"/>
              <w:rPr>
                <w:rFonts w:ascii="宋体" w:hAnsi="宋体" w:cs="宋体"/>
                <w:sz w:val="24"/>
              </w:rPr>
            </w:pPr>
            <w:r>
              <w:rPr>
                <w:rFonts w:hint="eastAsia" w:ascii="宋体" w:hAnsi="宋体" w:cs="宋体"/>
                <w:bCs/>
                <w:sz w:val="24"/>
                <w:u w:val="single"/>
              </w:rPr>
              <w:t xml:space="preserve">   </w:t>
            </w:r>
            <w:r>
              <w:rPr>
                <w:rFonts w:hint="eastAsia" w:ascii="宋体" w:hAnsi="宋体"/>
                <w:b/>
                <w:sz w:val="24"/>
                <w:u w:val="single"/>
                <w:lang w:val="en-US" w:eastAsia="zh-CN"/>
              </w:rPr>
              <w:t xml:space="preserve"> </w:t>
            </w:r>
            <w:r>
              <w:rPr>
                <w:rFonts w:hint="eastAsia" w:ascii="宋体" w:hAnsi="宋体" w:cs="宋体"/>
                <w:bCs/>
                <w:sz w:val="24"/>
                <w:u w:val="single"/>
              </w:rPr>
              <w:t xml:space="preserve">    </w:t>
            </w:r>
            <w:r>
              <w:rPr>
                <w:rFonts w:hint="eastAsia" w:ascii="宋体" w:hAnsi="宋体" w:cs="宋体"/>
                <w:sz w:val="24"/>
              </w:rPr>
              <w:t>。</w:t>
            </w:r>
          </w:p>
        </w:tc>
      </w:tr>
      <w:tr w14:paraId="00E98B25">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D6A3AE6">
            <w:pPr>
              <w:spacing w:line="440" w:lineRule="exact"/>
              <w:jc w:val="center"/>
              <w:rPr>
                <w:rFonts w:ascii="宋体" w:hAnsi="宋体" w:cs="宋体"/>
                <w:sz w:val="24"/>
              </w:rPr>
            </w:pPr>
            <w:r>
              <w:rPr>
                <w:rFonts w:hint="eastAsia" w:ascii="宋体" w:hAnsi="宋体" w:cs="宋体"/>
                <w:sz w:val="24"/>
              </w:rPr>
              <w:t>1.3.1</w:t>
            </w:r>
          </w:p>
        </w:tc>
        <w:tc>
          <w:tcPr>
            <w:tcW w:w="2252" w:type="dxa"/>
            <w:tcBorders>
              <w:top w:val="single" w:color="auto" w:sz="4" w:space="0"/>
              <w:left w:val="single" w:color="auto" w:sz="4" w:space="0"/>
              <w:bottom w:val="single" w:color="auto" w:sz="4" w:space="0"/>
              <w:right w:val="single" w:color="auto" w:sz="4" w:space="0"/>
            </w:tcBorders>
            <w:vAlign w:val="center"/>
          </w:tcPr>
          <w:p w14:paraId="775995F7">
            <w:pPr>
              <w:spacing w:line="440" w:lineRule="exact"/>
              <w:jc w:val="center"/>
              <w:rPr>
                <w:rFonts w:ascii="宋体" w:hAnsi="宋体" w:cs="宋体"/>
                <w:sz w:val="24"/>
              </w:rPr>
            </w:pPr>
            <w:r>
              <w:rPr>
                <w:rFonts w:hint="eastAsia" w:ascii="宋体" w:hAnsi="宋体" w:cs="宋体"/>
                <w:sz w:val="24"/>
              </w:rPr>
              <w:t>招标范围</w:t>
            </w:r>
          </w:p>
        </w:tc>
        <w:tc>
          <w:tcPr>
            <w:tcW w:w="6437" w:type="dxa"/>
            <w:tcBorders>
              <w:top w:val="single" w:color="auto" w:sz="4" w:space="0"/>
              <w:left w:val="single" w:color="auto" w:sz="4" w:space="0"/>
              <w:bottom w:val="single" w:color="auto" w:sz="4" w:space="0"/>
              <w:right w:val="single" w:color="auto" w:sz="4" w:space="0"/>
            </w:tcBorders>
            <w:vAlign w:val="center"/>
          </w:tcPr>
          <w:p w14:paraId="49595FB6">
            <w:pPr>
              <w:adjustRightInd w:val="0"/>
              <w:snapToGrid w:val="0"/>
              <w:spacing w:line="360" w:lineRule="auto"/>
              <w:ind w:firstLine="720" w:firstLineChars="300"/>
              <w:rPr>
                <w:rFonts w:ascii="宋体" w:hAnsi="宋体" w:cs="宋体"/>
                <w:sz w:val="24"/>
              </w:rPr>
            </w:pPr>
            <w:r>
              <w:rPr>
                <w:rFonts w:hint="eastAsia" w:ascii="宋体" w:hAnsi="宋体" w:cs="宋体"/>
                <w:bCs/>
                <w:sz w:val="24"/>
                <w:u w:val="single"/>
              </w:rPr>
              <w:t xml:space="preserve"> </w:t>
            </w:r>
            <w:r>
              <w:rPr>
                <w:rFonts w:hint="eastAsia" w:ascii="宋体" w:hAnsi="宋体" w:eastAsia="宋体" w:cs="宋体"/>
                <w:b/>
                <w:sz w:val="24"/>
                <w:u w:val="single"/>
                <w:lang w:eastAsia="zh-CN"/>
              </w:rPr>
              <w:t xml:space="preserve">  本项目范围内所有建设工程内容的施工图设计、施工等直至竣工验收合格及整体移交、工程缺陷责任期内的修复、保修工作以及发包人指定承包人完成的其他工作。</w:t>
            </w:r>
          </w:p>
        </w:tc>
      </w:tr>
      <w:tr w14:paraId="3C67EE3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59302D4">
            <w:pPr>
              <w:spacing w:line="440" w:lineRule="exact"/>
              <w:jc w:val="center"/>
              <w:rPr>
                <w:rFonts w:ascii="宋体" w:hAnsi="宋体" w:cs="宋体"/>
                <w:sz w:val="24"/>
              </w:rPr>
            </w:pPr>
            <w:r>
              <w:rPr>
                <w:rFonts w:hint="eastAsia" w:ascii="宋体" w:hAnsi="宋体" w:cs="宋体"/>
                <w:sz w:val="24"/>
              </w:rPr>
              <w:t>1.3.2</w:t>
            </w:r>
          </w:p>
        </w:tc>
        <w:tc>
          <w:tcPr>
            <w:tcW w:w="2252" w:type="dxa"/>
            <w:tcBorders>
              <w:top w:val="single" w:color="auto" w:sz="4" w:space="0"/>
              <w:left w:val="single" w:color="auto" w:sz="4" w:space="0"/>
              <w:bottom w:val="single" w:color="auto" w:sz="4" w:space="0"/>
              <w:right w:val="single" w:color="auto" w:sz="4" w:space="0"/>
            </w:tcBorders>
            <w:vAlign w:val="center"/>
          </w:tcPr>
          <w:p w14:paraId="2CC62D01">
            <w:pPr>
              <w:spacing w:line="440" w:lineRule="exact"/>
              <w:jc w:val="center"/>
              <w:rPr>
                <w:rFonts w:ascii="宋体" w:hAnsi="宋体" w:cs="宋体"/>
                <w:sz w:val="24"/>
              </w:rPr>
            </w:pPr>
            <w:r>
              <w:rPr>
                <w:rFonts w:hint="eastAsia" w:ascii="宋体" w:hAnsi="宋体" w:cs="宋体"/>
                <w:sz w:val="24"/>
              </w:rPr>
              <w:t>计划工期</w:t>
            </w:r>
          </w:p>
        </w:tc>
        <w:tc>
          <w:tcPr>
            <w:tcW w:w="6437" w:type="dxa"/>
            <w:tcBorders>
              <w:top w:val="single" w:color="auto" w:sz="4" w:space="0"/>
              <w:left w:val="single" w:color="auto" w:sz="4" w:space="0"/>
              <w:bottom w:val="single" w:color="auto" w:sz="4" w:space="0"/>
              <w:right w:val="single" w:color="auto" w:sz="4" w:space="0"/>
            </w:tcBorders>
            <w:vAlign w:val="center"/>
          </w:tcPr>
          <w:p w14:paraId="4E7F3DE0">
            <w:pPr>
              <w:spacing w:line="440" w:lineRule="exact"/>
              <w:rPr>
                <w:rFonts w:ascii="宋体" w:hAnsi="宋体" w:cs="宋体"/>
                <w:sz w:val="24"/>
              </w:rPr>
            </w:pPr>
            <w:r>
              <w:rPr>
                <w:rFonts w:hint="eastAsia" w:ascii="宋体" w:hAnsi="宋体" w:cs="宋体"/>
                <w:sz w:val="24"/>
                <w:u w:val="single"/>
              </w:rPr>
              <w:t xml:space="preserve">   </w:t>
            </w:r>
            <w:r>
              <w:rPr>
                <w:rFonts w:hint="eastAsia" w:ascii="宋体" w:hAnsi="宋体" w:cs="宋体"/>
                <w:color w:val="FF0000"/>
                <w:sz w:val="24"/>
                <w:u w:val="single"/>
                <w:lang w:val="en-US" w:eastAsia="zh-CN"/>
              </w:rPr>
              <w:t xml:space="preserve"> </w:t>
            </w:r>
            <w:r>
              <w:rPr>
                <w:rFonts w:hint="eastAsia" w:ascii="宋体" w:hAnsi="宋体"/>
                <w:b/>
                <w:bCs/>
                <w:sz w:val="24"/>
                <w:u w:val="single"/>
              </w:rPr>
              <w:t>日历天</w:t>
            </w:r>
            <w:r>
              <w:rPr>
                <w:rFonts w:hint="eastAsia" w:ascii="宋体" w:hAnsi="宋体" w:cs="宋体"/>
                <w:sz w:val="24"/>
                <w:u w:val="single"/>
              </w:rPr>
              <w:t xml:space="preserve">     </w:t>
            </w:r>
            <w:r>
              <w:rPr>
                <w:rFonts w:hint="eastAsia" w:ascii="宋体" w:hAnsi="宋体" w:cs="宋体"/>
                <w:sz w:val="24"/>
              </w:rPr>
              <w:t>。</w:t>
            </w:r>
          </w:p>
        </w:tc>
      </w:tr>
      <w:tr w14:paraId="1527395D">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824C480">
            <w:pPr>
              <w:spacing w:line="440" w:lineRule="exact"/>
              <w:jc w:val="center"/>
              <w:rPr>
                <w:rFonts w:ascii="宋体" w:hAnsi="宋体" w:cs="宋体"/>
                <w:sz w:val="24"/>
              </w:rPr>
            </w:pPr>
            <w:r>
              <w:rPr>
                <w:rFonts w:hint="eastAsia" w:ascii="宋体" w:hAnsi="宋体" w:cs="宋体"/>
                <w:sz w:val="24"/>
              </w:rPr>
              <w:t>1.3.3</w:t>
            </w:r>
          </w:p>
        </w:tc>
        <w:tc>
          <w:tcPr>
            <w:tcW w:w="2252" w:type="dxa"/>
            <w:tcBorders>
              <w:top w:val="single" w:color="auto" w:sz="4" w:space="0"/>
              <w:left w:val="single" w:color="auto" w:sz="4" w:space="0"/>
              <w:bottom w:val="single" w:color="auto" w:sz="4" w:space="0"/>
              <w:right w:val="single" w:color="auto" w:sz="4" w:space="0"/>
            </w:tcBorders>
            <w:vAlign w:val="center"/>
          </w:tcPr>
          <w:p w14:paraId="22B9A07A">
            <w:pPr>
              <w:spacing w:line="440" w:lineRule="exact"/>
              <w:jc w:val="center"/>
              <w:rPr>
                <w:rFonts w:ascii="宋体" w:hAnsi="宋体" w:cs="宋体"/>
                <w:sz w:val="24"/>
              </w:rPr>
            </w:pPr>
            <w:r>
              <w:rPr>
                <w:rFonts w:hint="eastAsia" w:ascii="宋体" w:hAnsi="宋体" w:cs="宋体"/>
                <w:sz w:val="24"/>
              </w:rPr>
              <w:t>质量标准</w:t>
            </w:r>
          </w:p>
        </w:tc>
        <w:tc>
          <w:tcPr>
            <w:tcW w:w="6437" w:type="dxa"/>
            <w:tcBorders>
              <w:top w:val="single" w:color="auto" w:sz="4" w:space="0"/>
              <w:left w:val="single" w:color="auto" w:sz="4" w:space="0"/>
              <w:bottom w:val="single" w:color="auto" w:sz="4" w:space="0"/>
              <w:right w:val="single" w:color="auto" w:sz="4" w:space="0"/>
            </w:tcBorders>
            <w:vAlign w:val="center"/>
          </w:tcPr>
          <w:p w14:paraId="51816EFF">
            <w:pPr>
              <w:spacing w:line="440" w:lineRule="exact"/>
              <w:rPr>
                <w:rFonts w:ascii="宋体" w:hAnsi="宋体" w:cs="宋体"/>
                <w:sz w:val="24"/>
              </w:rPr>
            </w:pPr>
            <w:r>
              <w:rPr>
                <w:rFonts w:hint="eastAsia" w:ascii="宋体" w:hAnsi="宋体" w:cs="宋体"/>
                <w:sz w:val="24"/>
              </w:rPr>
              <w:t>设计要求的质量标准：</w:t>
            </w:r>
            <w:r>
              <w:rPr>
                <w:rFonts w:hint="eastAsia" w:ascii="宋体" w:hAnsi="宋体" w:cs="宋体"/>
                <w:bCs/>
                <w:sz w:val="24"/>
                <w:u w:val="single"/>
              </w:rPr>
              <w:t xml:space="preserve">  </w:t>
            </w:r>
            <w:r>
              <w:rPr>
                <w:rFonts w:hint="eastAsia" w:ascii="宋体" w:hAnsi="宋体"/>
                <w:b/>
                <w:bCs/>
                <w:sz w:val="24"/>
                <w:u w:val="single"/>
              </w:rPr>
              <w:t>满足国家及地方相应现行规范要求并通过有关主管部门审查</w:t>
            </w:r>
            <w:r>
              <w:rPr>
                <w:rFonts w:hint="eastAsia" w:ascii="宋体" w:hAnsi="宋体" w:cs="宋体"/>
                <w:bCs/>
                <w:sz w:val="24"/>
                <w:u w:val="single"/>
              </w:rPr>
              <w:t xml:space="preserve">   </w:t>
            </w:r>
            <w:r>
              <w:rPr>
                <w:rFonts w:hint="eastAsia" w:ascii="宋体" w:hAnsi="宋体" w:cs="宋体"/>
                <w:sz w:val="24"/>
              </w:rPr>
              <w:t>。</w:t>
            </w:r>
          </w:p>
          <w:p w14:paraId="0E235C3B">
            <w:pPr>
              <w:spacing w:line="440" w:lineRule="exact"/>
              <w:rPr>
                <w:rFonts w:ascii="宋体" w:hAnsi="宋体" w:cs="宋体"/>
                <w:sz w:val="24"/>
              </w:rPr>
            </w:pPr>
            <w:r>
              <w:rPr>
                <w:rFonts w:hint="eastAsia" w:ascii="宋体" w:hAnsi="宋体" w:cs="宋体"/>
                <w:sz w:val="24"/>
              </w:rPr>
              <w:t>施工要求的质量标准：</w:t>
            </w:r>
            <w:r>
              <w:rPr>
                <w:rFonts w:hint="eastAsia" w:ascii="宋体" w:hAnsi="宋体" w:cs="宋体"/>
                <w:bCs/>
                <w:sz w:val="24"/>
                <w:u w:val="single"/>
              </w:rPr>
              <w:t xml:space="preserve">  </w:t>
            </w:r>
            <w:r>
              <w:rPr>
                <w:rFonts w:hint="eastAsia" w:ascii="宋体" w:hAnsi="宋体"/>
                <w:b/>
                <w:bCs/>
                <w:sz w:val="24"/>
                <w:u w:val="single"/>
              </w:rPr>
              <w:t>达到国家现行标准规范要求，工程质量等级合格</w:t>
            </w:r>
            <w:r>
              <w:rPr>
                <w:rFonts w:hint="eastAsia" w:ascii="宋体" w:hAnsi="宋体" w:cs="宋体"/>
                <w:bCs/>
                <w:sz w:val="24"/>
                <w:u w:val="single"/>
              </w:rPr>
              <w:t xml:space="preserve">  </w:t>
            </w:r>
            <w:r>
              <w:rPr>
                <w:rFonts w:hint="eastAsia" w:ascii="宋体" w:hAnsi="宋体" w:cs="宋体"/>
                <w:sz w:val="24"/>
              </w:rPr>
              <w:t>。</w:t>
            </w:r>
          </w:p>
        </w:tc>
      </w:tr>
      <w:tr w14:paraId="289EA23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E811167">
            <w:pPr>
              <w:spacing w:line="440" w:lineRule="exact"/>
              <w:jc w:val="center"/>
              <w:rPr>
                <w:rFonts w:ascii="宋体" w:hAnsi="宋体" w:cs="宋体"/>
                <w:sz w:val="24"/>
              </w:rPr>
            </w:pPr>
            <w:r>
              <w:rPr>
                <w:rFonts w:hint="eastAsia" w:ascii="宋体" w:hAnsi="宋体" w:cs="宋体"/>
                <w:sz w:val="24"/>
              </w:rPr>
              <w:t>1.4.1</w:t>
            </w:r>
          </w:p>
        </w:tc>
        <w:tc>
          <w:tcPr>
            <w:tcW w:w="2252" w:type="dxa"/>
            <w:tcBorders>
              <w:top w:val="single" w:color="auto" w:sz="4" w:space="0"/>
              <w:left w:val="single" w:color="auto" w:sz="4" w:space="0"/>
              <w:bottom w:val="single" w:color="auto" w:sz="4" w:space="0"/>
              <w:right w:val="single" w:color="auto" w:sz="4" w:space="0"/>
            </w:tcBorders>
            <w:vAlign w:val="center"/>
          </w:tcPr>
          <w:p w14:paraId="3CD1815C">
            <w:pPr>
              <w:spacing w:line="440" w:lineRule="exact"/>
              <w:jc w:val="center"/>
              <w:rPr>
                <w:rFonts w:ascii="宋体" w:hAnsi="宋体" w:cs="宋体"/>
                <w:sz w:val="24"/>
              </w:rPr>
            </w:pPr>
            <w:r>
              <w:rPr>
                <w:rFonts w:hint="eastAsia" w:ascii="宋体" w:hAnsi="宋体" w:cs="宋体"/>
                <w:sz w:val="24"/>
              </w:rPr>
              <w:t>投标人资质条件、能力和信誉</w:t>
            </w:r>
          </w:p>
          <w:p w14:paraId="65BB8FB4">
            <w:pPr>
              <w:spacing w:line="440" w:lineRule="exact"/>
              <w:rPr>
                <w:rFonts w:ascii="宋体" w:hAnsi="宋体" w:cs="宋体"/>
                <w:sz w:val="24"/>
              </w:rPr>
            </w:pPr>
          </w:p>
        </w:tc>
        <w:tc>
          <w:tcPr>
            <w:tcW w:w="6437" w:type="dxa"/>
            <w:tcBorders>
              <w:top w:val="single" w:color="auto" w:sz="4" w:space="0"/>
              <w:left w:val="single" w:color="auto" w:sz="4" w:space="0"/>
              <w:bottom w:val="single" w:color="auto" w:sz="4" w:space="0"/>
              <w:right w:val="single" w:color="auto" w:sz="4" w:space="0"/>
            </w:tcBorders>
            <w:vAlign w:val="center"/>
          </w:tcPr>
          <w:p w14:paraId="16CCF66C">
            <w:pPr>
              <w:spacing w:line="440" w:lineRule="exact"/>
              <w:rPr>
                <w:rFonts w:ascii="宋体" w:hAnsi="宋体" w:cs="宋体"/>
                <w:sz w:val="24"/>
              </w:rPr>
            </w:pPr>
            <w:r>
              <w:rPr>
                <w:rFonts w:hint="eastAsia" w:ascii="宋体" w:hAnsi="宋体" w:cs="宋体"/>
                <w:sz w:val="24"/>
              </w:rPr>
              <w:t>（1）资质条件：同招标公告或投标邀请书；</w:t>
            </w:r>
          </w:p>
          <w:p w14:paraId="47CC91EE">
            <w:pPr>
              <w:spacing w:line="440" w:lineRule="exact"/>
              <w:rPr>
                <w:rFonts w:ascii="宋体" w:hAnsi="宋体" w:cs="宋体"/>
                <w:sz w:val="24"/>
              </w:rPr>
            </w:pPr>
            <w:r>
              <w:rPr>
                <w:rFonts w:hint="eastAsia" w:ascii="宋体" w:hAnsi="宋体" w:cs="宋体"/>
                <w:sz w:val="24"/>
              </w:rPr>
              <w:t>（2）财务要求：</w:t>
            </w:r>
          </w:p>
          <w:p w14:paraId="6C249236">
            <w:pPr>
              <w:spacing w:line="440" w:lineRule="exact"/>
              <w:ind w:firstLine="240" w:firstLineChars="100"/>
              <w:rPr>
                <w:rFonts w:ascii="宋体" w:hAnsi="宋体" w:cs="宋体"/>
                <w:sz w:val="24"/>
              </w:rPr>
            </w:pPr>
            <w:sdt>
              <w:sdtPr>
                <w:rPr>
                  <w:rFonts w:hint="eastAsia" w:ascii="宋体" w:hAnsi="宋体" w:cs="宋体"/>
                  <w:sz w:val="24"/>
                </w:rPr>
                <w:id w:val="-1631785619"/>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近</w:t>
            </w:r>
            <w:r>
              <w:rPr>
                <w:rFonts w:hint="eastAsia" w:ascii="宋体" w:hAnsi="宋体" w:cs="宋体"/>
                <w:sz w:val="24"/>
                <w:u w:val="single"/>
              </w:rPr>
              <w:t>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年（限定在3年以内）无亏损；</w:t>
            </w:r>
          </w:p>
          <w:p w14:paraId="2819E058">
            <w:pPr>
              <w:spacing w:line="440" w:lineRule="exact"/>
              <w:ind w:firstLine="240" w:firstLineChars="100"/>
              <w:rPr>
                <w:rFonts w:ascii="宋体" w:hAnsi="宋体" w:cs="宋体"/>
                <w:sz w:val="24"/>
              </w:rPr>
            </w:pPr>
            <w:sdt>
              <w:sdtPr>
                <w:rPr>
                  <w:rFonts w:hint="eastAsia" w:ascii="宋体" w:hAnsi="宋体" w:cs="宋体"/>
                  <w:sz w:val="24"/>
                </w:rPr>
                <w:id w:val="-133335659"/>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无财务要求；</w:t>
            </w:r>
          </w:p>
          <w:p w14:paraId="785BDF21">
            <w:pPr>
              <w:spacing w:line="440" w:lineRule="exact"/>
              <w:rPr>
                <w:rFonts w:ascii="宋体" w:hAnsi="宋体" w:cs="宋体"/>
                <w:sz w:val="24"/>
              </w:rPr>
            </w:pPr>
            <w:r>
              <w:rPr>
                <w:rFonts w:hint="eastAsia" w:ascii="宋体" w:hAnsi="宋体" w:cs="宋体"/>
                <w:sz w:val="24"/>
              </w:rPr>
              <w:t>（3）设计业绩要求：同招标公告或投标邀请书；</w:t>
            </w:r>
          </w:p>
          <w:p w14:paraId="5CACFC16">
            <w:pPr>
              <w:spacing w:line="440" w:lineRule="exact"/>
              <w:rPr>
                <w:rFonts w:ascii="宋体" w:hAnsi="宋体" w:cs="宋体"/>
                <w:sz w:val="24"/>
              </w:rPr>
            </w:pPr>
            <w:r>
              <w:rPr>
                <w:rFonts w:hint="eastAsia" w:ascii="宋体" w:hAnsi="宋体" w:cs="宋体"/>
                <w:sz w:val="24"/>
              </w:rPr>
              <w:t>（4）施工业绩要求：同招标公告或投标邀请书；</w:t>
            </w:r>
          </w:p>
          <w:p w14:paraId="248B5AC2">
            <w:pPr>
              <w:spacing w:line="440" w:lineRule="exact"/>
              <w:rPr>
                <w:rFonts w:ascii="宋体" w:hAnsi="宋体" w:cs="宋体"/>
                <w:sz w:val="24"/>
              </w:rPr>
            </w:pPr>
            <w:r>
              <w:rPr>
                <w:rFonts w:hint="eastAsia" w:ascii="宋体" w:hAnsi="宋体" w:cs="宋体"/>
                <w:sz w:val="24"/>
              </w:rPr>
              <w:t>（5）信誉要求：不存在投标人须知第1.4.3项规定的的限制投标的情形</w:t>
            </w:r>
            <w:r>
              <w:rPr>
                <w:rFonts w:hint="eastAsia" w:ascii="宋体" w:hAnsi="宋体"/>
                <w:sz w:val="24"/>
              </w:rPr>
              <w:t>；</w:t>
            </w:r>
          </w:p>
          <w:p w14:paraId="6C782CD2">
            <w:pPr>
              <w:spacing w:line="440" w:lineRule="exact"/>
              <w:rPr>
                <w:rFonts w:ascii="宋体" w:hAnsi="宋体" w:cs="宋体"/>
                <w:sz w:val="24"/>
              </w:rPr>
            </w:pPr>
            <w:r>
              <w:rPr>
                <w:rFonts w:hint="eastAsia" w:ascii="宋体" w:hAnsi="宋体" w:cs="宋体"/>
                <w:sz w:val="24"/>
              </w:rPr>
              <w:t>（6）项目经理的资格要求：同招标公告或投标邀请书；</w:t>
            </w:r>
          </w:p>
          <w:p w14:paraId="75DE229C">
            <w:pPr>
              <w:spacing w:line="440" w:lineRule="exact"/>
              <w:rPr>
                <w:rFonts w:ascii="宋体" w:hAnsi="宋体" w:cs="宋体"/>
                <w:sz w:val="24"/>
              </w:rPr>
            </w:pPr>
            <w:r>
              <w:rPr>
                <w:rFonts w:hint="eastAsia" w:ascii="宋体" w:hAnsi="宋体" w:cs="宋体"/>
                <w:sz w:val="24"/>
              </w:rPr>
              <w:t>（7）设计负责人的资格要求：同招标公告或投标邀请书；</w:t>
            </w:r>
          </w:p>
          <w:p w14:paraId="11F1B2D3">
            <w:pPr>
              <w:spacing w:line="440" w:lineRule="exact"/>
              <w:rPr>
                <w:rFonts w:ascii="宋体" w:hAnsi="宋体" w:cs="宋体"/>
                <w:sz w:val="24"/>
              </w:rPr>
            </w:pPr>
            <w:r>
              <w:rPr>
                <w:rFonts w:hint="eastAsia" w:ascii="宋体" w:hAnsi="宋体" w:cs="宋体"/>
                <w:sz w:val="24"/>
              </w:rPr>
              <w:t>（8）施工负责人的资格要求：同招标公告或投标邀请书；</w:t>
            </w:r>
          </w:p>
          <w:p w14:paraId="4FC8E686">
            <w:pPr>
              <w:spacing w:line="440" w:lineRule="exact"/>
              <w:rPr>
                <w:rFonts w:ascii="宋体" w:hAnsi="宋体" w:cs="宋体"/>
                <w:sz w:val="24"/>
              </w:rPr>
            </w:pPr>
            <w:r>
              <w:rPr>
                <w:rFonts w:hint="eastAsia" w:ascii="宋体" w:hAnsi="宋体" w:cs="宋体"/>
                <w:sz w:val="24"/>
              </w:rPr>
              <w:t>（9）具备有效的安全生产许可证（园林绿化、电梯安装等不实行安全生产许可的除外）；</w:t>
            </w:r>
          </w:p>
          <w:p w14:paraId="6330E3B2">
            <w:pPr>
              <w:spacing w:line="440" w:lineRule="exact"/>
              <w:rPr>
                <w:rFonts w:ascii="宋体" w:hAnsi="宋体" w:cs="宋体"/>
                <w:sz w:val="24"/>
              </w:rPr>
            </w:pPr>
            <w:r>
              <w:rPr>
                <w:rFonts w:hint="eastAsia" w:ascii="宋体" w:hAnsi="宋体" w:cs="宋体"/>
                <w:sz w:val="24"/>
              </w:rPr>
              <w:t>（10）其他要求（多项选择）：</w:t>
            </w:r>
          </w:p>
          <w:p w14:paraId="0E6A9BD8">
            <w:pPr>
              <w:spacing w:line="440" w:lineRule="exact"/>
              <w:ind w:firstLine="480" w:firstLineChars="200"/>
              <w:rPr>
                <w:rFonts w:ascii="宋体" w:hAnsi="宋体" w:cs="宋体"/>
                <w:sz w:val="24"/>
              </w:rPr>
            </w:pPr>
            <w:sdt>
              <w:sdtPr>
                <w:rPr>
                  <w:rFonts w:hint="eastAsia" w:ascii="宋体" w:hAnsi="宋体" w:cs="宋体"/>
                  <w:sz w:val="24"/>
                </w:rPr>
                <w:id w:val="194206103"/>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企业注册地不在四川省行政区域内的省外企业须提供在有效期内的四川省住房和城乡建设厅官网已公开的入川信息网页截图。</w:t>
            </w:r>
          </w:p>
          <w:p w14:paraId="55E8180C">
            <w:pPr>
              <w:spacing w:line="440" w:lineRule="exact"/>
              <w:ind w:firstLine="480" w:firstLineChars="200"/>
              <w:rPr>
                <w:rFonts w:ascii="宋体" w:hAnsi="宋体" w:cs="宋体"/>
                <w:sz w:val="24"/>
              </w:rPr>
            </w:pPr>
            <w:sdt>
              <w:sdtPr>
                <w:rPr>
                  <w:rFonts w:hint="eastAsia" w:ascii="宋体" w:hAnsi="宋体" w:cs="宋体"/>
                  <w:sz w:val="24"/>
                  <w:u w:val="single"/>
                </w:rPr>
                <w:id w:val="-1657135319"/>
                <w14:checkbox>
                  <w14:checked w14:val="0"/>
                  <w14:checkedState w14:val="2611" w14:font="MS Gothic"/>
                  <w14:uncheckedState w14:val="2610" w14:font="MS Gothic"/>
                </w14:checkbox>
              </w:sdtPr>
              <w:sdtEndPr>
                <w:rPr>
                  <w:rFonts w:hint="eastAsia" w:ascii="宋体" w:hAnsi="宋体" w:cs="宋体"/>
                  <w:sz w:val="24"/>
                  <w:u w:val="single"/>
                </w:rPr>
              </w:sdtEndPr>
              <w:sdtContent>
                <w:r>
                  <w:rPr>
                    <w:rFonts w:hint="eastAsia" w:ascii="MS Gothic" w:hAnsi="MS Gothic" w:eastAsia="MS Gothic" w:cs="MS Gothic"/>
                    <w:sz w:val="24"/>
                    <w:u w:val="single"/>
                  </w:rPr>
                  <w:t>☐</w:t>
                </w:r>
              </w:sdtContent>
            </w:sdt>
            <w:r>
              <w:rPr>
                <w:rFonts w:hint="eastAsia" w:ascii="宋体" w:hAnsi="宋体" w:cs="宋体"/>
                <w:sz w:val="24"/>
                <w:u w:val="single"/>
              </w:rPr>
              <w:t xml:space="preserve">             </w:t>
            </w:r>
            <w:r>
              <w:rPr>
                <w:rFonts w:hint="eastAsia" w:ascii="宋体" w:hAnsi="宋体" w:cs="宋体"/>
                <w:sz w:val="24"/>
              </w:rPr>
              <w:t>。</w:t>
            </w:r>
          </w:p>
          <w:p w14:paraId="454DBD57">
            <w:pPr>
              <w:spacing w:line="440" w:lineRule="exact"/>
              <w:rPr>
                <w:rFonts w:ascii="宋体" w:hAnsi="宋体" w:cs="宋体"/>
                <w:sz w:val="24"/>
              </w:rPr>
            </w:pPr>
          </w:p>
          <w:p w14:paraId="41820686">
            <w:pPr>
              <w:spacing w:line="360" w:lineRule="auto"/>
              <w:rPr>
                <w:rFonts w:ascii="宋体" w:hAnsi="宋体" w:cs="宋体"/>
                <w:sz w:val="24"/>
              </w:rPr>
            </w:pPr>
            <w:r>
              <w:rPr>
                <w:rFonts w:hint="eastAsia" w:ascii="宋体" w:hAnsi="宋体" w:cs="宋体"/>
                <w:sz w:val="24"/>
              </w:rPr>
              <w:t>注：（1）招标人在“投标人资质条件、能力和信誉”要求中，除 1.4.1 已列入的外，招标人不得脱离招标项目的具体特点和实际需要，随意和盲目地设定投标人要求，不得设定与招标项目具体特点和实际需要不相适应的资质资格、技术、商务条件或者业绩、奖项要求，不得设定企业股东背景、年平均承接项目数量或者金额、从业人员、纳税额、营业场所面积等规模条件，不得设定超过项目实际需要的企业注册资本、资产总额、净资产规模、营业收入、利润、授信额度等财务指标，不得设定与招标项目实际需要不相适应或者与合同履行无关的资质、人员资格等，不得设定特定行政区域或者特定行业的业绩、奖项，不得设定投标人在本地注册设立子公司、分公司、分支机构，在本地拥有一定办公面积，在本地缴纳社会保险等，不得限定或者指定特定的专利、商标、品牌、原产地或者供应商，不得限定潜在投标人或者投标人所有制形式或者组织形式，不得设定国家已经明令取消的资质资格、非国家法定的资格，不得设定政府部门、行业协会商会或者其他机构对投标人作出的荣誉奖励和慈善公益证明等，不得设定国家职业资格目录中准入类职业资格以外的人员资格，不得设定要求投标人提供材料供应商授权书等，不得将施工员、质量员、安全员等现场专业管理人员配备情况列入招标文件中投标人响应承诺事项，否则属于以不合理条件限制、排斥潜在投标人或者投标人。</w:t>
            </w:r>
          </w:p>
          <w:p w14:paraId="4A1F986E">
            <w:pPr>
              <w:spacing w:line="440" w:lineRule="exact"/>
              <w:rPr>
                <w:rFonts w:ascii="宋体" w:hAnsi="宋体" w:cs="宋体"/>
                <w:sz w:val="24"/>
              </w:rPr>
            </w:pPr>
            <w:r>
              <w:rPr>
                <w:rFonts w:hint="eastAsia" w:ascii="宋体" w:hAnsi="宋体" w:cs="宋体"/>
                <w:sz w:val="24"/>
              </w:rPr>
              <w:t>（2）招标人应该按照住房城乡建设部关于印发《建筑业企业资质标准》的通知（建市〔2014〕159 号）和《住房城乡建设部关于简化建筑业企业资质标准部分指标的通知》（建市〔2016〕226 号）及其配套规定确定对投标人的施工资质等级要求。</w:t>
            </w:r>
          </w:p>
          <w:p w14:paraId="63789849">
            <w:pPr>
              <w:spacing w:line="360" w:lineRule="auto"/>
              <w:rPr>
                <w:rFonts w:ascii="宋体" w:hAnsi="宋体"/>
                <w:sz w:val="24"/>
              </w:rPr>
            </w:pPr>
            <w:r>
              <w:rPr>
                <w:rFonts w:hint="eastAsia" w:ascii="宋体" w:hAnsi="宋体"/>
                <w:sz w:val="24"/>
              </w:rPr>
              <w:t>（3）不具备相应资质或超越资质等级取得的业绩，不作为有效业绩认定。</w:t>
            </w:r>
          </w:p>
          <w:p w14:paraId="7BC04BBC">
            <w:pPr>
              <w:spacing w:line="440" w:lineRule="exact"/>
              <w:rPr>
                <w:rFonts w:ascii="宋体" w:hAnsi="宋体" w:cs="宋体"/>
                <w:sz w:val="24"/>
              </w:rPr>
            </w:pPr>
            <w:r>
              <w:rPr>
                <w:rFonts w:hint="eastAsia" w:ascii="宋体" w:hAnsi="宋体"/>
                <w:sz w:val="24"/>
              </w:rPr>
              <w:t>（4）</w:t>
            </w:r>
            <w:r>
              <w:rPr>
                <w:rFonts w:hint="eastAsia" w:ascii="宋体" w:hAnsi="宋体" w:cs="宋体"/>
                <w:sz w:val="24"/>
              </w:rPr>
              <w:t>重组、分立后的企业，其重组、分立前承接的工程项目不作为有效业绩认定；合并后的新企业，原企业在合并前承接的工程项目，提供了企业合并相关证明材料的，作为有效业绩认定</w:t>
            </w:r>
            <w:r>
              <w:rPr>
                <w:rFonts w:hint="eastAsia" w:ascii="宋体" w:hAnsi="宋体"/>
                <w:sz w:val="24"/>
              </w:rPr>
              <w:t>。</w:t>
            </w:r>
          </w:p>
        </w:tc>
      </w:tr>
      <w:tr w14:paraId="4947C206">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E828BBD">
            <w:pPr>
              <w:spacing w:line="440" w:lineRule="exact"/>
              <w:jc w:val="center"/>
              <w:rPr>
                <w:rFonts w:ascii="宋体" w:hAnsi="宋体" w:cs="宋体"/>
                <w:sz w:val="24"/>
              </w:rPr>
            </w:pPr>
            <w:r>
              <w:rPr>
                <w:rFonts w:hint="eastAsia" w:ascii="宋体" w:hAnsi="宋体" w:cs="宋体"/>
                <w:sz w:val="24"/>
              </w:rPr>
              <w:t>1.4.2</w:t>
            </w:r>
          </w:p>
        </w:tc>
        <w:tc>
          <w:tcPr>
            <w:tcW w:w="2252" w:type="dxa"/>
            <w:tcBorders>
              <w:top w:val="single" w:color="auto" w:sz="4" w:space="0"/>
              <w:left w:val="single" w:color="auto" w:sz="4" w:space="0"/>
              <w:bottom w:val="single" w:color="auto" w:sz="4" w:space="0"/>
              <w:right w:val="single" w:color="auto" w:sz="4" w:space="0"/>
            </w:tcBorders>
            <w:vAlign w:val="center"/>
          </w:tcPr>
          <w:p w14:paraId="60351E1C">
            <w:pPr>
              <w:spacing w:line="440" w:lineRule="exact"/>
              <w:jc w:val="center"/>
              <w:rPr>
                <w:rFonts w:ascii="宋体" w:hAnsi="宋体" w:cs="宋体"/>
                <w:sz w:val="24"/>
              </w:rPr>
            </w:pPr>
            <w:r>
              <w:rPr>
                <w:rFonts w:hint="eastAsia" w:ascii="宋体" w:hAnsi="宋体" w:cs="宋体"/>
                <w:sz w:val="24"/>
              </w:rPr>
              <w:t>是否接受联合体投标</w:t>
            </w:r>
          </w:p>
        </w:tc>
        <w:tc>
          <w:tcPr>
            <w:tcW w:w="6437" w:type="dxa"/>
            <w:tcBorders>
              <w:top w:val="single" w:color="auto" w:sz="4" w:space="0"/>
              <w:left w:val="single" w:color="auto" w:sz="4" w:space="0"/>
              <w:bottom w:val="single" w:color="auto" w:sz="4" w:space="0"/>
              <w:right w:val="single" w:color="auto" w:sz="4" w:space="0"/>
            </w:tcBorders>
            <w:vAlign w:val="center"/>
          </w:tcPr>
          <w:p w14:paraId="28ED67A2">
            <w:pPr>
              <w:spacing w:line="360" w:lineRule="auto"/>
              <w:rPr>
                <w:rFonts w:ascii="宋体" w:hAnsi="宋体" w:cs="宋体"/>
                <w:sz w:val="24"/>
              </w:rPr>
            </w:pPr>
            <w:r>
              <w:rPr>
                <w:rFonts w:hint="eastAsia" w:ascii="宋体" w:hAnsi="宋体" w:cs="宋体"/>
                <w:sz w:val="24"/>
              </w:rPr>
              <w:t>接受，</w:t>
            </w:r>
            <w:r>
              <w:rPr>
                <w:rFonts w:hint="eastAsia" w:ascii="宋体" w:hAnsi="宋体"/>
                <w:sz w:val="24"/>
              </w:rPr>
              <w:t>联合体投标的，联合体牵头人应为</w:t>
            </w:r>
            <w:sdt>
              <w:sdtPr>
                <w:rPr>
                  <w:rFonts w:hint="eastAsia" w:ascii="宋体" w:hAnsi="宋体"/>
                  <w:sz w:val="24"/>
                </w:rPr>
                <w:id w:val="-1731371359"/>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设计单位</w:t>
            </w:r>
            <w:sdt>
              <w:sdtPr>
                <w:rPr>
                  <w:rFonts w:hint="eastAsia" w:ascii="宋体" w:hAnsi="宋体"/>
                  <w:sz w:val="24"/>
                </w:rPr>
                <w:id w:val="1133218879"/>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施工单位</w:t>
            </w:r>
            <w:r>
              <w:rPr>
                <w:rFonts w:hint="eastAsia" w:ascii="宋体" w:hAnsi="宋体"/>
                <w:sz w:val="24"/>
              </w:rPr>
              <w:t>，同时满足下列要求：</w:t>
            </w:r>
            <w:r>
              <w:rPr>
                <w:rFonts w:hint="eastAsia" w:ascii="宋体" w:hAnsi="宋体" w:cs="宋体"/>
                <w:b/>
                <w:sz w:val="24"/>
                <w:u w:val="single"/>
              </w:rPr>
              <w:t xml:space="preserve">  </w:t>
            </w:r>
            <w:r>
              <w:rPr>
                <w:rFonts w:hint="eastAsia" w:ascii="宋体" w:hAnsi="宋体"/>
                <w:sz w:val="24"/>
                <w:u w:val="single"/>
                <w:lang w:val="en-US" w:eastAsia="zh-CN"/>
              </w:rPr>
              <w:t xml:space="preserve"> </w:t>
            </w:r>
            <w:r>
              <w:rPr>
                <w:rFonts w:hint="eastAsia" w:ascii="宋体" w:hAnsi="宋体" w:cs="宋体"/>
                <w:sz w:val="24"/>
              </w:rPr>
              <w:t>。</w:t>
            </w:r>
          </w:p>
        </w:tc>
      </w:tr>
      <w:tr w14:paraId="787DB388">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73AF3DF">
            <w:pPr>
              <w:spacing w:line="440" w:lineRule="exact"/>
              <w:jc w:val="center"/>
              <w:rPr>
                <w:rFonts w:ascii="宋体" w:hAnsi="宋体" w:cs="宋体"/>
                <w:sz w:val="24"/>
              </w:rPr>
            </w:pPr>
            <w:r>
              <w:rPr>
                <w:rFonts w:hint="eastAsia" w:ascii="宋体" w:hAnsi="宋体" w:cs="宋体"/>
                <w:sz w:val="24"/>
              </w:rPr>
              <w:t>1.4.3</w:t>
            </w:r>
          </w:p>
        </w:tc>
        <w:tc>
          <w:tcPr>
            <w:tcW w:w="2252" w:type="dxa"/>
            <w:tcBorders>
              <w:top w:val="single" w:color="auto" w:sz="4" w:space="0"/>
              <w:left w:val="single" w:color="auto" w:sz="4" w:space="0"/>
              <w:bottom w:val="single" w:color="auto" w:sz="4" w:space="0"/>
              <w:right w:val="single" w:color="auto" w:sz="4" w:space="0"/>
            </w:tcBorders>
            <w:vAlign w:val="center"/>
          </w:tcPr>
          <w:p w14:paraId="404DC61B">
            <w:pPr>
              <w:spacing w:line="440" w:lineRule="exact"/>
              <w:jc w:val="center"/>
              <w:rPr>
                <w:rFonts w:ascii="宋体" w:hAnsi="宋体" w:cs="宋体"/>
                <w:sz w:val="24"/>
              </w:rPr>
            </w:pPr>
            <w:r>
              <w:rPr>
                <w:rFonts w:hint="eastAsia" w:ascii="宋体" w:hAnsi="宋体"/>
                <w:sz w:val="24"/>
              </w:rPr>
              <w:t>限制投标的情形</w:t>
            </w:r>
          </w:p>
        </w:tc>
        <w:tc>
          <w:tcPr>
            <w:tcW w:w="6437" w:type="dxa"/>
            <w:tcBorders>
              <w:top w:val="single" w:color="auto" w:sz="4" w:space="0"/>
              <w:left w:val="single" w:color="auto" w:sz="4" w:space="0"/>
              <w:bottom w:val="single" w:color="auto" w:sz="4" w:space="0"/>
              <w:right w:val="single" w:color="auto" w:sz="4" w:space="0"/>
            </w:tcBorders>
            <w:vAlign w:val="center"/>
          </w:tcPr>
          <w:p w14:paraId="575B336E">
            <w:pPr>
              <w:spacing w:line="360" w:lineRule="auto"/>
              <w:rPr>
                <w:rFonts w:ascii="宋体" w:hAnsi="宋体" w:cs="宋体"/>
                <w:sz w:val="24"/>
              </w:rPr>
            </w:pPr>
            <w:r>
              <w:rPr>
                <w:rFonts w:hint="eastAsia" w:ascii="宋体" w:hAnsi="宋体" w:cs="宋体"/>
                <w:sz w:val="24"/>
              </w:rPr>
              <w:t>除投标人不得存在的1</w:t>
            </w:r>
            <w:r>
              <w:rPr>
                <w:rFonts w:ascii="宋体" w:hAnsi="宋体" w:cs="宋体"/>
                <w:sz w:val="24"/>
              </w:rPr>
              <w:t>2</w:t>
            </w:r>
            <w:r>
              <w:rPr>
                <w:rFonts w:hint="eastAsia" w:ascii="宋体" w:hAnsi="宋体" w:cs="宋体"/>
                <w:sz w:val="24"/>
              </w:rPr>
              <w:t>种情形之一外，投标人也不得存在下列情形：</w:t>
            </w:r>
          </w:p>
          <w:p w14:paraId="2E491E7E">
            <w:pPr>
              <w:spacing w:line="360" w:lineRule="auto"/>
              <w:rPr>
                <w:rFonts w:ascii="宋体" w:hAnsi="宋体" w:eastAsia="仿宋" w:cs="宋体"/>
                <w:sz w:val="24"/>
              </w:rPr>
            </w:pPr>
            <w:r>
              <w:rPr>
                <w:rFonts w:hint="eastAsia" w:ascii="宋体" w:hAnsi="宋体" w:cs="宋体"/>
                <w:sz w:val="24"/>
              </w:rPr>
              <w:t>（13）为本项目项目管理单位、造价咨询单位的；</w:t>
            </w:r>
          </w:p>
          <w:p w14:paraId="3A4C3466">
            <w:pPr>
              <w:spacing w:line="360" w:lineRule="auto"/>
              <w:rPr>
                <w:rFonts w:ascii="宋体" w:hAnsi="宋体"/>
                <w:sz w:val="24"/>
              </w:rPr>
            </w:pPr>
            <w:r>
              <w:rPr>
                <w:rFonts w:hint="eastAsia" w:ascii="宋体" w:hAnsi="宋体"/>
                <w:sz w:val="24"/>
              </w:rPr>
              <w:t>（14）与招标人存在利害关系且可能影响招标公正性的；</w:t>
            </w:r>
          </w:p>
          <w:p w14:paraId="6CEA7E89">
            <w:pPr>
              <w:spacing w:line="360" w:lineRule="auto"/>
              <w:rPr>
                <w:rFonts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5</w:t>
            </w:r>
            <w:r>
              <w:rPr>
                <w:rFonts w:ascii="宋体" w:hAnsi="宋体" w:cs="宋体"/>
                <w:sz w:val="24"/>
              </w:rPr>
              <w:t>）在</w:t>
            </w:r>
            <w:r>
              <w:rPr>
                <w:rFonts w:hint="eastAsia" w:ascii="宋体" w:hAnsi="宋体" w:cs="宋体"/>
                <w:sz w:val="24"/>
              </w:rPr>
              <w:t>最</w:t>
            </w:r>
            <w:r>
              <w:rPr>
                <w:rFonts w:ascii="宋体" w:hAnsi="宋体" w:cs="宋体"/>
                <w:sz w:val="24"/>
              </w:rPr>
              <w:t>近三年内投标人或其法定代表人、</w:t>
            </w:r>
            <w:r>
              <w:rPr>
                <w:rFonts w:hint="eastAsia" w:ascii="宋体" w:hAnsi="宋体" w:cs="宋体"/>
                <w:sz w:val="24"/>
              </w:rPr>
              <w:t>拟委任的项目经理有行贿犯罪行为的；</w:t>
            </w:r>
          </w:p>
          <w:p w14:paraId="740DFC8F">
            <w:pPr>
              <w:spacing w:line="360" w:lineRule="auto"/>
              <w:rPr>
                <w:rFonts w:ascii="宋体" w:hAnsi="宋体" w:cs="宋体"/>
                <w:sz w:val="24"/>
              </w:rPr>
            </w:pPr>
            <w:r>
              <w:rPr>
                <w:rFonts w:hint="eastAsia" w:ascii="宋体" w:hAnsi="宋体" w:cs="宋体"/>
                <w:sz w:val="24"/>
              </w:rPr>
              <w:t>（16）</w:t>
            </w:r>
            <w:r>
              <w:rPr>
                <w:rFonts w:ascii="宋体" w:hAnsi="宋体" w:cs="宋体"/>
                <w:sz w:val="24"/>
              </w:rPr>
              <w:t>在</w:t>
            </w:r>
            <w:r>
              <w:rPr>
                <w:rFonts w:hint="eastAsia" w:ascii="宋体" w:hAnsi="宋体" w:cs="宋体"/>
                <w:sz w:val="24"/>
              </w:rPr>
              <w:t>最</w:t>
            </w:r>
            <w:r>
              <w:rPr>
                <w:rFonts w:ascii="宋体" w:hAnsi="宋体" w:cs="宋体"/>
                <w:sz w:val="24"/>
              </w:rPr>
              <w:t>近</w:t>
            </w:r>
            <w:r>
              <w:rPr>
                <w:rFonts w:hint="eastAsia" w:ascii="宋体" w:hAnsi="宋体" w:cs="宋体"/>
                <w:sz w:val="24"/>
              </w:rPr>
              <w:t>一</w:t>
            </w:r>
            <w:r>
              <w:rPr>
                <w:rFonts w:ascii="宋体" w:hAnsi="宋体" w:cs="宋体"/>
                <w:sz w:val="24"/>
              </w:rPr>
              <w:t>年内</w:t>
            </w:r>
            <w:r>
              <w:rPr>
                <w:rFonts w:hint="eastAsia" w:ascii="宋体" w:hAnsi="宋体" w:cs="宋体"/>
                <w:sz w:val="24"/>
              </w:rPr>
              <w:t>投标人拟委任的施工负责人因违反《</w:t>
            </w:r>
            <w:r>
              <w:rPr>
                <w:rFonts w:ascii="宋体" w:hAnsi="宋体" w:cs="宋体"/>
                <w:sz w:val="24"/>
              </w:rPr>
              <w:t>注册建造师管理规定</w:t>
            </w:r>
            <w:r>
              <w:rPr>
                <w:rFonts w:hint="eastAsia" w:ascii="宋体" w:hAnsi="宋体" w:cs="宋体"/>
                <w:sz w:val="24"/>
              </w:rPr>
              <w:t>》被</w:t>
            </w:r>
            <w:r>
              <w:rPr>
                <w:rFonts w:ascii="宋体" w:hAnsi="宋体" w:cs="宋体"/>
                <w:sz w:val="24"/>
              </w:rPr>
              <w:t>建设主管部门或者其他有关部门</w:t>
            </w:r>
            <w:r>
              <w:rPr>
                <w:rFonts w:hint="eastAsia" w:ascii="宋体" w:hAnsi="宋体" w:cs="宋体"/>
                <w:sz w:val="24"/>
              </w:rPr>
              <w:t>行政处罚的；</w:t>
            </w:r>
          </w:p>
          <w:p w14:paraId="0775BB39">
            <w:pPr>
              <w:spacing w:line="360" w:lineRule="auto"/>
              <w:rPr>
                <w:rFonts w:ascii="宋体" w:hAnsi="宋体" w:cs="宋体"/>
                <w:sz w:val="24"/>
              </w:rPr>
            </w:pPr>
            <w:r>
              <w:rPr>
                <w:rFonts w:hint="eastAsia" w:ascii="宋体" w:hAnsi="宋体" w:cs="宋体"/>
                <w:sz w:val="24"/>
              </w:rPr>
              <w:t>（17）</w:t>
            </w:r>
            <w:r>
              <w:rPr>
                <w:rFonts w:hint="eastAsia" w:ascii="宋体" w:hAnsi="宋体"/>
                <w:sz w:val="24"/>
              </w:rPr>
              <w:t>拟任项目经理在参加本项目投标时（指提交投标文件截止时间）在其他合同履行期间(合同履行期间是指从工程项目签订承包合同之日起至工程项目验收合格之日止的时间)的工程项目中担任项目经理或施工负责人的（</w:t>
            </w:r>
            <w:r>
              <w:rPr>
                <w:rFonts w:ascii="Wingdings 2" w:hAnsi="Wingdings 2"/>
                <w:sz w:val="24"/>
              </w:rPr>
              <w:sym w:font="Wingdings 2" w:char="F0A3"/>
            </w:r>
            <w:r>
              <w:rPr>
                <w:rFonts w:hint="eastAsia" w:ascii="宋体" w:hAnsi="宋体"/>
                <w:sz w:val="24"/>
              </w:rPr>
              <w:t>在本项目其他标段担任项目经理的除外）。</w:t>
            </w:r>
          </w:p>
          <w:p w14:paraId="4D77D375">
            <w:pPr>
              <w:spacing w:line="360" w:lineRule="auto"/>
              <w:rPr>
                <w:rFonts w:ascii="宋体" w:hAnsi="宋体"/>
                <w:sz w:val="24"/>
              </w:rPr>
            </w:pPr>
            <w:sdt>
              <w:sdtPr>
                <w:rPr>
                  <w:rFonts w:hint="eastAsia" w:ascii="宋体" w:hAnsi="宋体"/>
                  <w:sz w:val="24"/>
                </w:rPr>
                <w:id w:val="-240491095"/>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（18）</w:t>
            </w:r>
            <w:r>
              <w:rPr>
                <w:rFonts w:hint="eastAsia" w:ascii="宋体" w:hAnsi="宋体" w:cs="宋体"/>
                <w:sz w:val="24"/>
              </w:rPr>
              <w:t>根据国家或四川省有关部门制定的其他联合惩戒措施规范性文件（联合惩戒措施包括限制参与工程招投标或限制参与政府采购活动），被列为联合惩戒对象的；</w:t>
            </w:r>
          </w:p>
          <w:p w14:paraId="2E59C0E9">
            <w:pPr>
              <w:spacing w:line="360" w:lineRule="auto"/>
              <w:rPr>
                <w:rFonts w:ascii="宋体" w:hAnsi="宋体"/>
                <w:sz w:val="24"/>
              </w:rPr>
            </w:pPr>
          </w:p>
          <w:p w14:paraId="4515C9A0">
            <w:pPr>
              <w:spacing w:line="360" w:lineRule="auto"/>
              <w:rPr>
                <w:rFonts w:ascii="宋体" w:hAnsi="宋体" w:cs="宋体"/>
                <w:b/>
                <w:bCs/>
                <w:szCs w:val="21"/>
              </w:rPr>
            </w:pPr>
            <w:r>
              <w:rPr>
                <w:rFonts w:hint="eastAsia" w:ascii="宋体" w:hAnsi="宋体" w:cs="宋体"/>
                <w:b/>
                <w:bCs/>
                <w:szCs w:val="21"/>
              </w:rPr>
              <w:t>注：除此之外招标人不得另行增加其他限制投标情形。</w:t>
            </w:r>
          </w:p>
          <w:p w14:paraId="104D479B">
            <w:pPr>
              <w:spacing w:line="360" w:lineRule="auto"/>
              <w:rPr>
                <w:rFonts w:ascii="宋体" w:hAnsi="宋体" w:cs="宋体"/>
                <w:szCs w:val="21"/>
              </w:rPr>
            </w:pPr>
          </w:p>
          <w:p w14:paraId="65021E6A">
            <w:pPr>
              <w:spacing w:line="360" w:lineRule="auto"/>
              <w:rPr>
                <w:rFonts w:ascii="宋体" w:hAnsi="宋体" w:cs="宋体"/>
                <w:sz w:val="24"/>
              </w:rPr>
            </w:pPr>
            <w:sdt>
              <w:sdtPr>
                <w:rPr>
                  <w:rFonts w:hint="eastAsia" w:ascii="宋体" w:hAnsi="宋体"/>
                  <w:sz w:val="24"/>
                </w:rPr>
                <w:id w:val="-1722591421"/>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 xml:space="preserve"> 本项目</w:t>
            </w:r>
            <w:r>
              <w:rPr>
                <w:rFonts w:hint="eastAsia" w:ascii="宋体" w:hAnsi="宋体" w:cs="宋体"/>
                <w:sz w:val="24"/>
              </w:rPr>
              <w:t>已公开项目建议书、可行性研究报告、初步设计文件，编制项目可行性研究报告、工程方案设计、初步设计且具备工程设计资质、工程总承包条件的单位可以参与本项目的投标。</w:t>
            </w:r>
          </w:p>
          <w:p w14:paraId="4BD2C9DD">
            <w:pPr>
              <w:spacing w:line="360" w:lineRule="auto"/>
              <w:rPr>
                <w:rFonts w:ascii="宋体" w:hAnsi="宋体" w:cs="宋体"/>
                <w:sz w:val="24"/>
              </w:rPr>
            </w:pPr>
          </w:p>
          <w:p w14:paraId="3E8A5CD4">
            <w:pPr>
              <w:spacing w:line="360" w:lineRule="auto"/>
              <w:rPr>
                <w:rFonts w:ascii="宋体" w:hAnsi="宋体"/>
                <w:sz w:val="24"/>
              </w:rPr>
            </w:pPr>
            <w:r>
              <w:rPr>
                <w:rFonts w:hint="eastAsia" w:ascii="宋体" w:hAnsi="宋体"/>
                <w:sz w:val="24"/>
              </w:rPr>
              <w:t>本条（9）、（15）、（16）规定的事项，</w:t>
            </w:r>
            <w:r>
              <w:rPr>
                <w:rFonts w:hint="eastAsia" w:ascii="宋体" w:hAnsi="宋体" w:cs="宋体"/>
                <w:sz w:val="24"/>
              </w:rPr>
              <w:t>应以有关行政主管部门出具的已生效的行政处罚决定书为依据，“近三年”“近一年”应以行政处罚决定书的出具时间起算。</w:t>
            </w:r>
          </w:p>
          <w:p w14:paraId="66A7578F">
            <w:pPr>
              <w:spacing w:line="360" w:lineRule="auto"/>
              <w:rPr>
                <w:rFonts w:ascii="宋体" w:hAnsi="宋体"/>
                <w:sz w:val="24"/>
              </w:rPr>
            </w:pPr>
          </w:p>
          <w:p w14:paraId="69E1D31D">
            <w:pPr>
              <w:spacing w:line="360" w:lineRule="auto"/>
              <w:rPr>
                <w:rFonts w:ascii="宋体" w:hAnsi="宋体"/>
                <w:sz w:val="24"/>
              </w:rPr>
            </w:pPr>
            <w:r>
              <w:rPr>
                <w:rFonts w:hint="eastAsia" w:ascii="宋体" w:hAnsi="宋体"/>
                <w:sz w:val="24"/>
              </w:rPr>
              <w:t>“被暂停或取消投标资格的”是指：</w:t>
            </w:r>
          </w:p>
          <w:p w14:paraId="3EEA592F">
            <w:pPr>
              <w:spacing w:line="440" w:lineRule="exact"/>
              <w:rPr>
                <w:rFonts w:ascii="宋体" w:hAnsi="宋体" w:cs="宋体"/>
                <w:sz w:val="24"/>
              </w:rPr>
            </w:pPr>
            <w:r>
              <w:rPr>
                <w:rFonts w:hint="eastAsia" w:ascii="宋体" w:hAnsi="宋体"/>
                <w:sz w:val="24"/>
              </w:rPr>
              <w:t>投标人存在被行政主管部门依据法律、法规、规章作出暂停或取消一定时期投标资格的已生效行政处罚，其限制投标范围与所依据的法律、法规、规章适用范围相同，与行政处罚规定的限制投标行政区域无关。</w:t>
            </w:r>
          </w:p>
        </w:tc>
      </w:tr>
      <w:tr w14:paraId="64CCEA4E">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A7829D0">
            <w:pPr>
              <w:spacing w:line="440" w:lineRule="exact"/>
              <w:jc w:val="center"/>
              <w:rPr>
                <w:rFonts w:ascii="宋体" w:hAnsi="宋体" w:cs="宋体"/>
                <w:sz w:val="24"/>
              </w:rPr>
            </w:pPr>
            <w:r>
              <w:rPr>
                <w:rFonts w:hint="eastAsia" w:ascii="宋体" w:hAnsi="宋体" w:cs="宋体"/>
                <w:sz w:val="24"/>
              </w:rPr>
              <w:t>1.5</w:t>
            </w:r>
          </w:p>
        </w:tc>
        <w:tc>
          <w:tcPr>
            <w:tcW w:w="2252" w:type="dxa"/>
            <w:tcBorders>
              <w:top w:val="single" w:color="auto" w:sz="4" w:space="0"/>
              <w:left w:val="single" w:color="auto" w:sz="4" w:space="0"/>
              <w:bottom w:val="single" w:color="auto" w:sz="4" w:space="0"/>
              <w:right w:val="single" w:color="auto" w:sz="4" w:space="0"/>
            </w:tcBorders>
            <w:vAlign w:val="center"/>
          </w:tcPr>
          <w:p w14:paraId="023D2FEF">
            <w:pPr>
              <w:spacing w:line="440" w:lineRule="exact"/>
              <w:jc w:val="center"/>
              <w:rPr>
                <w:rFonts w:ascii="宋体" w:hAnsi="宋体" w:cs="宋体"/>
                <w:sz w:val="24"/>
              </w:rPr>
            </w:pPr>
            <w:r>
              <w:rPr>
                <w:rFonts w:hint="eastAsia" w:ascii="宋体" w:hAnsi="宋体" w:cs="宋体"/>
                <w:sz w:val="24"/>
              </w:rPr>
              <w:t>费用承担和设计成果补偿</w:t>
            </w:r>
          </w:p>
        </w:tc>
        <w:tc>
          <w:tcPr>
            <w:tcW w:w="6437" w:type="dxa"/>
            <w:tcBorders>
              <w:top w:val="single" w:color="auto" w:sz="4" w:space="0"/>
              <w:left w:val="single" w:color="auto" w:sz="4" w:space="0"/>
              <w:bottom w:val="single" w:color="auto" w:sz="4" w:space="0"/>
              <w:right w:val="single" w:color="auto" w:sz="4" w:space="0"/>
            </w:tcBorders>
            <w:vAlign w:val="center"/>
          </w:tcPr>
          <w:p w14:paraId="47AF776B">
            <w:pPr>
              <w:spacing w:line="440" w:lineRule="exact"/>
              <w:rPr>
                <w:rFonts w:ascii="宋体" w:hAnsi="宋体" w:cs="宋体"/>
                <w:sz w:val="24"/>
              </w:rPr>
            </w:pPr>
            <w:sdt>
              <w:sdtPr>
                <w:rPr>
                  <w:rFonts w:hint="eastAsia" w:ascii="宋体" w:hAnsi="宋体" w:cs="宋体"/>
                  <w:sz w:val="24"/>
                </w:rPr>
                <w:id w:val="-917321497"/>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不补偿</w:t>
            </w:r>
          </w:p>
          <w:p w14:paraId="07DF4842">
            <w:pPr>
              <w:spacing w:line="440" w:lineRule="exact"/>
              <w:rPr>
                <w:rFonts w:ascii="宋体" w:hAnsi="宋体" w:cs="宋体"/>
                <w:sz w:val="24"/>
                <w:u w:val="single"/>
              </w:rPr>
            </w:pPr>
            <w:sdt>
              <w:sdtPr>
                <w:rPr>
                  <w:rFonts w:hint="eastAsia" w:ascii="宋体" w:hAnsi="宋体" w:cs="宋体"/>
                  <w:sz w:val="24"/>
                </w:rPr>
                <w:id w:val="-1291819386"/>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补偿，补偿标准：</w:t>
            </w:r>
            <w:r>
              <w:rPr>
                <w:rFonts w:hint="eastAsia" w:ascii="宋体" w:hAnsi="宋体" w:cs="宋体"/>
                <w:sz w:val="24"/>
                <w:u w:val="single"/>
              </w:rPr>
              <w:t xml:space="preserve">                     </w:t>
            </w:r>
            <w:r>
              <w:rPr>
                <w:rFonts w:hint="eastAsia" w:ascii="宋体" w:hAnsi="宋体" w:cs="宋体"/>
                <w:sz w:val="24"/>
              </w:rPr>
              <w:t>。</w:t>
            </w:r>
          </w:p>
        </w:tc>
      </w:tr>
      <w:tr w14:paraId="0567A88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EFE22A6">
            <w:pPr>
              <w:spacing w:line="440" w:lineRule="exact"/>
              <w:jc w:val="center"/>
              <w:rPr>
                <w:rFonts w:ascii="宋体" w:hAnsi="宋体" w:cs="宋体"/>
                <w:sz w:val="24"/>
              </w:rPr>
            </w:pPr>
            <w:r>
              <w:rPr>
                <w:rFonts w:hint="eastAsia" w:ascii="宋体" w:hAnsi="宋体" w:cs="宋体"/>
                <w:sz w:val="24"/>
              </w:rPr>
              <w:t>1.9.1</w:t>
            </w:r>
          </w:p>
        </w:tc>
        <w:tc>
          <w:tcPr>
            <w:tcW w:w="2252" w:type="dxa"/>
            <w:tcBorders>
              <w:top w:val="single" w:color="auto" w:sz="4" w:space="0"/>
              <w:left w:val="single" w:color="auto" w:sz="4" w:space="0"/>
              <w:bottom w:val="single" w:color="auto" w:sz="4" w:space="0"/>
              <w:right w:val="single" w:color="auto" w:sz="4" w:space="0"/>
            </w:tcBorders>
            <w:vAlign w:val="center"/>
          </w:tcPr>
          <w:p w14:paraId="05C22467">
            <w:pPr>
              <w:spacing w:line="440" w:lineRule="exact"/>
              <w:jc w:val="center"/>
              <w:rPr>
                <w:rFonts w:ascii="宋体" w:hAnsi="宋体" w:cs="宋体"/>
                <w:sz w:val="24"/>
              </w:rPr>
            </w:pPr>
            <w:r>
              <w:rPr>
                <w:rFonts w:hint="eastAsia" w:ascii="宋体" w:hAnsi="宋体" w:cs="宋体"/>
                <w:sz w:val="24"/>
              </w:rPr>
              <w:t>踏勘</w:t>
            </w:r>
          </w:p>
        </w:tc>
        <w:tc>
          <w:tcPr>
            <w:tcW w:w="6437" w:type="dxa"/>
            <w:tcBorders>
              <w:top w:val="single" w:color="auto" w:sz="4" w:space="0"/>
              <w:left w:val="single" w:color="auto" w:sz="4" w:space="0"/>
              <w:bottom w:val="single" w:color="auto" w:sz="4" w:space="0"/>
              <w:right w:val="single" w:color="auto" w:sz="4" w:space="0"/>
            </w:tcBorders>
            <w:vAlign w:val="center"/>
          </w:tcPr>
          <w:p w14:paraId="51BDF47A">
            <w:pPr>
              <w:tabs>
                <w:tab w:val="left" w:pos="1430"/>
              </w:tabs>
              <w:adjustRightInd w:val="0"/>
              <w:snapToGrid w:val="0"/>
              <w:spacing w:line="360" w:lineRule="auto"/>
              <w:rPr>
                <w:rFonts w:ascii="宋体" w:hAnsi="宋体"/>
                <w:sz w:val="24"/>
              </w:rPr>
            </w:pPr>
            <w:sdt>
              <w:sdtPr>
                <w:rPr>
                  <w:rFonts w:hint="eastAsia" w:ascii="宋体" w:hAnsi="宋体" w:cs="宋体"/>
                  <w:sz w:val="24"/>
                </w:rPr>
                <w:id w:val="-942451141"/>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不组织</w:t>
            </w:r>
          </w:p>
          <w:p w14:paraId="7216A2F3">
            <w:pPr>
              <w:tabs>
                <w:tab w:val="left" w:pos="1430"/>
              </w:tabs>
              <w:adjustRightInd w:val="0"/>
              <w:snapToGrid w:val="0"/>
              <w:spacing w:line="360" w:lineRule="auto"/>
              <w:rPr>
                <w:rFonts w:ascii="宋体" w:hAnsi="宋体" w:cs="宋体"/>
                <w:sz w:val="24"/>
                <w:u w:val="single"/>
              </w:rPr>
            </w:pPr>
            <w:sdt>
              <w:sdtPr>
                <w:rPr>
                  <w:rFonts w:hint="eastAsia" w:ascii="宋体" w:hAnsi="宋体" w:cs="宋体"/>
                  <w:sz w:val="24"/>
                </w:rPr>
                <w:id w:val="-1455632894"/>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组织，时  间</w:t>
            </w:r>
            <w:r>
              <w:rPr>
                <w:rFonts w:hint="eastAsia" w:ascii="宋体" w:hAnsi="宋体" w:cs="宋体"/>
                <w:sz w:val="24"/>
                <w:u w:val="single"/>
              </w:rPr>
              <w:t xml:space="preserve">        </w:t>
            </w:r>
            <w:r>
              <w:rPr>
                <w:rFonts w:hint="eastAsia" w:ascii="宋体" w:hAnsi="宋体" w:cs="宋体"/>
                <w:sz w:val="24"/>
              </w:rPr>
              <w:t xml:space="preserve">  地    点</w:t>
            </w:r>
            <w:r>
              <w:rPr>
                <w:rFonts w:hint="eastAsia" w:ascii="宋体" w:hAnsi="宋体" w:cs="宋体"/>
                <w:sz w:val="24"/>
                <w:u w:val="single"/>
              </w:rPr>
              <w:t xml:space="preserve">           </w:t>
            </w:r>
          </w:p>
          <w:p w14:paraId="1354FACE">
            <w:pPr>
              <w:tabs>
                <w:tab w:val="left" w:pos="1430"/>
              </w:tabs>
              <w:adjustRightInd w:val="0"/>
              <w:snapToGrid w:val="0"/>
              <w:spacing w:line="360" w:lineRule="auto"/>
              <w:ind w:firstLine="960" w:firstLineChars="400"/>
              <w:rPr>
                <w:rFonts w:ascii="宋体" w:hAnsi="宋体" w:cs="宋体"/>
                <w:sz w:val="24"/>
                <w:u w:val="single"/>
              </w:rPr>
            </w:pPr>
            <w:r>
              <w:rPr>
                <w:rFonts w:hint="eastAsia" w:ascii="宋体" w:hAnsi="宋体" w:cs="宋体"/>
                <w:sz w:val="24"/>
              </w:rPr>
              <w:t>联系人</w:t>
            </w:r>
            <w:r>
              <w:rPr>
                <w:rFonts w:hint="eastAsia" w:ascii="宋体" w:hAnsi="宋体" w:cs="宋体"/>
                <w:sz w:val="24"/>
                <w:u w:val="single"/>
              </w:rPr>
              <w:t xml:space="preserve">        </w:t>
            </w:r>
            <w:r>
              <w:rPr>
                <w:rFonts w:hint="eastAsia" w:ascii="宋体" w:hAnsi="宋体" w:cs="宋体"/>
                <w:sz w:val="24"/>
              </w:rPr>
              <w:t xml:space="preserve">  联系电话</w:t>
            </w:r>
            <w:r>
              <w:rPr>
                <w:rFonts w:hint="eastAsia" w:ascii="宋体" w:hAnsi="宋体" w:cs="宋体"/>
                <w:sz w:val="24"/>
                <w:u w:val="single"/>
              </w:rPr>
              <w:t xml:space="preserve">           </w:t>
            </w:r>
          </w:p>
          <w:p w14:paraId="2ABD6BB6">
            <w:pPr>
              <w:tabs>
                <w:tab w:val="left" w:pos="1430"/>
              </w:tabs>
              <w:adjustRightInd w:val="0"/>
              <w:snapToGrid w:val="0"/>
              <w:spacing w:line="360" w:lineRule="auto"/>
              <w:rPr>
                <w:rFonts w:ascii="宋体" w:hAnsi="宋体" w:cs="宋体"/>
                <w:sz w:val="24"/>
              </w:rPr>
            </w:pPr>
            <w:r>
              <w:rPr>
                <w:rFonts w:hint="eastAsia" w:ascii="宋体" w:hAnsi="宋体" w:cs="宋体"/>
                <w:sz w:val="24"/>
              </w:rPr>
              <w:t>招标人不组织潜在投标人签到、点名，不出具回执。</w:t>
            </w:r>
          </w:p>
        </w:tc>
      </w:tr>
      <w:tr w14:paraId="533F34E8">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E01DD70">
            <w:pPr>
              <w:spacing w:line="440" w:lineRule="exact"/>
              <w:jc w:val="center"/>
              <w:rPr>
                <w:rFonts w:ascii="宋体" w:hAnsi="宋体" w:cs="宋体"/>
                <w:sz w:val="24"/>
              </w:rPr>
            </w:pPr>
            <w:r>
              <w:rPr>
                <w:rFonts w:hint="eastAsia" w:ascii="宋体" w:hAnsi="宋体" w:cs="宋体"/>
                <w:sz w:val="24"/>
              </w:rPr>
              <w:t>1.10.1</w:t>
            </w:r>
          </w:p>
        </w:tc>
        <w:tc>
          <w:tcPr>
            <w:tcW w:w="2252" w:type="dxa"/>
            <w:tcBorders>
              <w:top w:val="single" w:color="auto" w:sz="4" w:space="0"/>
              <w:left w:val="single" w:color="auto" w:sz="4" w:space="0"/>
              <w:bottom w:val="single" w:color="auto" w:sz="4" w:space="0"/>
              <w:right w:val="single" w:color="auto" w:sz="4" w:space="0"/>
            </w:tcBorders>
            <w:vAlign w:val="center"/>
          </w:tcPr>
          <w:p w14:paraId="25ABF2B1">
            <w:pPr>
              <w:spacing w:line="440" w:lineRule="exact"/>
              <w:jc w:val="center"/>
              <w:rPr>
                <w:rFonts w:ascii="宋体" w:hAnsi="宋体" w:cs="宋体"/>
                <w:sz w:val="24"/>
              </w:rPr>
            </w:pPr>
            <w:r>
              <w:rPr>
                <w:rFonts w:hint="eastAsia" w:ascii="宋体" w:hAnsi="宋体" w:cs="宋体"/>
                <w:sz w:val="24"/>
              </w:rPr>
              <w:t>投标预备会</w:t>
            </w:r>
          </w:p>
        </w:tc>
        <w:tc>
          <w:tcPr>
            <w:tcW w:w="6437" w:type="dxa"/>
            <w:tcBorders>
              <w:top w:val="single" w:color="auto" w:sz="4" w:space="0"/>
              <w:left w:val="single" w:color="auto" w:sz="4" w:space="0"/>
              <w:bottom w:val="single" w:color="auto" w:sz="4" w:space="0"/>
              <w:right w:val="single" w:color="auto" w:sz="4" w:space="0"/>
            </w:tcBorders>
            <w:vAlign w:val="center"/>
          </w:tcPr>
          <w:p w14:paraId="7F97B8E5">
            <w:pPr>
              <w:pStyle w:val="10"/>
              <w:topLinePunct/>
              <w:spacing w:line="400" w:lineRule="exact"/>
              <w:rPr>
                <w:rFonts w:hAnsi="宋体" w:cs="宋体"/>
                <w:szCs w:val="24"/>
              </w:rPr>
            </w:pPr>
            <w:r>
              <w:rPr>
                <w:rFonts w:hint="eastAsia" w:hAnsi="宋体" w:cs="宋体"/>
                <w:szCs w:val="24"/>
              </w:rPr>
              <w:t>不召开</w:t>
            </w:r>
          </w:p>
        </w:tc>
      </w:tr>
      <w:tr w14:paraId="28DFCD88">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885C7BD">
            <w:pPr>
              <w:spacing w:line="440" w:lineRule="exact"/>
              <w:jc w:val="center"/>
              <w:rPr>
                <w:rFonts w:ascii="宋体" w:hAnsi="宋体" w:cs="宋体"/>
                <w:sz w:val="24"/>
              </w:rPr>
            </w:pPr>
            <w:r>
              <w:rPr>
                <w:rFonts w:hint="eastAsia" w:ascii="宋体" w:hAnsi="宋体" w:cs="宋体"/>
                <w:sz w:val="24"/>
              </w:rPr>
              <w:t>1.11.1</w:t>
            </w:r>
          </w:p>
        </w:tc>
        <w:tc>
          <w:tcPr>
            <w:tcW w:w="2252" w:type="dxa"/>
            <w:tcBorders>
              <w:top w:val="single" w:color="auto" w:sz="4" w:space="0"/>
              <w:left w:val="single" w:color="auto" w:sz="4" w:space="0"/>
              <w:bottom w:val="single" w:color="auto" w:sz="4" w:space="0"/>
              <w:right w:val="single" w:color="auto" w:sz="4" w:space="0"/>
            </w:tcBorders>
            <w:vAlign w:val="center"/>
          </w:tcPr>
          <w:p w14:paraId="7E0390C8">
            <w:pPr>
              <w:spacing w:line="440" w:lineRule="exact"/>
              <w:jc w:val="center"/>
              <w:rPr>
                <w:rFonts w:ascii="宋体" w:hAnsi="宋体" w:cs="宋体"/>
                <w:sz w:val="24"/>
              </w:rPr>
            </w:pPr>
            <w:r>
              <w:rPr>
                <w:rFonts w:hint="eastAsia" w:ascii="宋体" w:hAnsi="宋体" w:cs="宋体"/>
                <w:sz w:val="24"/>
              </w:rPr>
              <w:t>招标人规定由分包人承担的工作</w:t>
            </w:r>
          </w:p>
        </w:tc>
        <w:tc>
          <w:tcPr>
            <w:tcW w:w="6437" w:type="dxa"/>
            <w:tcBorders>
              <w:top w:val="single" w:color="auto" w:sz="4" w:space="0"/>
              <w:left w:val="single" w:color="auto" w:sz="4" w:space="0"/>
              <w:bottom w:val="single" w:color="auto" w:sz="4" w:space="0"/>
              <w:right w:val="single" w:color="auto" w:sz="4" w:space="0"/>
            </w:tcBorders>
            <w:vAlign w:val="center"/>
          </w:tcPr>
          <w:p w14:paraId="1DDF020A">
            <w:pPr>
              <w:spacing w:line="440" w:lineRule="exact"/>
              <w:rPr>
                <w:rFonts w:ascii="宋体" w:hAnsi="宋体" w:cs="宋体"/>
                <w:sz w:val="24"/>
                <w:u w:val="single"/>
              </w:rPr>
            </w:pPr>
            <w:r>
              <w:rPr>
                <w:rFonts w:hint="eastAsia" w:ascii="宋体" w:hAnsi="宋体" w:cs="宋体"/>
                <w:sz w:val="24"/>
              </w:rPr>
              <w:t>分包内容要求：</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w:t>
            </w:r>
          </w:p>
          <w:p w14:paraId="0C71BEBC">
            <w:pPr>
              <w:spacing w:line="440" w:lineRule="exact"/>
              <w:rPr>
                <w:rFonts w:ascii="宋体" w:hAnsi="宋体" w:cs="宋体"/>
                <w:sz w:val="24"/>
                <w:u w:val="single"/>
              </w:rPr>
            </w:pPr>
            <w:r>
              <w:rPr>
                <w:rFonts w:hint="eastAsia" w:ascii="宋体" w:hAnsi="宋体" w:cs="宋体"/>
                <w:sz w:val="24"/>
              </w:rPr>
              <w:t>对分包人的资质要求：</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w:t>
            </w:r>
          </w:p>
          <w:p w14:paraId="1C3C1B64">
            <w:pPr>
              <w:spacing w:line="440" w:lineRule="exact"/>
              <w:rPr>
                <w:rFonts w:ascii="宋体" w:hAnsi="宋体" w:cs="宋体"/>
                <w:sz w:val="24"/>
                <w:u w:val="single"/>
              </w:rPr>
            </w:pPr>
            <w:r>
              <w:rPr>
                <w:rFonts w:hint="eastAsia" w:ascii="宋体" w:hAnsi="宋体"/>
                <w:sz w:val="24"/>
              </w:rPr>
              <w:t>注：不得要求投标人在投标文件中提供拟分包人的营业执照、资质证书、分包协议等证明文件。</w:t>
            </w:r>
          </w:p>
        </w:tc>
      </w:tr>
      <w:tr w14:paraId="4438F66E">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0BDC0D0">
            <w:pPr>
              <w:spacing w:line="440" w:lineRule="exact"/>
              <w:jc w:val="center"/>
              <w:rPr>
                <w:rFonts w:ascii="宋体" w:hAnsi="宋体" w:cs="宋体"/>
                <w:sz w:val="24"/>
              </w:rPr>
            </w:pPr>
            <w:r>
              <w:rPr>
                <w:rFonts w:hint="eastAsia" w:ascii="宋体" w:hAnsi="宋体" w:cs="宋体"/>
                <w:sz w:val="24"/>
              </w:rPr>
              <w:t>1.11.2</w:t>
            </w:r>
          </w:p>
        </w:tc>
        <w:tc>
          <w:tcPr>
            <w:tcW w:w="2252" w:type="dxa"/>
            <w:tcBorders>
              <w:top w:val="single" w:color="auto" w:sz="4" w:space="0"/>
              <w:left w:val="single" w:color="auto" w:sz="4" w:space="0"/>
              <w:bottom w:val="single" w:color="auto" w:sz="4" w:space="0"/>
              <w:right w:val="single" w:color="auto" w:sz="4" w:space="0"/>
            </w:tcBorders>
            <w:vAlign w:val="center"/>
          </w:tcPr>
          <w:p w14:paraId="17E49DF2">
            <w:pPr>
              <w:spacing w:line="440" w:lineRule="exact"/>
              <w:jc w:val="center"/>
              <w:rPr>
                <w:rFonts w:ascii="宋体" w:hAnsi="宋体" w:cs="宋体"/>
                <w:sz w:val="24"/>
              </w:rPr>
            </w:pPr>
            <w:r>
              <w:rPr>
                <w:rFonts w:hint="eastAsia" w:ascii="宋体" w:hAnsi="宋体" w:cs="宋体"/>
                <w:sz w:val="24"/>
              </w:rPr>
              <w:t>投标人拟分包的工作</w:t>
            </w:r>
          </w:p>
        </w:tc>
        <w:tc>
          <w:tcPr>
            <w:tcW w:w="6437" w:type="dxa"/>
            <w:tcBorders>
              <w:top w:val="single" w:color="auto" w:sz="4" w:space="0"/>
              <w:left w:val="single" w:color="auto" w:sz="4" w:space="0"/>
              <w:bottom w:val="single" w:color="auto" w:sz="4" w:space="0"/>
              <w:right w:val="single" w:color="auto" w:sz="4" w:space="0"/>
            </w:tcBorders>
            <w:vAlign w:val="center"/>
          </w:tcPr>
          <w:p w14:paraId="21EFC521">
            <w:pPr>
              <w:pStyle w:val="10"/>
              <w:topLinePunct/>
              <w:spacing w:line="400" w:lineRule="exact"/>
              <w:rPr>
                <w:rFonts w:hAnsi="宋体" w:cs="宋体"/>
                <w:szCs w:val="24"/>
              </w:rPr>
            </w:pPr>
            <w:sdt>
              <w:sdtPr>
                <w:rPr>
                  <w:rFonts w:hint="eastAsia" w:hAnsi="宋体" w:cs="宋体"/>
                  <w:szCs w:val="24"/>
                </w:rPr>
                <w:id w:val="1220635502"/>
                <w14:checkbox>
                  <w14:checked w14:val="1"/>
                  <w14:checkedState w14:val="2611" w14:font="MS Gothic"/>
                  <w14:uncheckedState w14:val="2610" w14:font="MS Gothic"/>
                </w14:checkbox>
              </w:sdtPr>
              <w:sdtEndPr>
                <w:rPr>
                  <w:rFonts w:hint="eastAsia" w:hAnsi="宋体" w:cs="宋体"/>
                  <w:szCs w:val="24"/>
                </w:rPr>
              </w:sdtEndPr>
              <w:sdtContent>
                <w:r>
                  <w:rPr>
                    <w:rFonts w:hint="eastAsia" w:ascii="MS Gothic" w:hAnsi="MS Gothic" w:eastAsia="MS Gothic" w:cs="MS Gothic"/>
                    <w:kern w:val="2"/>
                    <w:sz w:val="24"/>
                    <w:szCs w:val="24"/>
                    <w:lang w:val="en-US" w:eastAsia="zh-CN" w:bidi="ar-SA"/>
                  </w:rPr>
                  <w:t>☑</w:t>
                </w:r>
              </w:sdtContent>
            </w:sdt>
            <w:r>
              <w:rPr>
                <w:rFonts w:hint="eastAsia" w:hAnsi="宋体" w:cs="宋体"/>
                <w:szCs w:val="24"/>
              </w:rPr>
              <w:t>不允许</w:t>
            </w:r>
          </w:p>
          <w:p w14:paraId="14BB5746">
            <w:pPr>
              <w:spacing w:line="440" w:lineRule="exact"/>
              <w:rPr>
                <w:rFonts w:ascii="宋体" w:hAnsi="宋体" w:cs="宋体"/>
                <w:sz w:val="24"/>
                <w:u w:val="single"/>
              </w:rPr>
            </w:pPr>
            <w:sdt>
              <w:sdtPr>
                <w:rPr>
                  <w:rFonts w:hint="eastAsia" w:ascii="宋体" w:hAnsi="宋体" w:cs="宋体"/>
                  <w:sz w:val="24"/>
                </w:rPr>
                <w:id w:val="2064062078"/>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允许，分包内容要求：</w:t>
            </w:r>
            <w:r>
              <w:rPr>
                <w:rFonts w:hint="eastAsia" w:ascii="宋体" w:hAnsi="宋体" w:cs="宋体"/>
                <w:sz w:val="24"/>
                <w:u w:val="single"/>
              </w:rPr>
              <w:t xml:space="preserve">                     </w:t>
            </w:r>
            <w:r>
              <w:rPr>
                <w:rFonts w:hint="eastAsia" w:ascii="宋体" w:hAnsi="宋体" w:cs="宋体"/>
                <w:sz w:val="24"/>
              </w:rPr>
              <w:t>。</w:t>
            </w:r>
          </w:p>
          <w:p w14:paraId="34195515">
            <w:pPr>
              <w:spacing w:line="440" w:lineRule="exact"/>
              <w:ind w:firstLine="960" w:firstLineChars="400"/>
              <w:rPr>
                <w:rFonts w:ascii="宋体" w:hAnsi="宋体" w:cs="宋体"/>
                <w:sz w:val="24"/>
                <w:u w:val="single"/>
              </w:rPr>
            </w:pPr>
            <w:r>
              <w:rPr>
                <w:rFonts w:hint="eastAsia" w:ascii="宋体" w:hAnsi="宋体" w:cs="宋体"/>
                <w:sz w:val="24"/>
              </w:rPr>
              <w:t>对分包人的资质要求：</w:t>
            </w:r>
            <w:r>
              <w:rPr>
                <w:rFonts w:hint="eastAsia" w:ascii="宋体" w:hAnsi="宋体" w:cs="宋体"/>
                <w:sz w:val="24"/>
                <w:u w:val="single"/>
              </w:rPr>
              <w:t xml:space="preserve">               </w:t>
            </w:r>
            <w:r>
              <w:rPr>
                <w:rFonts w:hint="eastAsia" w:ascii="宋体" w:hAnsi="宋体" w:cs="宋体"/>
                <w:sz w:val="24"/>
              </w:rPr>
              <w:t>。</w:t>
            </w:r>
          </w:p>
          <w:p w14:paraId="58DB9500">
            <w:pPr>
              <w:spacing w:line="440" w:lineRule="exact"/>
              <w:rPr>
                <w:rFonts w:ascii="宋体" w:hAnsi="宋体" w:cs="宋体"/>
                <w:sz w:val="24"/>
                <w:u w:val="single"/>
              </w:rPr>
            </w:pPr>
            <w:r>
              <w:rPr>
                <w:rFonts w:hint="eastAsia" w:ascii="宋体" w:hAnsi="宋体"/>
                <w:sz w:val="24"/>
              </w:rPr>
              <w:t>注：不得要求投标人在投标文件中提供拟分包人的营业执照、资质证书、分包协议等证明文件。</w:t>
            </w:r>
          </w:p>
        </w:tc>
      </w:tr>
      <w:tr w14:paraId="556EAE20">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7DFD5E9">
            <w:pPr>
              <w:spacing w:line="440" w:lineRule="exact"/>
              <w:jc w:val="center"/>
              <w:rPr>
                <w:rFonts w:ascii="宋体" w:hAnsi="宋体" w:cs="宋体"/>
                <w:sz w:val="24"/>
              </w:rPr>
            </w:pPr>
            <w:r>
              <w:rPr>
                <w:rFonts w:hint="eastAsia" w:ascii="宋体" w:hAnsi="宋体" w:cs="宋体"/>
                <w:sz w:val="24"/>
              </w:rPr>
              <w:t>1.12</w:t>
            </w:r>
          </w:p>
        </w:tc>
        <w:tc>
          <w:tcPr>
            <w:tcW w:w="2252" w:type="dxa"/>
            <w:tcBorders>
              <w:top w:val="single" w:color="auto" w:sz="4" w:space="0"/>
              <w:left w:val="single" w:color="auto" w:sz="4" w:space="0"/>
              <w:bottom w:val="single" w:color="auto" w:sz="4" w:space="0"/>
              <w:right w:val="single" w:color="auto" w:sz="4" w:space="0"/>
            </w:tcBorders>
            <w:vAlign w:val="center"/>
          </w:tcPr>
          <w:p w14:paraId="5A3AD539">
            <w:pPr>
              <w:spacing w:line="440" w:lineRule="exact"/>
              <w:jc w:val="center"/>
              <w:rPr>
                <w:rFonts w:ascii="宋体" w:hAnsi="宋体" w:cs="宋体"/>
                <w:sz w:val="24"/>
              </w:rPr>
            </w:pPr>
            <w:r>
              <w:rPr>
                <w:rFonts w:hint="eastAsia" w:ascii="宋体" w:hAnsi="宋体" w:cs="宋体"/>
                <w:sz w:val="24"/>
              </w:rPr>
              <w:t>偏离</w:t>
            </w:r>
          </w:p>
        </w:tc>
        <w:tc>
          <w:tcPr>
            <w:tcW w:w="6437" w:type="dxa"/>
            <w:tcBorders>
              <w:top w:val="single" w:color="auto" w:sz="4" w:space="0"/>
              <w:left w:val="single" w:color="auto" w:sz="4" w:space="0"/>
              <w:bottom w:val="single" w:color="auto" w:sz="4" w:space="0"/>
              <w:right w:val="single" w:color="auto" w:sz="4" w:space="0"/>
            </w:tcBorders>
            <w:vAlign w:val="center"/>
          </w:tcPr>
          <w:p w14:paraId="6D732022">
            <w:pPr>
              <w:pStyle w:val="10"/>
              <w:topLinePunct/>
              <w:spacing w:line="400" w:lineRule="exact"/>
              <w:rPr>
                <w:rFonts w:hAnsi="宋体" w:cs="宋体"/>
                <w:szCs w:val="24"/>
              </w:rPr>
            </w:pPr>
            <w:sdt>
              <w:sdtPr>
                <w:rPr>
                  <w:rFonts w:hint="eastAsia" w:hAnsi="宋体" w:cs="宋体"/>
                  <w:szCs w:val="24"/>
                </w:rPr>
                <w:id w:val="1428005420"/>
                <w14:checkbox>
                  <w14:checked w14:val="1"/>
                  <w14:checkedState w14:val="2611" w14:font="MS Gothic"/>
                  <w14:uncheckedState w14:val="2610" w14:font="MS Gothic"/>
                </w14:checkbox>
              </w:sdtPr>
              <w:sdtEndPr>
                <w:rPr>
                  <w:rFonts w:hint="eastAsia" w:hAnsi="宋体" w:cs="宋体"/>
                  <w:szCs w:val="24"/>
                </w:rPr>
              </w:sdtEndPr>
              <w:sdtContent>
                <w:r>
                  <w:rPr>
                    <w:rFonts w:hint="eastAsia" w:ascii="MS Gothic" w:hAnsi="MS Gothic" w:eastAsia="MS Gothic" w:cs="MS Gothic"/>
                    <w:kern w:val="2"/>
                    <w:sz w:val="24"/>
                    <w:szCs w:val="24"/>
                    <w:lang w:val="en-US" w:eastAsia="zh-CN" w:bidi="ar-SA"/>
                  </w:rPr>
                  <w:t>☑</w:t>
                </w:r>
              </w:sdtContent>
            </w:sdt>
            <w:r>
              <w:rPr>
                <w:rFonts w:hint="eastAsia" w:hAnsi="宋体" w:cs="宋体"/>
                <w:szCs w:val="24"/>
              </w:rPr>
              <w:t>不允许</w:t>
            </w:r>
          </w:p>
          <w:p w14:paraId="1628535F">
            <w:pPr>
              <w:pStyle w:val="10"/>
              <w:topLinePunct/>
              <w:spacing w:line="400" w:lineRule="exact"/>
              <w:rPr>
                <w:rFonts w:hAnsi="宋体" w:cs="宋体"/>
                <w:szCs w:val="24"/>
                <w:u w:val="single"/>
              </w:rPr>
            </w:pPr>
            <w:sdt>
              <w:sdtPr>
                <w:rPr>
                  <w:rFonts w:hint="eastAsia" w:hAnsi="宋体" w:cs="宋体"/>
                  <w:szCs w:val="24"/>
                </w:rPr>
                <w:id w:val="-1351180695"/>
                <w14:checkbox>
                  <w14:checked w14:val="0"/>
                  <w14:checkedState w14:val="2611" w14:font="MS Gothic"/>
                  <w14:uncheckedState w14:val="2610" w14:font="MS Gothic"/>
                </w14:checkbox>
              </w:sdtPr>
              <w:sdtEndPr>
                <w:rPr>
                  <w:rFonts w:hint="eastAsia" w:hAnsi="宋体" w:cs="宋体"/>
                  <w:szCs w:val="24"/>
                </w:rPr>
              </w:sdtEndPr>
              <w:sdtContent>
                <w:r>
                  <w:rPr>
                    <w:rFonts w:hint="eastAsia" w:ascii="MS Gothic" w:hAnsi="MS Gothic" w:eastAsia="MS Gothic" w:cs="MS Gothic"/>
                    <w:szCs w:val="24"/>
                  </w:rPr>
                  <w:t>☐</w:t>
                </w:r>
              </w:sdtContent>
            </w:sdt>
            <w:r>
              <w:rPr>
                <w:rFonts w:hint="eastAsia" w:hAnsi="宋体" w:cs="宋体"/>
                <w:szCs w:val="24"/>
              </w:rPr>
              <w:t>允许，允许偏离的内容、偏离范围和幅度</w:t>
            </w:r>
            <w:r>
              <w:rPr>
                <w:rFonts w:hint="eastAsia" w:hAnsi="宋体" w:cs="宋体"/>
                <w:szCs w:val="24"/>
                <w:u w:val="single"/>
              </w:rPr>
              <w:t xml:space="preserve">           </w:t>
            </w:r>
            <w:r>
              <w:rPr>
                <w:rFonts w:hint="eastAsia" w:hAnsi="宋体" w:cs="宋体"/>
                <w:szCs w:val="24"/>
              </w:rPr>
              <w:t>。</w:t>
            </w:r>
          </w:p>
        </w:tc>
      </w:tr>
      <w:tr w14:paraId="7E6C14A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1D3FC925">
            <w:pPr>
              <w:spacing w:line="440" w:lineRule="exact"/>
              <w:jc w:val="center"/>
              <w:rPr>
                <w:rFonts w:ascii="宋体" w:hAnsi="宋体" w:cs="宋体"/>
                <w:sz w:val="24"/>
              </w:rPr>
            </w:pPr>
            <w:r>
              <w:rPr>
                <w:rFonts w:hint="eastAsia" w:ascii="宋体" w:hAnsi="宋体" w:cs="宋体"/>
                <w:sz w:val="24"/>
              </w:rPr>
              <w:t>2.1</w:t>
            </w:r>
          </w:p>
        </w:tc>
        <w:tc>
          <w:tcPr>
            <w:tcW w:w="2252" w:type="dxa"/>
            <w:tcBorders>
              <w:top w:val="single" w:color="auto" w:sz="4" w:space="0"/>
              <w:left w:val="single" w:color="auto" w:sz="4" w:space="0"/>
              <w:bottom w:val="single" w:color="auto" w:sz="4" w:space="0"/>
              <w:right w:val="single" w:color="auto" w:sz="4" w:space="0"/>
            </w:tcBorders>
            <w:vAlign w:val="center"/>
          </w:tcPr>
          <w:p w14:paraId="25510C20">
            <w:pPr>
              <w:spacing w:line="440" w:lineRule="exact"/>
              <w:jc w:val="center"/>
              <w:rPr>
                <w:rFonts w:ascii="宋体" w:hAnsi="宋体" w:cs="宋体"/>
                <w:sz w:val="24"/>
              </w:rPr>
            </w:pPr>
            <w:r>
              <w:rPr>
                <w:rFonts w:hint="eastAsia" w:ascii="宋体" w:hAnsi="宋体" w:cs="宋体"/>
                <w:sz w:val="24"/>
              </w:rPr>
              <w:t>构成招标文件的其他资料</w:t>
            </w:r>
          </w:p>
        </w:tc>
        <w:tc>
          <w:tcPr>
            <w:tcW w:w="6437" w:type="dxa"/>
            <w:tcBorders>
              <w:top w:val="single" w:color="auto" w:sz="4" w:space="0"/>
              <w:left w:val="single" w:color="auto" w:sz="4" w:space="0"/>
              <w:bottom w:val="single" w:color="auto" w:sz="4" w:space="0"/>
              <w:right w:val="single" w:color="auto" w:sz="4" w:space="0"/>
            </w:tcBorders>
            <w:vAlign w:val="center"/>
          </w:tcPr>
          <w:p w14:paraId="782DA8A6">
            <w:pPr>
              <w:spacing w:line="440" w:lineRule="exact"/>
              <w:rPr>
                <w:rFonts w:ascii="宋体" w:hAnsi="宋体" w:cs="宋体"/>
                <w:sz w:val="24"/>
              </w:rPr>
            </w:pPr>
            <w:r>
              <w:rPr>
                <w:rFonts w:hint="eastAsia" w:ascii="宋体" w:hAnsi="宋体"/>
                <w:sz w:val="24"/>
                <w:u w:val="single"/>
              </w:rPr>
              <w:t xml:space="preserve">   补遗及答疑文件等（如有 ）  </w:t>
            </w:r>
            <w:r>
              <w:rPr>
                <w:rFonts w:hint="eastAsia" w:ascii="宋体" w:hAnsi="宋体"/>
                <w:sz w:val="24"/>
              </w:rPr>
              <w:t>。</w:t>
            </w:r>
          </w:p>
        </w:tc>
      </w:tr>
      <w:tr w14:paraId="4A7FA3B3">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EFEF2D5">
            <w:pPr>
              <w:spacing w:line="440" w:lineRule="exact"/>
              <w:jc w:val="center"/>
              <w:rPr>
                <w:rFonts w:ascii="宋体" w:hAnsi="宋体" w:cs="宋体"/>
                <w:sz w:val="24"/>
              </w:rPr>
            </w:pPr>
            <w:r>
              <w:rPr>
                <w:rFonts w:hint="eastAsia" w:ascii="宋体" w:hAnsi="宋体" w:cs="宋体"/>
                <w:sz w:val="24"/>
              </w:rPr>
              <w:t>2.2.1</w:t>
            </w:r>
          </w:p>
        </w:tc>
        <w:tc>
          <w:tcPr>
            <w:tcW w:w="2252" w:type="dxa"/>
            <w:tcBorders>
              <w:top w:val="single" w:color="auto" w:sz="4" w:space="0"/>
              <w:left w:val="single" w:color="auto" w:sz="4" w:space="0"/>
              <w:bottom w:val="single" w:color="auto" w:sz="4" w:space="0"/>
              <w:right w:val="single" w:color="auto" w:sz="4" w:space="0"/>
            </w:tcBorders>
            <w:vAlign w:val="center"/>
          </w:tcPr>
          <w:p w14:paraId="165F8718">
            <w:pPr>
              <w:spacing w:line="440" w:lineRule="exact"/>
              <w:jc w:val="center"/>
              <w:rPr>
                <w:rFonts w:ascii="宋体" w:hAnsi="宋体" w:cs="宋体"/>
                <w:sz w:val="24"/>
              </w:rPr>
            </w:pPr>
            <w:r>
              <w:rPr>
                <w:rFonts w:hint="eastAsia" w:ascii="宋体" w:hAnsi="宋体" w:cs="宋体"/>
                <w:sz w:val="24"/>
              </w:rPr>
              <w:t>投标人要求澄清招标文件的截止时间</w:t>
            </w:r>
          </w:p>
        </w:tc>
        <w:tc>
          <w:tcPr>
            <w:tcW w:w="6437" w:type="dxa"/>
            <w:tcBorders>
              <w:top w:val="single" w:color="auto" w:sz="4" w:space="0"/>
              <w:left w:val="single" w:color="auto" w:sz="4" w:space="0"/>
              <w:bottom w:val="single" w:color="auto" w:sz="4" w:space="0"/>
              <w:right w:val="single" w:color="auto" w:sz="4" w:space="0"/>
            </w:tcBorders>
            <w:vAlign w:val="center"/>
          </w:tcPr>
          <w:p w14:paraId="496A21A4">
            <w:pPr>
              <w:adjustRightInd w:val="0"/>
              <w:snapToGrid w:val="0"/>
              <w:spacing w:line="360" w:lineRule="auto"/>
              <w:ind w:left="480" w:hanging="480" w:hangingChars="200"/>
              <w:rPr>
                <w:rFonts w:ascii="宋体" w:hAnsi="宋体" w:cs="宋体"/>
                <w:sz w:val="24"/>
              </w:rPr>
            </w:pPr>
            <w:r>
              <w:rPr>
                <w:rFonts w:hint="eastAsia" w:ascii="宋体" w:hAnsi="宋体" w:cs="宋体"/>
                <w:sz w:val="24"/>
              </w:rPr>
              <w:t>时间：投标截止时间10日前，即</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时</w:t>
            </w:r>
            <w:r>
              <w:rPr>
                <w:rFonts w:hint="eastAsia" w:ascii="宋体" w:hAnsi="宋体" w:cs="宋体"/>
                <w:sz w:val="24"/>
                <w:u w:val="single"/>
              </w:rPr>
              <w:t xml:space="preserve"> </w:t>
            </w:r>
            <w:r>
              <w:rPr>
                <w:rFonts w:hint="eastAsia" w:ascii="宋体" w:hAnsi="宋体" w:cs="宋体"/>
                <w:sz w:val="24"/>
                <w:u w:val="single"/>
                <w:lang w:val="en-US" w:eastAsia="zh-CN"/>
              </w:rPr>
              <w:t>00</w:t>
            </w:r>
            <w:r>
              <w:rPr>
                <w:rFonts w:hint="eastAsia" w:ascii="宋体" w:hAnsi="宋体" w:cs="宋体"/>
                <w:sz w:val="24"/>
                <w:u w:val="single"/>
              </w:rPr>
              <w:t xml:space="preserve">   </w:t>
            </w:r>
            <w:r>
              <w:rPr>
                <w:rFonts w:hint="eastAsia" w:ascii="宋体" w:hAnsi="宋体" w:cs="宋体"/>
                <w:sz w:val="24"/>
              </w:rPr>
              <w:t>分前。</w:t>
            </w:r>
          </w:p>
          <w:p w14:paraId="1E6B78F6">
            <w:pPr>
              <w:spacing w:line="440" w:lineRule="exact"/>
              <w:rPr>
                <w:rFonts w:ascii="宋体" w:hAnsi="宋体" w:cs="宋体"/>
                <w:sz w:val="24"/>
              </w:rPr>
            </w:pPr>
            <w:r>
              <w:rPr>
                <w:rFonts w:hint="eastAsia" w:ascii="宋体" w:hAnsi="宋体" w:cs="宋体"/>
                <w:sz w:val="24"/>
              </w:rPr>
              <w:t>形式：通过□《全国公共资源交易平台（四川省）》</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b/>
                <w:sz w:val="24"/>
                <w:u w:val="single"/>
              </w:rPr>
              <w:t xml:space="preserve">  雅安  </w:t>
            </w:r>
            <w:r>
              <w:rPr>
                <w:rFonts w:hint="eastAsia" w:ascii="宋体" w:hAnsi="宋体" w:cs="宋体"/>
                <w:sz w:val="24"/>
              </w:rPr>
              <w:t>市）》向招标人提出。如有疑问，应在规定的时间前通过□《全国公共资源交易平台（四川省）》</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b/>
                <w:sz w:val="24"/>
                <w:u w:val="single"/>
              </w:rPr>
              <w:t xml:space="preserve">  雅安  </w:t>
            </w:r>
            <w:r>
              <w:rPr>
                <w:rFonts w:hint="eastAsia" w:ascii="宋体" w:hAnsi="宋体" w:cs="宋体"/>
                <w:sz w:val="24"/>
              </w:rPr>
              <w:t>市）》向招标人提出需澄清的问题，要求招标人对招标文件予以澄清。</w:t>
            </w:r>
          </w:p>
        </w:tc>
      </w:tr>
      <w:tr w14:paraId="1CF56E3A">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2967CDC">
            <w:pPr>
              <w:spacing w:line="440" w:lineRule="exact"/>
              <w:jc w:val="center"/>
              <w:rPr>
                <w:rFonts w:ascii="宋体" w:hAnsi="宋体" w:cs="宋体"/>
                <w:sz w:val="24"/>
              </w:rPr>
            </w:pPr>
            <w:r>
              <w:rPr>
                <w:rFonts w:hint="eastAsia" w:ascii="宋体" w:hAnsi="宋体" w:cs="宋体"/>
                <w:sz w:val="24"/>
              </w:rPr>
              <w:t>2.2.2</w:t>
            </w:r>
          </w:p>
        </w:tc>
        <w:tc>
          <w:tcPr>
            <w:tcW w:w="2252" w:type="dxa"/>
            <w:tcBorders>
              <w:top w:val="single" w:color="auto" w:sz="4" w:space="0"/>
              <w:left w:val="single" w:color="auto" w:sz="4" w:space="0"/>
              <w:bottom w:val="single" w:color="auto" w:sz="4" w:space="0"/>
              <w:right w:val="single" w:color="auto" w:sz="4" w:space="0"/>
            </w:tcBorders>
            <w:vAlign w:val="center"/>
          </w:tcPr>
          <w:p w14:paraId="2AEBE275">
            <w:pPr>
              <w:spacing w:line="440" w:lineRule="exact"/>
              <w:jc w:val="center"/>
              <w:rPr>
                <w:rFonts w:ascii="宋体" w:hAnsi="宋体" w:cs="宋体"/>
                <w:sz w:val="24"/>
              </w:rPr>
            </w:pPr>
            <w:r>
              <w:rPr>
                <w:rFonts w:hint="eastAsia" w:ascii="宋体" w:hAnsi="宋体" w:cs="宋体"/>
                <w:sz w:val="24"/>
              </w:rPr>
              <w:t>招标文件的澄清</w:t>
            </w:r>
          </w:p>
        </w:tc>
        <w:tc>
          <w:tcPr>
            <w:tcW w:w="6437" w:type="dxa"/>
            <w:tcBorders>
              <w:top w:val="single" w:color="auto" w:sz="4" w:space="0"/>
              <w:left w:val="single" w:color="auto" w:sz="4" w:space="0"/>
              <w:bottom w:val="single" w:color="auto" w:sz="4" w:space="0"/>
              <w:right w:val="single" w:color="auto" w:sz="4" w:space="0"/>
            </w:tcBorders>
            <w:vAlign w:val="center"/>
          </w:tcPr>
          <w:p w14:paraId="749932A0">
            <w:pPr>
              <w:spacing w:line="440" w:lineRule="exact"/>
              <w:rPr>
                <w:rFonts w:ascii="宋体" w:hAnsi="宋体" w:cs="宋体"/>
                <w:sz w:val="24"/>
              </w:rPr>
            </w:pPr>
            <w:r>
              <w:rPr>
                <w:rFonts w:hint="eastAsia" w:ascii="宋体" w:hAnsi="宋体" w:cs="宋体"/>
                <w:sz w:val="24"/>
              </w:rPr>
              <w:t>投标截止时间：</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lang w:val="en-US" w:eastAsia="zh-CN"/>
              </w:rPr>
              <w:t>2025</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 xml:space="preserve">月 </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时</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分</w:t>
            </w:r>
          </w:p>
          <w:p w14:paraId="6FC67DAD">
            <w:pPr>
              <w:spacing w:line="440" w:lineRule="exact"/>
              <w:rPr>
                <w:rFonts w:ascii="宋体" w:hAnsi="宋体" w:cs="宋体"/>
                <w:sz w:val="24"/>
              </w:rPr>
            </w:pPr>
            <w:r>
              <w:rPr>
                <w:rFonts w:hint="eastAsia" w:ascii="宋体" w:hAnsi="宋体" w:cs="宋体"/>
                <w:sz w:val="24"/>
              </w:rPr>
              <w:t>招标文件的澄清应于投标截止时间15日前，即</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时</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分前，在《全国公共资源交易平台（四川省）》发布，</w:t>
            </w:r>
            <w:r>
              <w:rPr>
                <w:rFonts w:hint="eastAsia" w:ascii="宋体" w:hAnsi="宋体" w:cs="宋体"/>
                <w:b/>
                <w:bCs/>
                <w:sz w:val="28"/>
                <w:szCs w:val="28"/>
              </w:rPr>
              <w:t>涉及到评标办法修改的，应将修改后的招标文件作为附件上传，对招标文件的所有修改内容应在澄清文件正文中全部列出，新上传的招标文件中修改内容与澄清文件正文不一致的，以澄清文件正文为准</w:t>
            </w:r>
            <w:r>
              <w:rPr>
                <w:rFonts w:hint="eastAsia" w:ascii="宋体" w:hAnsi="宋体" w:cs="宋体"/>
                <w:sz w:val="24"/>
              </w:rPr>
              <w:t>。若澄清文件发出的时间距投标截止时间不足15日，则应延长投标截止时间（不影响投标文件编制的情形除外）。投标人应实时在□《全国公共资源交易平台（四川省）》</w:t>
            </w:r>
            <w:r>
              <w:rPr>
                <w:rFonts w:hint="eastAsia" w:ascii="MS Gothic" w:hAnsi="MS Gothic" w:eastAsia="MS Gothic" w:cs="宋体"/>
                <w:sz w:val="24"/>
              </w:rPr>
              <w:t>☑</w:t>
            </w:r>
            <w:r>
              <w:rPr>
                <w:rFonts w:hint="eastAsia" w:ascii="宋体" w:hAnsi="宋体" w:cs="宋体"/>
                <w:sz w:val="24"/>
              </w:rPr>
              <w:t xml:space="preserve">《全国公共资源交易平台（四川省· </w:t>
            </w:r>
            <w:r>
              <w:rPr>
                <w:rFonts w:hint="eastAsia" w:ascii="宋体" w:hAnsi="宋体" w:cs="宋体"/>
                <w:sz w:val="24"/>
                <w:u w:val="single"/>
              </w:rPr>
              <w:t xml:space="preserve"> 雅安  </w:t>
            </w:r>
            <w:r>
              <w:rPr>
                <w:rFonts w:hint="eastAsia" w:ascii="宋体" w:hAnsi="宋体" w:cs="宋体"/>
                <w:sz w:val="24"/>
              </w:rPr>
              <w:t>市）》上查询澄清文件，投标人未下载澄清文件的，其后果由投标人承担。</w:t>
            </w:r>
          </w:p>
        </w:tc>
      </w:tr>
      <w:tr w14:paraId="53738826">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19BED3EF">
            <w:pPr>
              <w:spacing w:line="440" w:lineRule="exact"/>
              <w:jc w:val="center"/>
              <w:rPr>
                <w:rFonts w:ascii="宋体" w:hAnsi="宋体" w:cs="宋体"/>
                <w:sz w:val="24"/>
              </w:rPr>
            </w:pPr>
            <w:r>
              <w:rPr>
                <w:rFonts w:hint="eastAsia" w:ascii="宋体" w:hAnsi="宋体" w:cs="宋体"/>
                <w:sz w:val="24"/>
              </w:rPr>
              <w:t>2.2.3</w:t>
            </w:r>
          </w:p>
        </w:tc>
        <w:tc>
          <w:tcPr>
            <w:tcW w:w="2252" w:type="dxa"/>
            <w:tcBorders>
              <w:top w:val="single" w:color="auto" w:sz="4" w:space="0"/>
              <w:left w:val="single" w:color="auto" w:sz="4" w:space="0"/>
              <w:bottom w:val="single" w:color="auto" w:sz="4" w:space="0"/>
              <w:right w:val="single" w:color="auto" w:sz="4" w:space="0"/>
            </w:tcBorders>
            <w:vAlign w:val="center"/>
          </w:tcPr>
          <w:p w14:paraId="57095F1D">
            <w:pPr>
              <w:spacing w:line="440" w:lineRule="exact"/>
              <w:jc w:val="center"/>
              <w:rPr>
                <w:rFonts w:ascii="宋体" w:hAnsi="宋体" w:cs="宋体"/>
                <w:sz w:val="24"/>
              </w:rPr>
            </w:pPr>
            <w:r>
              <w:rPr>
                <w:rFonts w:hint="eastAsia" w:ascii="宋体" w:hAnsi="宋体" w:cs="宋体"/>
                <w:sz w:val="24"/>
              </w:rPr>
              <w:t>投标人确认收到招标文件澄清的时间</w:t>
            </w:r>
          </w:p>
        </w:tc>
        <w:tc>
          <w:tcPr>
            <w:tcW w:w="6437" w:type="dxa"/>
            <w:tcBorders>
              <w:top w:val="single" w:color="auto" w:sz="4" w:space="0"/>
              <w:left w:val="single" w:color="auto" w:sz="4" w:space="0"/>
              <w:bottom w:val="single" w:color="auto" w:sz="4" w:space="0"/>
              <w:right w:val="single" w:color="auto" w:sz="4" w:space="0"/>
            </w:tcBorders>
            <w:vAlign w:val="center"/>
          </w:tcPr>
          <w:p w14:paraId="708670D2">
            <w:pPr>
              <w:spacing w:line="440" w:lineRule="exact"/>
              <w:rPr>
                <w:rFonts w:ascii="宋体" w:hAnsi="宋体" w:cs="宋体"/>
                <w:sz w:val="24"/>
              </w:rPr>
            </w:pPr>
            <w:r>
              <w:rPr>
                <w:rFonts w:hint="eastAsia" w:ascii="宋体" w:hAnsi="宋体" w:cs="宋体"/>
                <w:sz w:val="24"/>
              </w:rPr>
              <w:t>自行查询，无需确认。</w:t>
            </w:r>
          </w:p>
        </w:tc>
      </w:tr>
      <w:tr w14:paraId="39F599DE">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0631305">
            <w:pPr>
              <w:spacing w:line="440" w:lineRule="exact"/>
              <w:jc w:val="center"/>
              <w:rPr>
                <w:rFonts w:ascii="宋体" w:hAnsi="宋体" w:cs="宋体"/>
                <w:sz w:val="24"/>
              </w:rPr>
            </w:pPr>
            <w:r>
              <w:rPr>
                <w:rFonts w:hint="eastAsia" w:ascii="宋体" w:hAnsi="宋体" w:cs="宋体"/>
                <w:sz w:val="24"/>
              </w:rPr>
              <w:t>2.3.1</w:t>
            </w:r>
          </w:p>
        </w:tc>
        <w:tc>
          <w:tcPr>
            <w:tcW w:w="2252" w:type="dxa"/>
            <w:tcBorders>
              <w:top w:val="single" w:color="auto" w:sz="4" w:space="0"/>
              <w:left w:val="single" w:color="auto" w:sz="4" w:space="0"/>
              <w:bottom w:val="single" w:color="auto" w:sz="4" w:space="0"/>
              <w:right w:val="single" w:color="auto" w:sz="4" w:space="0"/>
            </w:tcBorders>
            <w:vAlign w:val="center"/>
          </w:tcPr>
          <w:p w14:paraId="21140B5A">
            <w:pPr>
              <w:spacing w:line="440" w:lineRule="exact"/>
              <w:jc w:val="center"/>
              <w:rPr>
                <w:rFonts w:ascii="宋体" w:hAnsi="宋体" w:cs="宋体"/>
                <w:sz w:val="24"/>
              </w:rPr>
            </w:pPr>
            <w:r>
              <w:rPr>
                <w:rFonts w:hint="eastAsia" w:ascii="宋体" w:hAnsi="宋体" w:cs="宋体"/>
                <w:sz w:val="24"/>
              </w:rPr>
              <w:t>招标文件的修改</w:t>
            </w:r>
          </w:p>
        </w:tc>
        <w:tc>
          <w:tcPr>
            <w:tcW w:w="6437" w:type="dxa"/>
            <w:tcBorders>
              <w:top w:val="single" w:color="auto" w:sz="4" w:space="0"/>
              <w:left w:val="single" w:color="auto" w:sz="4" w:space="0"/>
              <w:bottom w:val="single" w:color="auto" w:sz="4" w:space="0"/>
              <w:right w:val="single" w:color="auto" w:sz="4" w:space="0"/>
            </w:tcBorders>
            <w:vAlign w:val="center"/>
          </w:tcPr>
          <w:p w14:paraId="68FEE7A2">
            <w:pPr>
              <w:spacing w:line="440" w:lineRule="exact"/>
              <w:rPr>
                <w:rFonts w:ascii="宋体" w:hAnsi="宋体" w:cs="宋体"/>
                <w:sz w:val="24"/>
              </w:rPr>
            </w:pPr>
            <w:r>
              <w:rPr>
                <w:rFonts w:hint="eastAsia" w:ascii="宋体" w:hAnsi="宋体" w:cs="宋体"/>
                <w:sz w:val="24"/>
              </w:rPr>
              <w:t>招标文件的修改应于投标截止时间15日前，即</w:t>
            </w:r>
            <w:r>
              <w:rPr>
                <w:rFonts w:hint="eastAsia" w:ascii="宋体" w:hAnsi="宋体" w:cs="宋体"/>
                <w:sz w:val="24"/>
                <w:u w:val="single"/>
              </w:rPr>
              <w:t xml:space="preserve"> </w:t>
            </w:r>
            <w:r>
              <w:rPr>
                <w:rFonts w:hint="eastAsia" w:ascii="宋体" w:hAnsi="宋体" w:cs="宋体"/>
                <w:sz w:val="24"/>
                <w:u w:val="single"/>
                <w:lang w:val="en-US" w:eastAsia="zh-CN"/>
              </w:rPr>
              <w:t>2025</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月</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时</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分前，在《全国公共资源交易平台（四川省）》发布</w:t>
            </w:r>
            <w:r>
              <w:rPr>
                <w:rFonts w:hint="eastAsia" w:ascii="宋体" w:hAnsi="宋体" w:cs="宋体"/>
                <w:b/>
                <w:bCs/>
                <w:sz w:val="28"/>
                <w:szCs w:val="28"/>
              </w:rPr>
              <w:t>，涉及到评标办法修改的，应将修改后的招标文件作为附件上传，对招标文件的所有修改内容应在修改文件正文中全部列出，新上传的招标文件中修改内容与修改文件正文不一致的，以修改文件正文为准</w:t>
            </w:r>
            <w:r>
              <w:rPr>
                <w:rFonts w:hint="eastAsia" w:ascii="宋体" w:hAnsi="宋体" w:cs="宋体"/>
                <w:sz w:val="24"/>
              </w:rPr>
              <w:t>。若修改文件发出的时间距投标截止时间不足15日，则应延长投标截止时间（不影响投标文件编制的情形除外）。投标人应实时在□《全国公共资源交易平台（四川省）》</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cs="宋体"/>
                <w:sz w:val="24"/>
                <w:u w:val="single"/>
              </w:rPr>
              <w:t xml:space="preserve">  雅安 </w:t>
            </w:r>
            <w:r>
              <w:rPr>
                <w:rFonts w:hint="eastAsia" w:ascii="宋体" w:hAnsi="宋体" w:cs="宋体"/>
                <w:sz w:val="24"/>
              </w:rPr>
              <w:t>市）》上查询修改文件，投标人未下载修改文件的，其后果由投标人承担。</w:t>
            </w:r>
          </w:p>
        </w:tc>
      </w:tr>
      <w:tr w14:paraId="0CEAEEC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4DD30C0">
            <w:pPr>
              <w:spacing w:line="440" w:lineRule="exact"/>
              <w:jc w:val="center"/>
              <w:rPr>
                <w:rFonts w:ascii="宋体" w:hAnsi="宋体" w:cs="宋体"/>
                <w:sz w:val="24"/>
              </w:rPr>
            </w:pPr>
            <w:r>
              <w:rPr>
                <w:rFonts w:hint="eastAsia" w:ascii="宋体" w:hAnsi="宋体" w:cs="宋体"/>
                <w:sz w:val="24"/>
              </w:rPr>
              <w:t>2.3.2</w:t>
            </w:r>
          </w:p>
        </w:tc>
        <w:tc>
          <w:tcPr>
            <w:tcW w:w="2252" w:type="dxa"/>
            <w:tcBorders>
              <w:top w:val="single" w:color="auto" w:sz="4" w:space="0"/>
              <w:left w:val="single" w:color="auto" w:sz="4" w:space="0"/>
              <w:bottom w:val="single" w:color="auto" w:sz="4" w:space="0"/>
              <w:right w:val="single" w:color="auto" w:sz="4" w:space="0"/>
            </w:tcBorders>
            <w:vAlign w:val="center"/>
          </w:tcPr>
          <w:p w14:paraId="3BEA2EC8">
            <w:pPr>
              <w:spacing w:line="440" w:lineRule="exact"/>
              <w:jc w:val="center"/>
              <w:rPr>
                <w:rFonts w:ascii="宋体" w:hAnsi="宋体" w:cs="宋体"/>
                <w:sz w:val="24"/>
              </w:rPr>
            </w:pPr>
            <w:r>
              <w:rPr>
                <w:rFonts w:hint="eastAsia" w:ascii="宋体" w:hAnsi="宋体" w:cs="宋体"/>
                <w:sz w:val="24"/>
              </w:rPr>
              <w:t>投标人确认收到招标文件修改的时间</w:t>
            </w:r>
          </w:p>
        </w:tc>
        <w:tc>
          <w:tcPr>
            <w:tcW w:w="6437" w:type="dxa"/>
            <w:tcBorders>
              <w:top w:val="single" w:color="auto" w:sz="4" w:space="0"/>
              <w:left w:val="single" w:color="auto" w:sz="4" w:space="0"/>
              <w:bottom w:val="single" w:color="auto" w:sz="4" w:space="0"/>
              <w:right w:val="single" w:color="auto" w:sz="4" w:space="0"/>
            </w:tcBorders>
            <w:vAlign w:val="center"/>
          </w:tcPr>
          <w:p w14:paraId="5184BBF7">
            <w:pPr>
              <w:spacing w:line="440" w:lineRule="exact"/>
              <w:rPr>
                <w:rFonts w:ascii="宋体" w:hAnsi="宋体" w:cs="宋体"/>
                <w:sz w:val="24"/>
              </w:rPr>
            </w:pPr>
            <w:r>
              <w:rPr>
                <w:rFonts w:hint="eastAsia" w:ascii="宋体" w:hAnsi="宋体" w:cs="宋体"/>
                <w:sz w:val="24"/>
              </w:rPr>
              <w:t>自行查询，无需确认。</w:t>
            </w:r>
          </w:p>
        </w:tc>
      </w:tr>
      <w:tr w14:paraId="5C33F67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1A9BB28D">
            <w:pPr>
              <w:spacing w:line="440" w:lineRule="exact"/>
              <w:jc w:val="center"/>
              <w:rPr>
                <w:rFonts w:ascii="宋体" w:hAnsi="宋体" w:cs="宋体"/>
                <w:sz w:val="24"/>
              </w:rPr>
            </w:pPr>
            <w:r>
              <w:rPr>
                <w:rFonts w:hint="eastAsia" w:ascii="宋体" w:hAnsi="宋体" w:cs="宋体"/>
                <w:sz w:val="24"/>
              </w:rPr>
              <w:t>3.1.1</w:t>
            </w:r>
          </w:p>
        </w:tc>
        <w:tc>
          <w:tcPr>
            <w:tcW w:w="2252" w:type="dxa"/>
            <w:tcBorders>
              <w:top w:val="single" w:color="auto" w:sz="4" w:space="0"/>
              <w:left w:val="single" w:color="auto" w:sz="4" w:space="0"/>
              <w:bottom w:val="single" w:color="auto" w:sz="4" w:space="0"/>
              <w:right w:val="single" w:color="auto" w:sz="4" w:space="0"/>
            </w:tcBorders>
            <w:vAlign w:val="center"/>
          </w:tcPr>
          <w:p w14:paraId="1A93CCA7">
            <w:pPr>
              <w:spacing w:line="440" w:lineRule="exact"/>
              <w:jc w:val="center"/>
              <w:rPr>
                <w:rFonts w:ascii="宋体" w:hAnsi="宋体" w:cs="宋体"/>
                <w:sz w:val="24"/>
              </w:rPr>
            </w:pPr>
            <w:r>
              <w:rPr>
                <w:rFonts w:hint="eastAsia" w:ascii="宋体" w:hAnsi="宋体" w:cs="宋体"/>
                <w:sz w:val="24"/>
              </w:rPr>
              <w:t>构成投标文件的其他资料</w:t>
            </w:r>
          </w:p>
        </w:tc>
        <w:tc>
          <w:tcPr>
            <w:tcW w:w="6437" w:type="dxa"/>
            <w:tcBorders>
              <w:top w:val="single" w:color="auto" w:sz="4" w:space="0"/>
              <w:left w:val="single" w:color="auto" w:sz="4" w:space="0"/>
              <w:bottom w:val="single" w:color="auto" w:sz="4" w:space="0"/>
              <w:right w:val="single" w:color="auto" w:sz="4" w:space="0"/>
            </w:tcBorders>
            <w:vAlign w:val="center"/>
          </w:tcPr>
          <w:p w14:paraId="4FA82C8E">
            <w:pPr>
              <w:spacing w:line="440" w:lineRule="exact"/>
              <w:rPr>
                <w:rFonts w:ascii="宋体" w:hAnsi="宋体" w:cs="宋体"/>
                <w:sz w:val="24"/>
              </w:rPr>
            </w:pPr>
            <w:r>
              <w:rPr>
                <w:rFonts w:hint="eastAsia" w:ascii="宋体" w:hAnsi="宋体" w:cs="宋体"/>
                <w:sz w:val="24"/>
                <w:u w:val="single"/>
              </w:rPr>
              <w:t xml:space="preserve">  投标人认为的其他材料   </w:t>
            </w:r>
            <w:r>
              <w:rPr>
                <w:rFonts w:hint="eastAsia" w:ascii="宋体" w:hAnsi="宋体" w:cs="宋体"/>
                <w:sz w:val="24"/>
              </w:rPr>
              <w:t xml:space="preserve"> 。</w:t>
            </w:r>
          </w:p>
        </w:tc>
      </w:tr>
      <w:tr w14:paraId="77BAC728">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0DDD81A">
            <w:pPr>
              <w:spacing w:line="440" w:lineRule="exact"/>
              <w:jc w:val="center"/>
              <w:rPr>
                <w:rFonts w:ascii="宋体" w:hAnsi="宋体" w:cs="宋体"/>
                <w:sz w:val="24"/>
              </w:rPr>
            </w:pPr>
            <w:r>
              <w:rPr>
                <w:rFonts w:hint="eastAsia" w:ascii="宋体" w:hAnsi="宋体" w:cs="宋体"/>
                <w:sz w:val="24"/>
              </w:rPr>
              <w:t>3.2.4</w:t>
            </w:r>
          </w:p>
        </w:tc>
        <w:tc>
          <w:tcPr>
            <w:tcW w:w="2252" w:type="dxa"/>
            <w:tcBorders>
              <w:top w:val="single" w:color="auto" w:sz="4" w:space="0"/>
              <w:left w:val="single" w:color="auto" w:sz="4" w:space="0"/>
              <w:bottom w:val="single" w:color="auto" w:sz="4" w:space="0"/>
              <w:right w:val="single" w:color="auto" w:sz="4" w:space="0"/>
            </w:tcBorders>
            <w:vAlign w:val="center"/>
          </w:tcPr>
          <w:p w14:paraId="4B6A6995">
            <w:pPr>
              <w:spacing w:line="440" w:lineRule="exact"/>
              <w:jc w:val="center"/>
              <w:rPr>
                <w:rFonts w:ascii="宋体" w:hAnsi="宋体" w:cs="宋体"/>
                <w:sz w:val="24"/>
              </w:rPr>
            </w:pPr>
            <w:r>
              <w:rPr>
                <w:rFonts w:hint="eastAsia" w:ascii="宋体" w:hAnsi="宋体" w:cs="宋体"/>
                <w:sz w:val="24"/>
              </w:rPr>
              <w:t>最高投标限价或其计算方法</w:t>
            </w:r>
          </w:p>
        </w:tc>
        <w:tc>
          <w:tcPr>
            <w:tcW w:w="6437" w:type="dxa"/>
            <w:tcBorders>
              <w:top w:val="single" w:color="auto" w:sz="4" w:space="0"/>
              <w:left w:val="single" w:color="auto" w:sz="4" w:space="0"/>
              <w:bottom w:val="single" w:color="auto" w:sz="4" w:space="0"/>
              <w:right w:val="single" w:color="auto" w:sz="4" w:space="0"/>
            </w:tcBorders>
            <w:vAlign w:val="center"/>
          </w:tcPr>
          <w:p w14:paraId="2401F26C">
            <w:pPr>
              <w:spacing w:line="440" w:lineRule="exact"/>
              <w:rPr>
                <w:rFonts w:hint="eastAsia" w:ascii="宋体" w:hAnsi="宋体" w:cs="宋体"/>
                <w:sz w:val="24"/>
              </w:rPr>
            </w:pPr>
            <w:sdt>
              <w:sdtPr>
                <w:rPr>
                  <w:rFonts w:hint="eastAsia" w:ascii="宋体" w:hAnsi="宋体" w:eastAsia="宋体" w:cs="宋体"/>
                  <w:kern w:val="2"/>
                  <w:sz w:val="24"/>
                  <w:szCs w:val="24"/>
                  <w:lang w:val="en-US" w:eastAsia="zh-CN" w:bidi="ar-SA"/>
                </w:rPr>
                <w:id w:val="147454538"/>
                <w14:checkbox>
                  <w14:checked w14:val="0"/>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kern w:val="2"/>
                    <w:sz w:val="21"/>
                    <w:szCs w:val="24"/>
                    <w:lang w:val="en-US" w:eastAsia="zh-CN" w:bidi="ar-SA"/>
                  </w:rPr>
                  <w:t>☐</w:t>
                </w:r>
              </w:sdtContent>
            </w:sdt>
            <w:r>
              <w:rPr>
                <w:rFonts w:hint="eastAsia" w:ascii="宋体" w:hAnsi="宋体" w:cs="宋体"/>
                <w:sz w:val="24"/>
              </w:rPr>
              <w:t>总价合同</w:t>
            </w:r>
          </w:p>
          <w:p w14:paraId="78425E0D">
            <w:pPr>
              <w:spacing w:line="440" w:lineRule="exact"/>
              <w:rPr>
                <w:rFonts w:hint="eastAsia" w:ascii="宋体" w:hAnsi="宋体" w:cs="宋体"/>
                <w:sz w:val="24"/>
              </w:rPr>
            </w:pPr>
            <w:r>
              <w:rPr>
                <w:rFonts w:hint="eastAsia" w:ascii="宋体" w:hAnsi="宋体" w:cs="宋体"/>
                <w:sz w:val="24"/>
              </w:rPr>
              <w:t>招标控制价：</w:t>
            </w:r>
            <w:r>
              <w:rPr>
                <w:rFonts w:hint="eastAsia" w:ascii="宋体" w:hAnsi="宋体" w:cs="宋体"/>
                <w:sz w:val="24"/>
                <w:u w:val="single"/>
              </w:rPr>
              <w:t xml:space="preserve">  </w:t>
            </w:r>
            <w:r>
              <w:rPr>
                <w:rFonts w:hint="eastAsia" w:ascii="宋体" w:hAnsi="宋体" w:eastAsia="宋体" w:cs="宋体"/>
                <w:sz w:val="24"/>
              </w:rPr>
              <w:t>最高投标限价为：</w:t>
            </w:r>
            <w:r>
              <w:rPr>
                <w:rFonts w:hint="eastAsia" w:ascii="宋体" w:hAnsi="宋体" w:eastAsia="宋体" w:cs="宋体"/>
                <w:sz w:val="24"/>
                <w:lang w:val="en-US" w:eastAsia="zh-CN"/>
              </w:rPr>
              <w:t xml:space="preserve">   </w:t>
            </w:r>
            <w:r>
              <w:rPr>
                <w:rFonts w:hint="eastAsia" w:ascii="宋体" w:hAnsi="宋体" w:eastAsia="宋体" w:cs="宋体"/>
                <w:sz w:val="24"/>
              </w:rPr>
              <w:t>元，其中：1.设计最高投标限价：</w:t>
            </w:r>
            <w:r>
              <w:rPr>
                <w:rFonts w:hint="eastAsia" w:ascii="宋体" w:hAnsi="宋体" w:eastAsia="宋体" w:cs="宋体"/>
                <w:sz w:val="24"/>
                <w:lang w:val="en-US" w:eastAsia="zh-CN"/>
              </w:rPr>
              <w:t xml:space="preserve">    </w:t>
            </w:r>
            <w:r>
              <w:rPr>
                <w:rFonts w:hint="eastAsia" w:ascii="宋体" w:hAnsi="宋体" w:eastAsia="宋体" w:cs="宋体"/>
                <w:sz w:val="24"/>
              </w:rPr>
              <w:t>元；2.施工最高投标限价：</w:t>
            </w:r>
            <w:r>
              <w:rPr>
                <w:rFonts w:hint="eastAsia" w:ascii="宋体" w:hAnsi="宋体" w:eastAsia="宋体" w:cs="宋体"/>
                <w:sz w:val="24"/>
                <w:lang w:val="en-US" w:eastAsia="zh-CN"/>
              </w:rPr>
              <w:t xml:space="preserve">   </w:t>
            </w:r>
            <w:r>
              <w:rPr>
                <w:rFonts w:hint="eastAsia" w:ascii="宋体" w:hAnsi="宋体" w:eastAsia="宋体" w:cs="宋体"/>
                <w:sz w:val="24"/>
              </w:rPr>
              <w:t xml:space="preserve">   元</w:t>
            </w:r>
          </w:p>
          <w:p w14:paraId="3801E486">
            <w:pPr>
              <w:spacing w:line="440" w:lineRule="exact"/>
              <w:rPr>
                <w:rFonts w:hint="eastAsia" w:ascii="宋体" w:hAnsi="宋体" w:cs="宋体"/>
                <w:sz w:val="24"/>
              </w:rPr>
            </w:pPr>
            <w:sdt>
              <w:sdtPr>
                <w:rPr>
                  <w:rFonts w:hint="eastAsia" w:ascii="宋体" w:hAnsi="宋体" w:eastAsia="宋体" w:cs="宋体"/>
                  <w:kern w:val="2"/>
                  <w:sz w:val="24"/>
                  <w:szCs w:val="24"/>
                  <w:lang w:val="en-US" w:eastAsia="zh-CN" w:bidi="ar-SA"/>
                </w:rPr>
                <w:id w:val="147454525"/>
                <w14:checkbox>
                  <w14:checked w14:val="1"/>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kern w:val="2"/>
                    <w:sz w:val="21"/>
                    <w:szCs w:val="24"/>
                    <w:lang w:val="en-US" w:eastAsia="zh-CN" w:bidi="ar-SA"/>
                  </w:rPr>
                  <w:t>☑</w:t>
                </w:r>
              </w:sdtContent>
            </w:sdt>
            <w:r>
              <w:rPr>
                <w:rFonts w:hint="eastAsia" w:ascii="宋体" w:hAnsi="宋体" w:cs="宋体"/>
                <w:sz w:val="24"/>
              </w:rPr>
              <w:t>总价与单价组合式合同</w:t>
            </w:r>
          </w:p>
          <w:p w14:paraId="133E640F">
            <w:pPr>
              <w:spacing w:line="440" w:lineRule="exact"/>
              <w:rPr>
                <w:rFonts w:hint="eastAsia" w:ascii="宋体" w:hAnsi="宋体" w:cs="宋体"/>
                <w:sz w:val="24"/>
              </w:rPr>
            </w:pPr>
            <w:r>
              <w:rPr>
                <w:rFonts w:hint="eastAsia" w:ascii="宋体" w:hAnsi="宋体" w:cs="宋体"/>
                <w:sz w:val="24"/>
              </w:rPr>
              <w:t>招标控制价：</w:t>
            </w:r>
            <w:r>
              <w:rPr>
                <w:rFonts w:hint="eastAsia" w:ascii="宋体" w:hAnsi="宋体" w:cs="宋体"/>
                <w:sz w:val="24"/>
                <w:u w:val="single"/>
              </w:rPr>
              <w:t xml:space="preserve">  </w:t>
            </w:r>
            <w:r>
              <w:rPr>
                <w:rFonts w:hint="default" w:ascii="宋体" w:hAnsi="宋体" w:cs="宋体"/>
                <w:sz w:val="24"/>
                <w:u w:val="single"/>
                <w:lang w:val="en"/>
              </w:rPr>
              <w:t xml:space="preserve"> </w:t>
            </w:r>
            <w:r>
              <w:rPr>
                <w:rFonts w:hint="eastAsia" w:ascii="宋体" w:hAnsi="宋体" w:cs="宋体"/>
                <w:b/>
                <w:bCs/>
                <w:sz w:val="24"/>
                <w:u w:val="single"/>
                <w:lang w:val="en-US" w:eastAsia="zh-CN"/>
              </w:rPr>
              <w:t xml:space="preserve">      </w:t>
            </w:r>
            <w:r>
              <w:rPr>
                <w:rFonts w:hint="eastAsia" w:ascii="宋体" w:hAnsi="宋体" w:cs="宋体"/>
                <w:b/>
                <w:bCs/>
                <w:sz w:val="24"/>
              </w:rPr>
              <w:t>元</w:t>
            </w:r>
          </w:p>
          <w:p w14:paraId="3A0F87A0">
            <w:pPr>
              <w:spacing w:line="440" w:lineRule="exact"/>
              <w:rPr>
                <w:rFonts w:hint="eastAsia" w:ascii="宋体" w:hAnsi="宋体" w:cs="宋体"/>
                <w:sz w:val="24"/>
              </w:rPr>
            </w:pPr>
            <w:r>
              <w:rPr>
                <w:rFonts w:hint="eastAsia" w:ascii="宋体" w:hAnsi="宋体" w:cs="宋体"/>
                <w:sz w:val="24"/>
              </w:rPr>
              <w:t>其中，总价部分招标控制价：</w:t>
            </w:r>
            <w:r>
              <w:rPr>
                <w:rFonts w:hint="eastAsia" w:ascii="宋体" w:hAnsi="宋体" w:cs="宋体"/>
                <w:sz w:val="24"/>
                <w:u w:val="single"/>
              </w:rPr>
              <w:t xml:space="preserve">    </w:t>
            </w:r>
            <w:r>
              <w:rPr>
                <w:rFonts w:hint="eastAsia" w:ascii="宋体" w:hAnsi="宋体" w:cs="宋体"/>
                <w:b/>
                <w:bCs/>
                <w:sz w:val="24"/>
                <w:u w:val="single"/>
                <w:lang w:val="en-US" w:eastAsia="zh-CN"/>
              </w:rPr>
              <w:t xml:space="preserve">           </w:t>
            </w:r>
            <w:r>
              <w:rPr>
                <w:rFonts w:hint="eastAsia" w:ascii="宋体" w:hAnsi="宋体" w:cs="宋体"/>
                <w:b/>
                <w:bCs/>
                <w:sz w:val="24"/>
                <w:u w:val="single"/>
                <w:lang w:eastAsia="zh-CN"/>
              </w:rPr>
              <w:t>元</w:t>
            </w:r>
            <w:r>
              <w:rPr>
                <w:rFonts w:hint="eastAsia" w:ascii="宋体" w:hAnsi="宋体" w:cs="宋体"/>
                <w:sz w:val="24"/>
                <w:u w:val="single"/>
              </w:rPr>
              <w:t xml:space="preserve">  </w:t>
            </w:r>
            <w:r>
              <w:rPr>
                <w:rFonts w:hint="eastAsia" w:ascii="宋体" w:hAnsi="宋体" w:cs="宋体"/>
                <w:sz w:val="24"/>
              </w:rPr>
              <w:t>，</w:t>
            </w:r>
          </w:p>
          <w:p w14:paraId="4EE7C090">
            <w:pPr>
              <w:spacing w:line="440" w:lineRule="exact"/>
              <w:rPr>
                <w:rFonts w:hint="eastAsia" w:ascii="宋体" w:hAnsi="宋体" w:cs="宋体"/>
                <w:sz w:val="24"/>
              </w:rPr>
            </w:pPr>
            <w:r>
              <w:rPr>
                <w:rFonts w:hint="eastAsia" w:ascii="宋体" w:hAnsi="宋体" w:cs="宋体"/>
                <w:sz w:val="24"/>
              </w:rPr>
              <w:t>单价部分招标控制价：</w:t>
            </w:r>
            <w:r>
              <w:rPr>
                <w:rFonts w:hint="eastAsia" w:ascii="宋体" w:hAnsi="宋体" w:cs="宋体"/>
                <w:sz w:val="24"/>
                <w:u w:val="single"/>
              </w:rPr>
              <w:t xml:space="preserve">  </w:t>
            </w:r>
            <w:r>
              <w:rPr>
                <w:rFonts w:hint="eastAsia" w:ascii="宋体" w:hAnsi="宋体" w:cs="宋体"/>
                <w:b/>
                <w:bCs/>
                <w:sz w:val="24"/>
                <w:u w:val="single"/>
                <w:lang w:val="en-US" w:eastAsia="zh-CN"/>
              </w:rPr>
              <w:t xml:space="preserve">             </w:t>
            </w:r>
            <w:r>
              <w:rPr>
                <w:rFonts w:hint="eastAsia" w:ascii="宋体" w:hAnsi="宋体" w:cs="宋体"/>
                <w:b/>
                <w:bCs/>
                <w:sz w:val="24"/>
                <w:u w:val="single"/>
                <w:lang w:eastAsia="zh-CN"/>
              </w:rPr>
              <w:t>元</w:t>
            </w:r>
            <w:r>
              <w:rPr>
                <w:rFonts w:hint="eastAsia" w:ascii="宋体" w:hAnsi="宋体" w:cs="宋体"/>
                <w:sz w:val="24"/>
              </w:rPr>
              <w:t>。</w:t>
            </w:r>
          </w:p>
          <w:p w14:paraId="5457F1B3"/>
        </w:tc>
      </w:tr>
      <w:tr w14:paraId="393E9FF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60F1F5E">
            <w:pPr>
              <w:spacing w:line="440" w:lineRule="exact"/>
              <w:jc w:val="center"/>
              <w:rPr>
                <w:rFonts w:ascii="宋体" w:hAnsi="宋体" w:cs="宋体"/>
                <w:sz w:val="24"/>
              </w:rPr>
            </w:pPr>
            <w:r>
              <w:rPr>
                <w:rFonts w:hint="eastAsia" w:ascii="宋体" w:hAnsi="宋体" w:cs="宋体"/>
                <w:sz w:val="24"/>
              </w:rPr>
              <w:t>3.2.5</w:t>
            </w:r>
          </w:p>
        </w:tc>
        <w:tc>
          <w:tcPr>
            <w:tcW w:w="2252" w:type="dxa"/>
            <w:tcBorders>
              <w:top w:val="single" w:color="auto" w:sz="4" w:space="0"/>
              <w:left w:val="single" w:color="auto" w:sz="4" w:space="0"/>
              <w:bottom w:val="single" w:color="auto" w:sz="4" w:space="0"/>
              <w:right w:val="single" w:color="auto" w:sz="4" w:space="0"/>
            </w:tcBorders>
            <w:vAlign w:val="center"/>
          </w:tcPr>
          <w:p w14:paraId="0F40B2BF">
            <w:pPr>
              <w:spacing w:line="440" w:lineRule="exact"/>
              <w:jc w:val="center"/>
              <w:rPr>
                <w:rFonts w:ascii="宋体" w:hAnsi="宋体" w:cs="宋体"/>
                <w:sz w:val="24"/>
              </w:rPr>
            </w:pPr>
            <w:r>
              <w:rPr>
                <w:rFonts w:hint="eastAsia" w:ascii="宋体" w:hAnsi="宋体" w:cs="宋体"/>
                <w:sz w:val="24"/>
              </w:rPr>
              <w:t>投标报价的</w:t>
            </w:r>
          </w:p>
          <w:p w14:paraId="3EC827AE">
            <w:pPr>
              <w:spacing w:line="440" w:lineRule="exact"/>
              <w:jc w:val="center"/>
              <w:rPr>
                <w:rFonts w:ascii="宋体" w:hAnsi="宋体" w:cs="宋体"/>
                <w:sz w:val="24"/>
              </w:rPr>
            </w:pPr>
            <w:r>
              <w:rPr>
                <w:rFonts w:hint="eastAsia" w:ascii="宋体" w:hAnsi="宋体" w:cs="宋体"/>
                <w:sz w:val="24"/>
              </w:rPr>
              <w:t>其他要求</w:t>
            </w:r>
          </w:p>
        </w:tc>
        <w:tc>
          <w:tcPr>
            <w:tcW w:w="6437" w:type="dxa"/>
            <w:tcBorders>
              <w:top w:val="single" w:color="auto" w:sz="4" w:space="0"/>
              <w:left w:val="single" w:color="auto" w:sz="4" w:space="0"/>
              <w:bottom w:val="single" w:color="auto" w:sz="4" w:space="0"/>
              <w:right w:val="single" w:color="auto" w:sz="4" w:space="0"/>
            </w:tcBorders>
            <w:vAlign w:val="center"/>
          </w:tcPr>
          <w:p w14:paraId="2C55BAEF">
            <w:pPr>
              <w:spacing w:line="440" w:lineRule="exact"/>
              <w:rPr>
                <w:rFonts w:hint="eastAsia" w:ascii="宋体" w:hAnsi="宋体" w:cs="宋体"/>
                <w:sz w:val="24"/>
              </w:rPr>
            </w:pPr>
            <w:r>
              <w:rPr>
                <w:rFonts w:hint="eastAsia" w:ascii="宋体" w:hAnsi="宋体" w:cs="宋体"/>
                <w:sz w:val="24"/>
              </w:rPr>
              <w:t>投标总价扉页应按规定签字、盖章，投标报价实质性表格应完整，安全文明施工费、暂列金额、暂估费用应按招标清单公布的金额填报。（上述要求不适用于总价与单价组合式合同中的单价部分不要求投标人对项目清单的各项费用进行报价的）。</w:t>
            </w:r>
          </w:p>
          <w:p w14:paraId="41818C3C">
            <w:pPr>
              <w:spacing w:line="440" w:lineRule="exact"/>
              <w:rPr>
                <w:rFonts w:hint="eastAsia" w:ascii="宋体" w:hAnsi="宋体" w:cs="宋体"/>
                <w:sz w:val="24"/>
              </w:rPr>
            </w:pPr>
            <w:sdt>
              <w:sdtPr>
                <w:rPr>
                  <w:rFonts w:hint="eastAsia" w:ascii="宋体" w:hAnsi="宋体" w:eastAsia="宋体" w:cs="宋体"/>
                  <w:kern w:val="2"/>
                  <w:sz w:val="24"/>
                  <w:szCs w:val="24"/>
                  <w:lang w:val="en-US" w:eastAsia="zh-CN" w:bidi="ar-SA"/>
                </w:rPr>
                <w:id w:val="147454293"/>
                <w14:checkbox>
                  <w14:checked w14:val="1"/>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kern w:val="2"/>
                    <w:sz w:val="21"/>
                    <w:szCs w:val="24"/>
                    <w:lang w:val="en-US" w:eastAsia="zh-CN" w:bidi="ar-SA"/>
                  </w:rPr>
                  <w:t>☑</w:t>
                </w:r>
              </w:sdtContent>
            </w:sdt>
            <w:r>
              <w:rPr>
                <w:rFonts w:hint="eastAsia" w:ascii="宋体" w:hAnsi="宋体" w:cs="宋体"/>
                <w:sz w:val="24"/>
              </w:rPr>
              <w:t>总价与单价组合式合同中的单价部分不要求投标人对项目清单的各项费用进行报价，投标人仅需填报单价部分的投标总价。项目实施过程中按投标总价（扣除安全文明施工费、暂列金额和暂估费用等）与招标控制价相应价格的下浮率，对项目清单价格同比下浮并结合合同约定确定价格。</w:t>
            </w:r>
          </w:p>
          <w:p w14:paraId="43A58408">
            <w:pPr>
              <w:spacing w:line="440" w:lineRule="exact"/>
              <w:rPr>
                <w:rFonts w:ascii="宋体" w:hAnsi="宋体" w:cs="宋体"/>
                <w:b/>
                <w:bCs/>
                <w:sz w:val="24"/>
                <w:u w:val="single"/>
              </w:rPr>
            </w:pPr>
            <w:r>
              <w:rPr>
                <w:rFonts w:hint="eastAsia" w:ascii="宋体" w:hAnsi="宋体" w:cs="宋体"/>
                <w:sz w:val="24"/>
              </w:rPr>
              <w:t>其他：</w:t>
            </w:r>
            <w:r>
              <w:rPr>
                <w:rFonts w:hint="eastAsia" w:ascii="宋体" w:hAnsi="宋体" w:cs="宋体"/>
                <w:sz w:val="24"/>
                <w:u w:val="single"/>
              </w:rPr>
              <w:t xml:space="preserve">   </w:t>
            </w:r>
            <w:r>
              <w:rPr>
                <w:rFonts w:hint="eastAsia" w:ascii="宋体" w:hAnsi="宋体" w:cs="宋体"/>
                <w:b/>
                <w:bCs/>
                <w:sz w:val="24"/>
                <w:u w:val="single"/>
              </w:rPr>
              <w:t>（1）施工报价</w:t>
            </w:r>
            <w:r>
              <w:rPr>
                <w:rFonts w:hint="eastAsia" w:ascii="宋体" w:hAnsi="宋体" w:cs="宋体"/>
                <w:b/>
                <w:bCs/>
                <w:sz w:val="24"/>
                <w:u w:val="single"/>
                <w:lang w:eastAsia="zh-CN"/>
              </w:rPr>
              <w:t>：</w:t>
            </w:r>
            <w:r>
              <w:rPr>
                <w:rFonts w:hint="eastAsia" w:ascii="宋体" w:hAnsi="宋体" w:cs="宋体"/>
                <w:b/>
                <w:bCs/>
                <w:sz w:val="24"/>
                <w:u w:val="single"/>
                <w:lang w:val="en-US" w:eastAsia="zh-CN"/>
              </w:rPr>
              <w:t xml:space="preserve"> </w:t>
            </w:r>
            <w:r>
              <w:rPr>
                <w:rFonts w:hint="eastAsia" w:ascii="宋体" w:hAnsi="宋体" w:cs="宋体"/>
                <w:b/>
                <w:bCs/>
                <w:sz w:val="24"/>
                <w:u w:val="single"/>
              </w:rPr>
              <w:t>。</w:t>
            </w:r>
          </w:p>
          <w:p w14:paraId="27142929">
            <w:pPr>
              <w:spacing w:line="440" w:lineRule="exact"/>
              <w:rPr>
                <w:u w:val="single"/>
              </w:rPr>
            </w:pPr>
            <w:r>
              <w:rPr>
                <w:rFonts w:hint="eastAsia" w:ascii="宋体" w:hAnsi="宋体" w:cs="宋体"/>
                <w:b/>
                <w:bCs/>
                <w:color w:val="000000"/>
                <w:sz w:val="24"/>
                <w:u w:val="single"/>
              </w:rPr>
              <w:t>（2）</w:t>
            </w:r>
            <w:r>
              <w:rPr>
                <w:rFonts w:hint="eastAsia" w:ascii="宋体" w:hAnsi="宋体" w:cs="宋体"/>
                <w:b/>
                <w:bCs/>
                <w:sz w:val="24"/>
                <w:u w:val="single"/>
              </w:rPr>
              <w:t>设计报价</w:t>
            </w:r>
            <w:r>
              <w:rPr>
                <w:rFonts w:hint="eastAsia" w:ascii="宋体" w:hAnsi="宋体" w:cs="宋体"/>
                <w:b/>
                <w:bCs/>
                <w:sz w:val="24"/>
                <w:u w:val="single"/>
                <w:lang w:eastAsia="zh-CN"/>
              </w:rPr>
              <w:t>：</w:t>
            </w:r>
            <w:r>
              <w:rPr>
                <w:rFonts w:hint="eastAsia" w:ascii="宋体" w:hAnsi="宋体" w:cs="宋体"/>
                <w:b/>
                <w:bCs/>
                <w:sz w:val="24"/>
                <w:u w:val="single"/>
                <w:lang w:val="en-US" w:eastAsia="zh-CN"/>
              </w:rPr>
              <w:t xml:space="preserve"> </w:t>
            </w:r>
            <w:r>
              <w:rPr>
                <w:rFonts w:hint="eastAsia" w:ascii="宋体" w:hAnsi="宋体" w:cs="宋体"/>
                <w:b/>
                <w:bCs/>
                <w:sz w:val="24"/>
                <w:u w:val="single"/>
              </w:rPr>
              <w:t>。</w:t>
            </w:r>
          </w:p>
          <w:p w14:paraId="2788CF47">
            <w:pPr>
              <w:spacing w:line="360" w:lineRule="auto"/>
              <w:rPr>
                <w:rFonts w:ascii="宋体" w:hAnsi="宋体" w:cs="宋体"/>
                <w:b/>
                <w:bCs/>
                <w:sz w:val="24"/>
                <w:u w:val="single"/>
              </w:rPr>
            </w:pPr>
            <w:r>
              <w:rPr>
                <w:rFonts w:hint="eastAsia" w:ascii="宋体" w:hAnsi="宋体" w:cs="宋体"/>
                <w:b/>
                <w:bCs/>
                <w:sz w:val="24"/>
                <w:u w:val="single"/>
              </w:rPr>
              <w:t>（3）设计施工所用的任何工具、设备、人工、保险、税金和后期服务的一切办公设备、通讯、交通、人工等费用均包含在报价中，招标人均不另行支付。</w:t>
            </w:r>
          </w:p>
          <w:p w14:paraId="7829AE1D">
            <w:pPr>
              <w:spacing w:line="440" w:lineRule="exact"/>
              <w:rPr>
                <w:rFonts w:ascii="宋体" w:hAnsi="宋体" w:cs="宋体"/>
                <w:sz w:val="24"/>
                <w:u w:val="single"/>
              </w:rPr>
            </w:pPr>
            <w:r>
              <w:rPr>
                <w:rFonts w:hint="eastAsia" w:ascii="宋体" w:hAnsi="宋体" w:cs="宋体"/>
                <w:b/>
                <w:bCs/>
                <w:sz w:val="24"/>
                <w:u w:val="single"/>
              </w:rPr>
              <w:t>(4)投标人应根据招标文件，并结合自己的实际情况和未来风险进行报价。</w:t>
            </w:r>
          </w:p>
          <w:p w14:paraId="6950FD77">
            <w:pPr>
              <w:spacing w:line="440" w:lineRule="exact"/>
              <w:rPr>
                <w:rFonts w:ascii="宋体" w:hAnsi="宋体" w:cs="宋体"/>
                <w:sz w:val="24"/>
                <w:u w:val="single"/>
              </w:rPr>
            </w:pPr>
            <w:r>
              <w:rPr>
                <w:rFonts w:hint="eastAsia" w:ascii="宋体" w:hAnsi="宋体" w:cs="宋体"/>
                <w:b/>
                <w:bCs/>
                <w:sz w:val="24"/>
                <w:u w:val="single"/>
              </w:rPr>
              <w:t>（5）投标人应在投标文件中报出投标总价，并且分别明确设计费、施工费的报价。</w:t>
            </w:r>
          </w:p>
          <w:p w14:paraId="7100B70F">
            <w:pPr>
              <w:spacing w:line="440" w:lineRule="exact"/>
              <w:rPr>
                <w:rFonts w:hint="eastAsia" w:ascii="宋体" w:hAnsi="宋体" w:cs="宋体"/>
                <w:sz w:val="24"/>
              </w:rPr>
            </w:pPr>
            <w:r>
              <w:rPr>
                <w:rFonts w:hint="eastAsia" w:ascii="宋体" w:hAnsi="宋体" w:cs="宋体"/>
                <w:b/>
                <w:bCs/>
                <w:sz w:val="24"/>
                <w:u w:val="single"/>
              </w:rPr>
              <w:t>（6）报价精确到小数点后两位，小数点后三位四舍五入至二位</w:t>
            </w:r>
            <w:r>
              <w:rPr>
                <w:rFonts w:hint="eastAsia" w:ascii="宋体" w:hAnsi="宋体" w:cs="宋体"/>
                <w:sz w:val="24"/>
                <w:u w:val="single"/>
              </w:rPr>
              <w:t xml:space="preserve">   </w:t>
            </w:r>
            <w:r>
              <w:rPr>
                <w:rFonts w:hint="eastAsia" w:ascii="宋体" w:hAnsi="宋体" w:cs="宋体"/>
                <w:sz w:val="24"/>
              </w:rPr>
              <w:t>。</w:t>
            </w:r>
          </w:p>
          <w:p w14:paraId="290D1DA8">
            <w:pPr>
              <w:pStyle w:val="2"/>
              <w:rPr>
                <w:rFonts w:hint="eastAsia" w:ascii="宋体" w:hAnsi="宋体" w:cs="宋体"/>
                <w:b/>
                <w:bCs/>
                <w:sz w:val="24"/>
                <w:u w:val="single"/>
                <w:lang w:eastAsia="zh-CN"/>
              </w:rPr>
            </w:pPr>
            <w:r>
              <w:rPr>
                <w:rFonts w:hint="eastAsia" w:ascii="宋体" w:hAnsi="宋体" w:cs="宋体"/>
                <w:b/>
                <w:bCs/>
                <w:sz w:val="24"/>
                <w:u w:val="single"/>
                <w:lang w:eastAsia="zh-CN"/>
              </w:rPr>
              <w:t>7） 1、招标控制价：</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元，其中工程总承包其他费（设计费）</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元，工程建设费（工程费用）</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元（其中总价部分</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元，单价部分</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w:t>
            </w:r>
            <w:r>
              <w:rPr>
                <w:rFonts w:hint="eastAsia" w:ascii="宋体" w:cs="宋体"/>
                <w:b/>
                <w:bCs/>
                <w:sz w:val="24"/>
                <w:u w:val="single"/>
                <w:lang w:eastAsia="zh-CN"/>
              </w:rPr>
              <w:t>，</w:t>
            </w:r>
            <w:r>
              <w:rPr>
                <w:rFonts w:hint="eastAsia" w:ascii="宋体" w:hAnsi="宋体" w:cs="宋体"/>
                <w:b/>
                <w:bCs/>
                <w:sz w:val="24"/>
                <w:u w:val="single"/>
                <w:lang w:eastAsia="zh-CN"/>
              </w:rPr>
              <w:t>本项目暂估费用：</w:t>
            </w:r>
            <w:r>
              <w:rPr>
                <w:rFonts w:hint="eastAsia" w:ascii="宋体" w:cs="宋体"/>
                <w:b/>
                <w:bCs/>
                <w:sz w:val="24"/>
                <w:u w:val="single"/>
                <w:lang w:val="en-US" w:eastAsia="zh-CN"/>
              </w:rPr>
              <w:t xml:space="preserve">   </w:t>
            </w:r>
            <w:r>
              <w:rPr>
                <w:rFonts w:hint="eastAsia" w:ascii="宋体" w:hAnsi="宋体" w:cs="宋体"/>
                <w:b/>
                <w:bCs/>
                <w:sz w:val="24"/>
                <w:u w:val="single"/>
                <w:lang w:eastAsia="zh-CN"/>
              </w:rPr>
              <w:t>元 ），工程总承包预备费（暂列金额）</w:t>
            </w:r>
            <w:r>
              <w:rPr>
                <w:rFonts w:hint="eastAsia" w:ascii="宋体" w:cs="宋体"/>
                <w:b/>
                <w:bCs/>
                <w:sz w:val="24"/>
                <w:u w:val="single"/>
                <w:lang w:val="en-US" w:eastAsia="zh-CN"/>
              </w:rPr>
              <w:t xml:space="preserve">   </w:t>
            </w:r>
            <w:r>
              <w:rPr>
                <w:rFonts w:hint="eastAsia" w:ascii="宋体" w:hAnsi="宋体" w:cs="宋体"/>
                <w:b/>
                <w:bCs/>
                <w:sz w:val="24"/>
                <w:u w:val="single"/>
                <w:lang w:eastAsia="zh-CN"/>
              </w:rPr>
              <w:t xml:space="preserve">元。 </w:t>
            </w:r>
          </w:p>
          <w:p w14:paraId="1598C047">
            <w:pPr>
              <w:pStyle w:val="2"/>
              <w:rPr>
                <w:rFonts w:hint="eastAsia" w:ascii="宋体" w:hAnsi="宋体" w:cs="宋体"/>
                <w:b/>
                <w:bCs/>
                <w:sz w:val="24"/>
                <w:u w:val="single"/>
                <w:lang w:eastAsia="zh-CN"/>
              </w:rPr>
            </w:pPr>
            <w:r>
              <w:rPr>
                <w:rFonts w:hint="eastAsia" w:ascii="宋体" w:hAnsi="宋体" w:cs="宋体"/>
                <w:b/>
                <w:bCs/>
                <w:sz w:val="24"/>
                <w:u w:val="single"/>
                <w:lang w:eastAsia="zh-CN"/>
              </w:rPr>
              <w:t xml:space="preserve">招标控制价=工程建设费（工程费用）+工程总承包其他费（设计费）+工程总承包预备费（暂列金额）。 </w:t>
            </w:r>
          </w:p>
          <w:p w14:paraId="4459CEF0">
            <w:pPr>
              <w:pStyle w:val="2"/>
              <w:rPr>
                <w:rFonts w:hint="eastAsia" w:ascii="宋体" w:hAnsi="宋体" w:cs="宋体"/>
                <w:b/>
                <w:bCs/>
                <w:sz w:val="24"/>
                <w:u w:val="single"/>
                <w:lang w:eastAsia="zh-CN"/>
              </w:rPr>
            </w:pPr>
            <w:r>
              <w:rPr>
                <w:rFonts w:hint="eastAsia" w:ascii="宋体" w:hAnsi="宋体" w:cs="宋体"/>
                <w:b/>
                <w:bCs/>
                <w:sz w:val="24"/>
                <w:u w:val="single"/>
                <w:lang w:eastAsia="zh-CN"/>
              </w:rPr>
              <w:t>2、本项目安全文明施工费：</w:t>
            </w:r>
            <w:r>
              <w:rPr>
                <w:rFonts w:hint="eastAsia" w:ascii="宋体" w:cs="宋体"/>
                <w:b/>
                <w:bCs/>
                <w:sz w:val="24"/>
                <w:u w:val="single"/>
                <w:lang w:val="en-US" w:eastAsia="zh-CN"/>
              </w:rPr>
              <w:t xml:space="preserve">       </w:t>
            </w:r>
            <w:r>
              <w:rPr>
                <w:rFonts w:hint="eastAsia" w:ascii="宋体" w:hAnsi="宋体" w:cs="宋体"/>
                <w:b/>
                <w:bCs/>
                <w:sz w:val="24"/>
                <w:u w:val="single"/>
                <w:lang w:eastAsia="zh-CN"/>
              </w:rPr>
              <w:t xml:space="preserve">元。 </w:t>
            </w:r>
          </w:p>
          <w:p w14:paraId="7A626F89">
            <w:pPr>
              <w:pStyle w:val="2"/>
            </w:pPr>
          </w:p>
        </w:tc>
      </w:tr>
      <w:tr w14:paraId="106845F9">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0521E5D">
            <w:pPr>
              <w:spacing w:line="440" w:lineRule="exact"/>
              <w:jc w:val="center"/>
              <w:rPr>
                <w:rFonts w:ascii="宋体" w:hAnsi="宋体" w:cs="宋体"/>
                <w:sz w:val="24"/>
              </w:rPr>
            </w:pPr>
            <w:r>
              <w:rPr>
                <w:rFonts w:hint="eastAsia" w:ascii="宋体" w:hAnsi="宋体" w:cs="宋体"/>
                <w:sz w:val="24"/>
              </w:rPr>
              <w:t>3.3.1</w:t>
            </w:r>
          </w:p>
        </w:tc>
        <w:tc>
          <w:tcPr>
            <w:tcW w:w="2252" w:type="dxa"/>
            <w:tcBorders>
              <w:top w:val="single" w:color="auto" w:sz="4" w:space="0"/>
              <w:left w:val="single" w:color="auto" w:sz="4" w:space="0"/>
              <w:bottom w:val="single" w:color="auto" w:sz="4" w:space="0"/>
              <w:right w:val="single" w:color="auto" w:sz="4" w:space="0"/>
            </w:tcBorders>
            <w:vAlign w:val="center"/>
          </w:tcPr>
          <w:p w14:paraId="41BC74D6">
            <w:pPr>
              <w:spacing w:line="440" w:lineRule="exact"/>
              <w:jc w:val="center"/>
              <w:rPr>
                <w:rFonts w:ascii="宋体" w:hAnsi="宋体" w:cs="宋体"/>
                <w:sz w:val="24"/>
              </w:rPr>
            </w:pPr>
            <w:r>
              <w:rPr>
                <w:rFonts w:hint="eastAsia" w:ascii="宋体" w:hAnsi="宋体" w:cs="宋体"/>
                <w:sz w:val="24"/>
              </w:rPr>
              <w:t>投标有效期</w:t>
            </w:r>
          </w:p>
        </w:tc>
        <w:tc>
          <w:tcPr>
            <w:tcW w:w="6437" w:type="dxa"/>
            <w:tcBorders>
              <w:top w:val="single" w:color="auto" w:sz="4" w:space="0"/>
              <w:left w:val="single" w:color="auto" w:sz="4" w:space="0"/>
              <w:bottom w:val="single" w:color="auto" w:sz="4" w:space="0"/>
              <w:right w:val="single" w:color="auto" w:sz="4" w:space="0"/>
            </w:tcBorders>
            <w:vAlign w:val="center"/>
          </w:tcPr>
          <w:p w14:paraId="12342421">
            <w:pPr>
              <w:adjustRightInd w:val="0"/>
              <w:snapToGrid w:val="0"/>
              <w:spacing w:line="360" w:lineRule="auto"/>
              <w:rPr>
                <w:rFonts w:ascii="宋体" w:hAnsi="宋体" w:cs="宋体"/>
                <w:sz w:val="24"/>
              </w:rPr>
            </w:pPr>
            <w:r>
              <w:rPr>
                <w:rFonts w:hint="eastAsia" w:ascii="宋体" w:hAnsi="宋体" w:cs="宋体"/>
                <w:sz w:val="24"/>
                <w:u w:val="single"/>
              </w:rPr>
              <w:t xml:space="preserve">  </w:t>
            </w:r>
            <w:r>
              <w:rPr>
                <w:rFonts w:hint="eastAsia" w:ascii="宋体" w:hAnsi="宋体" w:cs="宋体"/>
                <w:sz w:val="24"/>
                <w:u w:val="single"/>
                <w:lang w:val="en-US" w:eastAsia="zh-CN"/>
              </w:rPr>
              <w:t>90</w:t>
            </w:r>
            <w:r>
              <w:rPr>
                <w:rFonts w:hint="eastAsia" w:ascii="宋体" w:hAnsi="宋体" w:cs="宋体"/>
                <w:sz w:val="24"/>
                <w:u w:val="single"/>
              </w:rPr>
              <w:t xml:space="preserve">     </w:t>
            </w:r>
            <w:r>
              <w:rPr>
                <w:rFonts w:hint="eastAsia" w:ascii="宋体" w:hAnsi="宋体" w:cs="宋体"/>
                <w:sz w:val="24"/>
              </w:rPr>
              <w:t>日历天（从投标截止之日起计算）</w:t>
            </w:r>
          </w:p>
          <w:p w14:paraId="345FDE84">
            <w:pPr>
              <w:spacing w:line="440" w:lineRule="exact"/>
              <w:rPr>
                <w:rFonts w:ascii="宋体" w:hAnsi="宋体" w:cs="宋体"/>
                <w:sz w:val="24"/>
              </w:rPr>
            </w:pPr>
            <w:r>
              <w:rPr>
                <w:rFonts w:hint="eastAsia" w:ascii="宋体" w:hAnsi="宋体" w:cs="宋体"/>
                <w:sz w:val="24"/>
              </w:rPr>
              <w:t>注:在原投标有效期内未完成评标和签订合同的,招标人应当通知所有投标人延长投标有效期;拒绝延长投标有效期的投标人有权收回投标保证金;没有拒绝延长投标有效期的投标人自动延长其投标担保的有效期,但不得修改投标文件的实质性内容。因延长投标有效期造成投标人损失的,招标人应当给予补偿,但因不可抗力需延长投标有效期的除外。</w:t>
            </w:r>
          </w:p>
        </w:tc>
      </w:tr>
      <w:tr w14:paraId="2AF41730">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E2E09C2">
            <w:pPr>
              <w:spacing w:line="440" w:lineRule="exact"/>
              <w:jc w:val="center"/>
              <w:rPr>
                <w:rFonts w:ascii="宋体" w:hAnsi="宋体" w:cs="宋体"/>
                <w:sz w:val="24"/>
              </w:rPr>
            </w:pPr>
            <w:r>
              <w:rPr>
                <w:rFonts w:hint="eastAsia" w:ascii="宋体" w:hAnsi="宋体" w:cs="宋体"/>
                <w:sz w:val="24"/>
              </w:rPr>
              <w:t>3.4.1</w:t>
            </w:r>
          </w:p>
        </w:tc>
        <w:tc>
          <w:tcPr>
            <w:tcW w:w="2252" w:type="dxa"/>
            <w:tcBorders>
              <w:top w:val="single" w:color="auto" w:sz="4" w:space="0"/>
              <w:left w:val="single" w:color="auto" w:sz="4" w:space="0"/>
              <w:bottom w:val="single" w:color="auto" w:sz="4" w:space="0"/>
              <w:right w:val="single" w:color="auto" w:sz="4" w:space="0"/>
            </w:tcBorders>
            <w:vAlign w:val="center"/>
          </w:tcPr>
          <w:p w14:paraId="7C86C36E">
            <w:pPr>
              <w:spacing w:line="440" w:lineRule="exact"/>
              <w:jc w:val="center"/>
              <w:rPr>
                <w:rFonts w:ascii="宋体" w:hAnsi="宋体" w:cs="宋体"/>
                <w:sz w:val="24"/>
              </w:rPr>
            </w:pPr>
            <w:r>
              <w:rPr>
                <w:rFonts w:hint="eastAsia" w:ascii="宋体" w:hAnsi="宋体" w:cs="宋体"/>
                <w:sz w:val="24"/>
              </w:rPr>
              <w:t>投标保证金</w:t>
            </w:r>
          </w:p>
        </w:tc>
        <w:tc>
          <w:tcPr>
            <w:tcW w:w="6437" w:type="dxa"/>
            <w:tcBorders>
              <w:top w:val="single" w:color="auto" w:sz="4" w:space="0"/>
              <w:left w:val="single" w:color="auto" w:sz="4" w:space="0"/>
              <w:bottom w:val="single" w:color="auto" w:sz="4" w:space="0"/>
              <w:right w:val="single" w:color="auto" w:sz="4" w:space="0"/>
            </w:tcBorders>
            <w:vAlign w:val="center"/>
          </w:tcPr>
          <w:p w14:paraId="2354538C">
            <w:pPr>
              <w:adjustRightInd w:val="0"/>
              <w:snapToGrid w:val="0"/>
              <w:spacing w:line="360" w:lineRule="auto"/>
              <w:rPr>
                <w:rFonts w:ascii="宋体" w:hAnsi="宋体" w:cs="宋体"/>
                <w:sz w:val="24"/>
              </w:rPr>
            </w:pPr>
            <w:r>
              <w:rPr>
                <w:rFonts w:hint="eastAsia" w:ascii="宋体" w:hAnsi="宋体"/>
                <w:sz w:val="28"/>
                <w:szCs w:val="28"/>
              </w:rPr>
              <w:t>□</w:t>
            </w:r>
            <w:r>
              <w:rPr>
                <w:rFonts w:hint="eastAsia" w:ascii="宋体" w:hAnsi="宋体" w:cs="宋体"/>
                <w:sz w:val="24"/>
              </w:rPr>
              <w:t>不要求投标人提交投标保证金。</w:t>
            </w:r>
          </w:p>
          <w:p w14:paraId="61C3D4C0">
            <w:pPr>
              <w:spacing w:line="360" w:lineRule="auto"/>
              <w:rPr>
                <w:rFonts w:hint="default" w:ascii="宋体" w:hAnsi="宋体" w:eastAsia="宋体" w:cs="宋体"/>
                <w:sz w:val="24"/>
                <w:lang w:val="en-US" w:eastAsia="zh-CN"/>
              </w:rPr>
            </w:pPr>
            <w:r>
              <w:rPr>
                <w:rFonts w:hint="eastAsia" w:ascii="MS Gothic" w:hAnsi="MS Gothic" w:eastAsia="MS Gothic"/>
                <w:sz w:val="24"/>
              </w:rPr>
              <w:t>☑</w:t>
            </w:r>
            <w:r>
              <w:rPr>
                <w:rFonts w:hint="eastAsia" w:ascii="宋体" w:hAnsi="宋体" w:cs="宋体"/>
                <w:sz w:val="24"/>
              </w:rPr>
              <w:t>要求投标人提交投标保证金。投标保证金的金额：人民币（大写）__</w:t>
            </w:r>
            <w:r>
              <w:rPr>
                <w:rFonts w:hint="eastAsia" w:ascii="宋体" w:hAnsi="宋体" w:cs="宋体"/>
                <w:sz w:val="24"/>
                <w:lang w:val="en-US" w:eastAsia="zh-CN"/>
              </w:rPr>
              <w:t>壹</w:t>
            </w:r>
            <w:r>
              <w:rPr>
                <w:rFonts w:hint="eastAsia" w:ascii="宋体" w:hAnsi="宋体" w:cs="宋体"/>
                <w:sz w:val="24"/>
                <w:u w:val="single"/>
              </w:rPr>
              <w:t>拾万元整</w:t>
            </w:r>
            <w:r>
              <w:rPr>
                <w:rFonts w:hint="eastAsia" w:ascii="宋体" w:hAnsi="宋体" w:cs="宋体"/>
                <w:sz w:val="24"/>
              </w:rPr>
              <w:t>__（¥__</w:t>
            </w:r>
            <w:r>
              <w:rPr>
                <w:rFonts w:hint="eastAsia" w:ascii="宋体" w:hAnsi="宋体" w:cs="宋体"/>
                <w:sz w:val="24"/>
                <w:lang w:val="en-US" w:eastAsia="zh-CN"/>
              </w:rPr>
              <w:t>1</w:t>
            </w:r>
            <w:r>
              <w:rPr>
                <w:rFonts w:ascii="宋体" w:hAnsi="宋体" w:cs="宋体"/>
                <w:sz w:val="24"/>
              </w:rPr>
              <w:t>00</w:t>
            </w:r>
            <w:r>
              <w:rPr>
                <w:rFonts w:hint="eastAsia" w:ascii="宋体" w:hAnsi="宋体" w:cs="宋体"/>
                <w:sz w:val="24"/>
              </w:rPr>
              <w:t>0</w:t>
            </w:r>
            <w:r>
              <w:rPr>
                <w:rFonts w:ascii="宋体" w:hAnsi="宋体" w:cs="宋体"/>
                <w:sz w:val="24"/>
              </w:rPr>
              <w:t>00</w:t>
            </w:r>
            <w:r>
              <w:rPr>
                <w:rFonts w:hint="eastAsia" w:ascii="宋体" w:hAnsi="宋体" w:cs="宋体"/>
                <w:sz w:val="24"/>
              </w:rPr>
              <w:t>___元），投标保证金须在_</w:t>
            </w:r>
            <w:r>
              <w:rPr>
                <w:rFonts w:hint="eastAsia" w:ascii="宋体" w:hAnsi="宋体" w:cs="宋体"/>
                <w:sz w:val="24"/>
                <w:lang w:val="en-US" w:eastAsia="zh-CN"/>
              </w:rPr>
              <w:t>2025</w:t>
            </w:r>
            <w:r>
              <w:rPr>
                <w:rFonts w:hint="eastAsia" w:ascii="宋体" w:hAnsi="宋体" w:cs="宋体"/>
                <w:sz w:val="24"/>
              </w:rPr>
              <w:t>__年__</w:t>
            </w:r>
            <w:r>
              <w:rPr>
                <w:rFonts w:hint="eastAsia" w:ascii="宋体" w:hAnsi="宋体" w:cs="宋体"/>
                <w:sz w:val="24"/>
                <w:lang w:val="en-US" w:eastAsia="zh-CN"/>
              </w:rPr>
              <w:t xml:space="preserve"> </w:t>
            </w:r>
            <w:r>
              <w:rPr>
                <w:rFonts w:hint="eastAsia" w:ascii="宋体" w:hAnsi="宋体" w:cs="宋体"/>
                <w:sz w:val="24"/>
              </w:rPr>
              <w:t>_月_</w:t>
            </w:r>
            <w:r>
              <w:rPr>
                <w:rFonts w:hint="eastAsia" w:ascii="宋体" w:hAnsi="宋体" w:cs="宋体"/>
                <w:sz w:val="24"/>
                <w:lang w:val="en-US" w:eastAsia="zh-CN"/>
              </w:rPr>
              <w:t xml:space="preserve"> </w:t>
            </w:r>
            <w:r>
              <w:rPr>
                <w:rFonts w:hint="eastAsia" w:ascii="宋体" w:hAnsi="宋体" w:cs="宋体"/>
                <w:sz w:val="24"/>
              </w:rPr>
              <w:t>_日（即投标截止时间前1个日历天）17时00分前到账。</w:t>
            </w:r>
          </w:p>
          <w:p w14:paraId="2FE42137">
            <w:pPr>
              <w:spacing w:line="360" w:lineRule="auto"/>
              <w:rPr>
                <w:rFonts w:hint="eastAsia" w:ascii="宋体" w:hAnsi="宋体" w:cs="宋体"/>
                <w:sz w:val="24"/>
              </w:rPr>
            </w:pPr>
            <w:r>
              <w:rPr>
                <w:rFonts w:hint="eastAsia" w:ascii="宋体" w:hAnsi="宋体" w:cs="宋体"/>
                <w:sz w:val="24"/>
              </w:rPr>
              <w:t>投标保证金的形式：采用现金或银行保函或保证保险或担保保函的方式提交。由投标人自行选择，该项目为单项选择。</w:t>
            </w:r>
          </w:p>
          <w:p w14:paraId="6823653D">
            <w:pPr>
              <w:spacing w:line="360" w:lineRule="auto"/>
              <w:rPr>
                <w:rFonts w:hint="eastAsia" w:ascii="宋体" w:hAnsi="宋体" w:cs="宋体"/>
                <w:b/>
                <w:bCs/>
                <w:sz w:val="24"/>
              </w:rPr>
            </w:pPr>
            <w:r>
              <w:rPr>
                <w:rFonts w:hint="eastAsia" w:ascii="宋体" w:hAnsi="宋体" w:cs="宋体"/>
                <w:b/>
                <w:bCs/>
                <w:sz w:val="24"/>
              </w:rPr>
              <w:t>（一）采用现金方式提交：</w:t>
            </w:r>
          </w:p>
          <w:p w14:paraId="38AC236B">
            <w:pPr>
              <w:spacing w:line="360" w:lineRule="auto"/>
              <w:rPr>
                <w:rFonts w:hint="eastAsia" w:ascii="宋体" w:hAnsi="宋体" w:cs="宋体"/>
                <w:sz w:val="24"/>
              </w:rPr>
            </w:pPr>
            <w:r>
              <w:rPr>
                <w:rFonts w:hint="eastAsia" w:ascii="宋体" w:hAnsi="宋体" w:cs="宋体"/>
                <w:sz w:val="24"/>
              </w:rPr>
              <w:t>招标人委托雅安市政务服务和公共资源交易服务中心统一收退投标保证金。</w:t>
            </w:r>
          </w:p>
          <w:p w14:paraId="7B2BB974">
            <w:pPr>
              <w:spacing w:line="360" w:lineRule="auto"/>
              <w:rPr>
                <w:rFonts w:hint="eastAsia" w:ascii="宋体" w:hAnsi="宋体" w:cs="宋体"/>
                <w:sz w:val="24"/>
              </w:rPr>
            </w:pPr>
            <w:r>
              <w:rPr>
                <w:rFonts w:hint="eastAsia" w:ascii="宋体" w:hAnsi="宋体" w:cs="宋体"/>
                <w:sz w:val="24"/>
              </w:rPr>
              <w:t>(1)投标保证金应缴入招标人指定的账户，缴纳投标保证金到账时间是以投标人在雅安市建设工程交易系统里手动分配到所投标段的时间为准。</w:t>
            </w:r>
          </w:p>
          <w:p w14:paraId="1B0C4725">
            <w:pPr>
              <w:spacing w:line="360" w:lineRule="auto"/>
              <w:rPr>
                <w:rFonts w:hint="eastAsia" w:ascii="宋体" w:hAnsi="宋体" w:cs="宋体"/>
                <w:sz w:val="24"/>
              </w:rPr>
            </w:pPr>
            <w:r>
              <w:rPr>
                <w:rFonts w:hint="eastAsia" w:ascii="宋体" w:hAnsi="宋体" w:cs="宋体"/>
                <w:sz w:val="24"/>
              </w:rPr>
              <w:t>(2)保证金缴纳账户信息：</w:t>
            </w:r>
          </w:p>
          <w:p w14:paraId="73688055">
            <w:pPr>
              <w:spacing w:line="360" w:lineRule="auto"/>
              <w:rPr>
                <w:rFonts w:hint="eastAsia" w:ascii="宋体" w:hAnsi="宋体" w:cs="宋体"/>
                <w:sz w:val="24"/>
              </w:rPr>
            </w:pPr>
            <w:r>
              <w:rPr>
                <w:rFonts w:hint="eastAsia" w:ascii="宋体" w:hAnsi="宋体" w:cs="宋体"/>
                <w:sz w:val="24"/>
              </w:rPr>
              <w:t>开户单位：雅安市政务服务和公共资源交易服务中心</w:t>
            </w:r>
          </w:p>
          <w:p w14:paraId="1688C2D8">
            <w:pPr>
              <w:spacing w:line="360" w:lineRule="auto"/>
              <w:rPr>
                <w:rFonts w:hint="eastAsia" w:ascii="宋体" w:hAnsi="宋体" w:cs="宋体"/>
                <w:sz w:val="24"/>
              </w:rPr>
            </w:pPr>
            <w:r>
              <w:rPr>
                <w:rFonts w:hint="eastAsia" w:ascii="宋体" w:hAnsi="宋体" w:cs="宋体"/>
                <w:sz w:val="24"/>
              </w:rPr>
              <w:t xml:space="preserve">开户银行：中国邮政储蓄银行股份有限公司雅安市南二路支行 </w:t>
            </w:r>
          </w:p>
          <w:p w14:paraId="2F15E657">
            <w:pPr>
              <w:spacing w:line="360" w:lineRule="auto"/>
              <w:rPr>
                <w:rFonts w:hint="eastAsia" w:ascii="宋体" w:hAnsi="宋体" w:cs="宋体"/>
                <w:sz w:val="24"/>
              </w:rPr>
            </w:pPr>
            <w:r>
              <w:rPr>
                <w:rFonts w:hint="eastAsia" w:ascii="宋体" w:hAnsi="宋体" w:cs="宋体"/>
                <w:sz w:val="24"/>
              </w:rPr>
              <w:t>开户账号：100802640440010001000000002</w:t>
            </w:r>
          </w:p>
          <w:p w14:paraId="45B59548">
            <w:pPr>
              <w:spacing w:line="360" w:lineRule="auto"/>
              <w:rPr>
                <w:rFonts w:hint="eastAsia" w:ascii="宋体" w:hAnsi="宋体" w:cs="宋体"/>
                <w:sz w:val="24"/>
              </w:rPr>
            </w:pPr>
            <w:r>
              <w:rPr>
                <w:rFonts w:hint="eastAsia" w:ascii="宋体" w:hAnsi="宋体" w:cs="宋体"/>
                <w:sz w:val="24"/>
              </w:rPr>
              <w:t>(3)投标保证金的缴纳方式必须通过投标人的基本账户以银行转账、电汇、网上银行转账的方式缴纳。</w:t>
            </w:r>
          </w:p>
          <w:p w14:paraId="79C07F8A">
            <w:pPr>
              <w:spacing w:line="360" w:lineRule="auto"/>
              <w:rPr>
                <w:rFonts w:hint="eastAsia" w:ascii="宋体" w:hAnsi="宋体" w:cs="宋体"/>
                <w:sz w:val="24"/>
              </w:rPr>
            </w:pPr>
            <w:r>
              <w:rPr>
                <w:rFonts w:hint="eastAsia" w:ascii="宋体" w:hAnsi="宋体" w:cs="宋体"/>
                <w:sz w:val="24"/>
              </w:rPr>
              <w:t>＜1＞投标人在缴纳投标保证金时，请务必核实确认所投标段的保证金金额及转入、转出账户信息（转出账户信息必须与注册账户信息一致），以确保投标保证金缴纳的安全、有效、准确。如填写错误，系统将无法识别，由此造成的一切不利后果由投标人自行承担。</w:t>
            </w:r>
          </w:p>
          <w:p w14:paraId="52D5CE9C">
            <w:pPr>
              <w:spacing w:line="360" w:lineRule="auto"/>
              <w:rPr>
                <w:rFonts w:hint="eastAsia" w:ascii="宋体" w:hAnsi="宋体" w:cs="宋体"/>
                <w:sz w:val="24"/>
              </w:rPr>
            </w:pPr>
            <w:r>
              <w:rPr>
                <w:rFonts w:hint="eastAsia" w:ascii="宋体" w:hAnsi="宋体" w:cs="宋体"/>
                <w:sz w:val="24"/>
              </w:rPr>
              <w:t>＜2＞缴款程序：应先将投标保证金及时转入雅安市政务服务和公共资源交易服务中心保证金账户。待投标保证金到账后，进入雅安市建设工程交易系统“提交投标保证金”→选择所投标段，点击操作下“缴纳”按钮→点击“查询分配”→选择转入保证金“开始日期”和“结束日期”，点击“查询”→点击“分配”，缴纳保证金成功→点击操作下“打印回执”，打印《投标保证金缴纳回执》。</w:t>
            </w:r>
          </w:p>
          <w:p w14:paraId="774FF39A">
            <w:pPr>
              <w:spacing w:line="360" w:lineRule="auto"/>
              <w:rPr>
                <w:rFonts w:hint="eastAsia" w:ascii="宋体" w:hAnsi="宋体" w:cs="宋体"/>
                <w:sz w:val="24"/>
              </w:rPr>
            </w:pPr>
            <w:r>
              <w:rPr>
                <w:rFonts w:hint="eastAsia" w:ascii="宋体" w:hAnsi="宋体" w:cs="宋体"/>
                <w:sz w:val="24"/>
              </w:rPr>
              <w:t>＜3＞投标保证金不换取收据。当投标保证金按程序缴纳成功后，投标人即可在雅安市建设工程交易系统里打印《投标保证金缴纳回执》。投标保证金是否缴纳成功，以投标截止时间到后雅安市建设工程交易系统自动生成的《投标保证金缴纳情况汇总表》展示为准。</w:t>
            </w:r>
          </w:p>
          <w:p w14:paraId="26A7BFBB">
            <w:pPr>
              <w:spacing w:line="360" w:lineRule="auto"/>
              <w:rPr>
                <w:rFonts w:hint="eastAsia" w:ascii="宋体" w:hAnsi="宋体" w:cs="宋体"/>
                <w:sz w:val="24"/>
              </w:rPr>
            </w:pPr>
            <w:r>
              <w:rPr>
                <w:rFonts w:hint="eastAsia" w:ascii="宋体" w:hAnsi="宋体" w:cs="宋体"/>
                <w:sz w:val="24"/>
              </w:rPr>
              <w:t>特别提示：</w:t>
            </w:r>
          </w:p>
          <w:p w14:paraId="724E2B39">
            <w:pPr>
              <w:spacing w:line="360" w:lineRule="auto"/>
              <w:rPr>
                <w:rFonts w:hint="eastAsia" w:ascii="宋体" w:hAnsi="宋体" w:cs="宋体"/>
                <w:sz w:val="24"/>
              </w:rPr>
            </w:pPr>
            <w:r>
              <w:rPr>
                <w:rFonts w:hint="eastAsia" w:ascii="宋体" w:hAnsi="宋体" w:cs="宋体"/>
                <w:sz w:val="24"/>
              </w:rPr>
              <w:t>1.投标保证金到雅安市政务服务和公共资源交易服务中心保证金账户后，投标人方能在交易系统里进行查询分配、打印回执等操作，请投标人在缴纳保证金时预留充足时间。如因投标保证金未及时到账造成的一切不利后果由投标人自行承担。</w:t>
            </w:r>
          </w:p>
          <w:p w14:paraId="55E6546A">
            <w:pPr>
              <w:adjustRightInd w:val="0"/>
              <w:snapToGrid w:val="0"/>
              <w:spacing w:line="360" w:lineRule="auto"/>
              <w:rPr>
                <w:rFonts w:ascii="宋体" w:hAnsi="宋体" w:cs="宋体"/>
                <w:b/>
                <w:sz w:val="24"/>
              </w:rPr>
            </w:pPr>
            <w:r>
              <w:rPr>
                <w:rFonts w:hint="eastAsia" w:ascii="宋体" w:hAnsi="宋体" w:cs="宋体"/>
                <w:sz w:val="24"/>
              </w:rPr>
              <w:t>2.以现金缴纳投标保证金的，应当从投标人基本账户转出。</w:t>
            </w:r>
          </w:p>
          <w:p w14:paraId="2B4B8EC0">
            <w:pPr>
              <w:adjustRightInd w:val="0"/>
              <w:snapToGrid w:val="0"/>
              <w:spacing w:line="360" w:lineRule="auto"/>
              <w:rPr>
                <w:rFonts w:ascii="宋体" w:hAnsi="宋体" w:cs="宋体"/>
                <w:b/>
                <w:sz w:val="24"/>
              </w:rPr>
            </w:pPr>
            <w:r>
              <w:rPr>
                <w:rFonts w:hint="eastAsia" w:ascii="宋体" w:hAnsi="宋体" w:cs="宋体"/>
                <w:b/>
                <w:sz w:val="24"/>
              </w:rPr>
              <w:t>（二）采用银行保函方式提交：</w:t>
            </w:r>
          </w:p>
          <w:p w14:paraId="142DCE5C">
            <w:pPr>
              <w:adjustRightInd w:val="0"/>
              <w:snapToGrid w:val="0"/>
              <w:spacing w:line="360" w:lineRule="auto"/>
              <w:rPr>
                <w:rFonts w:ascii="宋体" w:hAnsi="宋体" w:cs="宋体"/>
                <w:b/>
                <w:sz w:val="24"/>
              </w:rPr>
            </w:pPr>
            <w:r>
              <w:rPr>
                <w:rFonts w:hint="eastAsia" w:ascii="宋体" w:hAnsi="宋体" w:cs="宋体"/>
                <w:sz w:val="24"/>
              </w:rPr>
              <w:t>以</w:t>
            </w:r>
            <w:r>
              <w:rPr>
                <w:rFonts w:hint="eastAsia" w:ascii="宋体" w:hAnsi="宋体" w:cs="宋体"/>
                <w:sz w:val="24"/>
                <w:lang w:val="en-US" w:eastAsia="zh-CN"/>
              </w:rPr>
              <w:t>银行</w:t>
            </w:r>
            <w:r>
              <w:rPr>
                <w:rFonts w:hint="eastAsia" w:ascii="宋体" w:hAnsi="宋体" w:cs="宋体"/>
                <w:sz w:val="24"/>
              </w:rPr>
              <w:t>电子保函形式提交。采用电子保函递交投标保证金的，投标人需在雅安市公共资源交易平台建设工程交易系统中在线选择</w:t>
            </w:r>
            <w:r>
              <w:rPr>
                <w:rFonts w:hint="eastAsia" w:ascii="宋体" w:hAnsi="宋体" w:cs="宋体"/>
                <w:sz w:val="24"/>
                <w:lang w:val="en-US" w:eastAsia="zh-CN"/>
              </w:rPr>
              <w:t>银行进行</w:t>
            </w:r>
            <w:r>
              <w:rPr>
                <w:rFonts w:hint="eastAsia" w:ascii="宋体" w:hAnsi="宋体" w:cs="宋体"/>
                <w:sz w:val="24"/>
              </w:rPr>
              <w:t>投保，且保费应当从其基本账户转出，开标时以系统中的《投标保证金缴纳情况汇总表》为准。凡未按要求有效投保导致系统不能准确显示投保信息的，责任由投标人自负。</w:t>
            </w:r>
          </w:p>
          <w:p w14:paraId="7EDCAA1A">
            <w:pPr>
              <w:adjustRightInd w:val="0"/>
              <w:snapToGrid w:val="0"/>
              <w:spacing w:line="360" w:lineRule="auto"/>
              <w:rPr>
                <w:rFonts w:ascii="宋体" w:hAnsi="宋体" w:cs="宋体"/>
                <w:b/>
                <w:sz w:val="24"/>
              </w:rPr>
            </w:pPr>
            <w:r>
              <w:rPr>
                <w:rFonts w:hint="eastAsia" w:ascii="宋体" w:hAnsi="宋体" w:cs="宋体"/>
                <w:b/>
                <w:sz w:val="24"/>
              </w:rPr>
              <w:t>（三）采用保证保险方式提交：</w:t>
            </w:r>
          </w:p>
          <w:p w14:paraId="52DDAF61">
            <w:pPr>
              <w:adjustRightInd w:val="0"/>
              <w:snapToGrid w:val="0"/>
              <w:spacing w:line="360" w:lineRule="auto"/>
              <w:rPr>
                <w:rFonts w:ascii="宋体" w:hAnsi="宋体" w:cs="宋体"/>
                <w:sz w:val="24"/>
              </w:rPr>
            </w:pPr>
            <w:r>
              <w:rPr>
                <w:rFonts w:hint="eastAsia" w:ascii="宋体" w:hAnsi="宋体" w:cs="宋体"/>
                <w:sz w:val="24"/>
              </w:rPr>
              <w:t>以保险公司电子保险合同（电子保险单）形式提交。采用电子保险合同（电子保险单）递交投标保证金的，投标人需在雅安市公共资源交易平台建设工程交易系统中在线选择保险公司投保，且保费应当从其基本账户转出，开标时以系统中的《投标保证金缴纳情况汇总表》为准。凡未按要求有效投保导致系统不能准确显示投保信息的，责任由投标人自负。</w:t>
            </w:r>
          </w:p>
          <w:p w14:paraId="02F2237B">
            <w:pPr>
              <w:adjustRightInd w:val="0"/>
              <w:snapToGrid w:val="0"/>
              <w:spacing w:line="360" w:lineRule="auto"/>
              <w:rPr>
                <w:rFonts w:ascii="宋体" w:hAnsi="宋体" w:cs="宋体"/>
                <w:b/>
                <w:sz w:val="24"/>
              </w:rPr>
            </w:pPr>
            <w:r>
              <w:rPr>
                <w:rFonts w:hint="eastAsia" w:ascii="宋体" w:hAnsi="宋体" w:cs="宋体"/>
                <w:b/>
                <w:sz w:val="24"/>
              </w:rPr>
              <w:t>（四）采用担保保函方式提交：</w:t>
            </w:r>
          </w:p>
          <w:p w14:paraId="0756F4E2">
            <w:pPr>
              <w:spacing w:line="360" w:lineRule="auto"/>
              <w:ind w:firstLine="480" w:firstLineChars="200"/>
              <w:rPr>
                <w:rFonts w:ascii="宋体" w:hAnsi="宋体" w:cs="宋体"/>
                <w:sz w:val="24"/>
              </w:rPr>
            </w:pPr>
            <w:r>
              <w:rPr>
                <w:rFonts w:hint="eastAsia" w:ascii="宋体" w:hAnsi="宋体" w:cs="宋体"/>
                <w:sz w:val="24"/>
              </w:rPr>
              <w:t>以担保公司电子保函形式提交。采用电子保函递交投标保证金的，投标人需在雅安市公共资源交易平台建设工程交易系统中在线选择担保公司投保，且保费应当从其基本账户转出，开标时以系统中的《投标保证金缴纳情况汇总表》为准。凡未按要求有效投保导致系统不能准确显示投保信息的，责任由投标人自负。</w:t>
            </w:r>
          </w:p>
        </w:tc>
      </w:tr>
      <w:tr w14:paraId="5FC0550D">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6283466">
            <w:pPr>
              <w:spacing w:line="360" w:lineRule="auto"/>
              <w:jc w:val="center"/>
              <w:rPr>
                <w:rFonts w:ascii="宋体" w:hAnsi="宋体" w:cs="宋体"/>
                <w:sz w:val="24"/>
              </w:rPr>
            </w:pPr>
            <w:r>
              <w:rPr>
                <w:rFonts w:hint="eastAsia" w:ascii="宋体" w:hAnsi="宋体" w:cs="宋体"/>
                <w:sz w:val="24"/>
              </w:rPr>
              <w:t>3.4.3</w:t>
            </w:r>
          </w:p>
        </w:tc>
        <w:tc>
          <w:tcPr>
            <w:tcW w:w="2252" w:type="dxa"/>
            <w:tcBorders>
              <w:top w:val="single" w:color="auto" w:sz="4" w:space="0"/>
              <w:left w:val="single" w:color="auto" w:sz="4" w:space="0"/>
              <w:bottom w:val="single" w:color="auto" w:sz="4" w:space="0"/>
              <w:right w:val="single" w:color="auto" w:sz="4" w:space="0"/>
            </w:tcBorders>
            <w:vAlign w:val="center"/>
          </w:tcPr>
          <w:p w14:paraId="515DBAED">
            <w:pPr>
              <w:spacing w:line="360" w:lineRule="auto"/>
              <w:jc w:val="center"/>
              <w:rPr>
                <w:rFonts w:ascii="宋体" w:hAnsi="宋体" w:cs="宋体"/>
                <w:sz w:val="24"/>
              </w:rPr>
            </w:pPr>
            <w:r>
              <w:rPr>
                <w:rFonts w:hint="eastAsia" w:ascii="宋体" w:hAnsi="宋体" w:cs="宋体"/>
                <w:sz w:val="24"/>
              </w:rPr>
              <w:t>投标保证金</w:t>
            </w:r>
          </w:p>
          <w:p w14:paraId="2B0BC88A">
            <w:pPr>
              <w:spacing w:line="360" w:lineRule="auto"/>
              <w:jc w:val="center"/>
              <w:rPr>
                <w:rFonts w:ascii="宋体" w:hAnsi="宋体" w:cs="宋体"/>
                <w:sz w:val="24"/>
              </w:rPr>
            </w:pPr>
            <w:r>
              <w:rPr>
                <w:rFonts w:hint="eastAsia" w:ascii="宋体" w:hAnsi="宋体" w:cs="宋体"/>
                <w:sz w:val="24"/>
              </w:rPr>
              <w:t>的退还</w:t>
            </w:r>
          </w:p>
        </w:tc>
        <w:tc>
          <w:tcPr>
            <w:tcW w:w="6437" w:type="dxa"/>
            <w:tcBorders>
              <w:top w:val="single" w:color="auto" w:sz="4" w:space="0"/>
              <w:left w:val="single" w:color="auto" w:sz="4" w:space="0"/>
              <w:bottom w:val="single" w:color="auto" w:sz="4" w:space="0"/>
              <w:right w:val="single" w:color="auto" w:sz="4" w:space="0"/>
            </w:tcBorders>
            <w:vAlign w:val="center"/>
          </w:tcPr>
          <w:p w14:paraId="045BDB49">
            <w:pPr>
              <w:widowControl/>
              <w:adjustRightInd w:val="0"/>
              <w:snapToGrid w:val="0"/>
              <w:spacing w:line="360" w:lineRule="auto"/>
              <w:jc w:val="left"/>
              <w:rPr>
                <w:rFonts w:ascii="宋体" w:hAnsi="宋体" w:cs="宋体"/>
                <w:sz w:val="24"/>
              </w:rPr>
            </w:pPr>
            <w:r>
              <w:rPr>
                <w:rFonts w:hint="eastAsia" w:ascii="宋体" w:hAnsi="宋体" w:cs="宋体"/>
                <w:sz w:val="24"/>
                <w:lang w:bidi="ar"/>
              </w:rPr>
              <w:t>（一）保证金缴纳截止时间保证金缴纳满足三家正常开标的，项目发布中标结果公示后，由中心直接退还所有非中标候选人的投标保证金；项目发布合同公示后，由中心直接退还所有中标候选人（含中标人）的投标保证金。</w:t>
            </w:r>
          </w:p>
          <w:p w14:paraId="5A5C0FBA">
            <w:pPr>
              <w:widowControl/>
              <w:adjustRightInd w:val="0"/>
              <w:snapToGrid w:val="0"/>
              <w:spacing w:line="360" w:lineRule="auto"/>
              <w:jc w:val="left"/>
              <w:rPr>
                <w:rFonts w:ascii="宋体" w:hAnsi="宋体" w:cs="宋体"/>
                <w:sz w:val="24"/>
              </w:rPr>
            </w:pPr>
            <w:r>
              <w:rPr>
                <w:rFonts w:hint="eastAsia" w:ascii="宋体" w:hAnsi="宋体" w:cs="宋体"/>
                <w:sz w:val="24"/>
                <w:lang w:bidi="ar"/>
              </w:rPr>
              <w:t>（二）保证金缴纳截止时间保证金缴纳不足三家自动流标的，投标文件递交截止时间后，由中心直接退还所有已缴纳的投标保证金。</w:t>
            </w:r>
          </w:p>
          <w:p w14:paraId="3BBFA914">
            <w:pPr>
              <w:spacing w:line="360" w:lineRule="auto"/>
              <w:rPr>
                <w:rFonts w:ascii="宋体" w:hAnsi="宋体" w:cs="宋体"/>
                <w:sz w:val="24"/>
              </w:rPr>
            </w:pPr>
            <w:r>
              <w:rPr>
                <w:rFonts w:hint="eastAsia" w:ascii="宋体" w:hAnsi="宋体" w:cs="宋体"/>
                <w:kern w:val="0"/>
                <w:sz w:val="24"/>
                <w:lang w:bidi="ar"/>
              </w:rPr>
              <w:t>（三）招标人或代理机构发布了流标公示或终止公告的，流标公示或终止公告发布后（若为投标文件递交截止时间前发布终止公告，则为投标文件递交截止时间后），由中心直接退还所有已缴纳的投标保证金。</w:t>
            </w:r>
          </w:p>
        </w:tc>
      </w:tr>
      <w:tr w14:paraId="1FD97A0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179E67D">
            <w:pPr>
              <w:spacing w:line="440" w:lineRule="exact"/>
              <w:jc w:val="center"/>
              <w:rPr>
                <w:rFonts w:ascii="宋体" w:hAnsi="宋体" w:cs="宋体"/>
                <w:sz w:val="24"/>
              </w:rPr>
            </w:pPr>
            <w:r>
              <w:rPr>
                <w:rFonts w:hint="eastAsia" w:ascii="宋体" w:hAnsi="宋体" w:cs="宋体"/>
                <w:sz w:val="24"/>
              </w:rPr>
              <w:t>3.4.4</w:t>
            </w:r>
          </w:p>
        </w:tc>
        <w:tc>
          <w:tcPr>
            <w:tcW w:w="2252" w:type="dxa"/>
            <w:tcBorders>
              <w:top w:val="single" w:color="auto" w:sz="4" w:space="0"/>
              <w:left w:val="single" w:color="auto" w:sz="4" w:space="0"/>
              <w:bottom w:val="single" w:color="auto" w:sz="4" w:space="0"/>
              <w:right w:val="single" w:color="auto" w:sz="4" w:space="0"/>
            </w:tcBorders>
            <w:vAlign w:val="center"/>
          </w:tcPr>
          <w:p w14:paraId="71B9B9C7">
            <w:pPr>
              <w:spacing w:line="360" w:lineRule="auto"/>
              <w:jc w:val="center"/>
              <w:rPr>
                <w:rFonts w:ascii="宋体" w:hAnsi="宋体" w:cs="宋体"/>
                <w:sz w:val="24"/>
              </w:rPr>
            </w:pPr>
            <w:r>
              <w:rPr>
                <w:rFonts w:hint="eastAsia" w:ascii="宋体" w:hAnsi="宋体"/>
                <w:sz w:val="24"/>
              </w:rPr>
              <w:t>投标保证金不予退还的情形</w:t>
            </w:r>
          </w:p>
        </w:tc>
        <w:tc>
          <w:tcPr>
            <w:tcW w:w="6437" w:type="dxa"/>
            <w:tcBorders>
              <w:top w:val="single" w:color="auto" w:sz="4" w:space="0"/>
              <w:left w:val="single" w:color="auto" w:sz="4" w:space="0"/>
              <w:bottom w:val="single" w:color="auto" w:sz="4" w:space="0"/>
              <w:right w:val="single" w:color="auto" w:sz="4" w:space="0"/>
            </w:tcBorders>
            <w:vAlign w:val="center"/>
          </w:tcPr>
          <w:p w14:paraId="49132018">
            <w:pPr>
              <w:adjustRightInd w:val="0"/>
              <w:snapToGrid w:val="0"/>
              <w:spacing w:line="360" w:lineRule="auto"/>
              <w:rPr>
                <w:rFonts w:ascii="宋体" w:hAnsi="宋体" w:cs="宋体"/>
                <w:sz w:val="24"/>
              </w:rPr>
            </w:pPr>
            <w:r>
              <w:rPr>
                <w:rFonts w:hint="eastAsia" w:ascii="宋体" w:hAnsi="宋体" w:cs="宋体"/>
                <w:sz w:val="24"/>
              </w:rPr>
              <w:t>在投标活动中，投标人串通投标、弄虚作假，</w:t>
            </w:r>
            <w:r>
              <w:rPr>
                <w:rFonts w:hint="eastAsia" w:ascii="宋体" w:hAnsi="宋体"/>
                <w:sz w:val="24"/>
              </w:rPr>
              <w:t>中标人在收到中标通知书后，无正当理由拒签合同协议书的</w:t>
            </w:r>
            <w:r>
              <w:rPr>
                <w:rFonts w:ascii="宋体" w:hAnsi="宋体"/>
                <w:sz w:val="24"/>
              </w:rPr>
              <w:t>，</w:t>
            </w:r>
            <w:r>
              <w:rPr>
                <w:rFonts w:hint="eastAsia" w:ascii="宋体" w:hAnsi="宋体" w:cs="宋体"/>
                <w:sz w:val="24"/>
              </w:rPr>
              <w:t>投标保证金也不予退还。</w:t>
            </w:r>
          </w:p>
          <w:p w14:paraId="46F30D19">
            <w:pPr>
              <w:spacing w:line="360" w:lineRule="auto"/>
              <w:rPr>
                <w:rFonts w:ascii="宋体" w:hAnsi="宋体" w:cs="宋体"/>
                <w:sz w:val="24"/>
              </w:rPr>
            </w:pPr>
            <w:r>
              <w:rPr>
                <w:rFonts w:hint="eastAsia" w:ascii="宋体" w:hAnsi="宋体" w:cs="宋体"/>
                <w:sz w:val="24"/>
              </w:rPr>
              <w:t>其他情形：</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w:t>
            </w:r>
          </w:p>
        </w:tc>
      </w:tr>
      <w:tr w14:paraId="36ACDA6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E9A8148">
            <w:pPr>
              <w:spacing w:line="440" w:lineRule="exact"/>
              <w:jc w:val="center"/>
              <w:rPr>
                <w:rFonts w:ascii="宋体" w:hAnsi="宋体" w:cs="宋体"/>
                <w:sz w:val="24"/>
              </w:rPr>
            </w:pPr>
            <w:r>
              <w:rPr>
                <w:rFonts w:hint="eastAsia" w:ascii="宋体" w:hAnsi="宋体" w:cs="宋体"/>
                <w:sz w:val="24"/>
              </w:rPr>
              <w:t>3.5.2</w:t>
            </w:r>
          </w:p>
        </w:tc>
        <w:tc>
          <w:tcPr>
            <w:tcW w:w="2252" w:type="dxa"/>
            <w:tcBorders>
              <w:top w:val="single" w:color="auto" w:sz="4" w:space="0"/>
              <w:left w:val="single" w:color="auto" w:sz="4" w:space="0"/>
              <w:bottom w:val="single" w:color="auto" w:sz="4" w:space="0"/>
              <w:right w:val="single" w:color="auto" w:sz="4" w:space="0"/>
            </w:tcBorders>
            <w:vAlign w:val="center"/>
          </w:tcPr>
          <w:p w14:paraId="000C5BB0">
            <w:pPr>
              <w:spacing w:line="440" w:lineRule="exact"/>
              <w:jc w:val="center"/>
              <w:rPr>
                <w:rFonts w:ascii="宋体" w:hAnsi="宋体" w:cs="宋体"/>
                <w:sz w:val="24"/>
              </w:rPr>
            </w:pPr>
            <w:r>
              <w:rPr>
                <w:rFonts w:hint="eastAsia" w:ascii="宋体" w:hAnsi="宋体" w:cs="宋体"/>
                <w:sz w:val="24"/>
              </w:rPr>
              <w:t>近年财务状况</w:t>
            </w:r>
          </w:p>
        </w:tc>
        <w:tc>
          <w:tcPr>
            <w:tcW w:w="6437" w:type="dxa"/>
            <w:tcBorders>
              <w:top w:val="single" w:color="auto" w:sz="4" w:space="0"/>
              <w:left w:val="single" w:color="auto" w:sz="4" w:space="0"/>
              <w:bottom w:val="single" w:color="auto" w:sz="4" w:space="0"/>
              <w:right w:val="single" w:color="auto" w:sz="4" w:space="0"/>
            </w:tcBorders>
            <w:vAlign w:val="center"/>
          </w:tcPr>
          <w:p w14:paraId="1D0ACE0E">
            <w:pPr>
              <w:adjustRightInd w:val="0"/>
              <w:snapToGrid w:val="0"/>
              <w:spacing w:line="360" w:lineRule="auto"/>
              <w:rPr>
                <w:rFonts w:ascii="宋体" w:hAnsi="宋体" w:cs="宋体"/>
                <w:sz w:val="24"/>
              </w:rPr>
            </w:pPr>
            <w:sdt>
              <w:sdtPr>
                <w:rPr>
                  <w:rFonts w:hint="eastAsia" w:ascii="宋体" w:hAnsi="宋体" w:cs="宋体"/>
                  <w:sz w:val="24"/>
                </w:rPr>
                <w:id w:val="-1291354220"/>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无</w:t>
            </w:r>
          </w:p>
          <w:p w14:paraId="3EFDAE0E">
            <w:pPr>
              <w:spacing w:line="440" w:lineRule="exact"/>
              <w:rPr>
                <w:rFonts w:ascii="宋体" w:hAnsi="宋体" w:cs="宋体"/>
                <w:sz w:val="24"/>
              </w:rPr>
            </w:pPr>
            <w:sdt>
              <w:sdtPr>
                <w:rPr>
                  <w:rFonts w:hint="eastAsia" w:ascii="宋体" w:hAnsi="宋体" w:cs="宋体"/>
                  <w:sz w:val="24"/>
                </w:rPr>
                <w:id w:val="-922023152"/>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有，具体要求：近</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年</w:t>
            </w:r>
          </w:p>
        </w:tc>
      </w:tr>
      <w:tr w14:paraId="7176C81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95A1CA3">
            <w:pPr>
              <w:spacing w:line="440" w:lineRule="exact"/>
              <w:jc w:val="center"/>
              <w:rPr>
                <w:rFonts w:ascii="宋体" w:hAnsi="宋体" w:cs="宋体"/>
                <w:sz w:val="24"/>
              </w:rPr>
            </w:pPr>
            <w:r>
              <w:rPr>
                <w:rFonts w:hint="eastAsia" w:ascii="宋体" w:hAnsi="宋体" w:cs="宋体"/>
                <w:sz w:val="24"/>
              </w:rPr>
              <w:t>3.5.3</w:t>
            </w:r>
          </w:p>
        </w:tc>
        <w:tc>
          <w:tcPr>
            <w:tcW w:w="2252" w:type="dxa"/>
            <w:tcBorders>
              <w:top w:val="single" w:color="auto" w:sz="4" w:space="0"/>
              <w:left w:val="single" w:color="auto" w:sz="4" w:space="0"/>
              <w:bottom w:val="single" w:color="auto" w:sz="4" w:space="0"/>
              <w:right w:val="single" w:color="auto" w:sz="4" w:space="0"/>
            </w:tcBorders>
            <w:vAlign w:val="center"/>
          </w:tcPr>
          <w:p w14:paraId="042330D1">
            <w:pPr>
              <w:spacing w:line="440" w:lineRule="exact"/>
              <w:jc w:val="center"/>
              <w:rPr>
                <w:rFonts w:ascii="宋体" w:hAnsi="宋体" w:cs="宋体"/>
                <w:sz w:val="24"/>
              </w:rPr>
            </w:pPr>
            <w:r>
              <w:rPr>
                <w:rFonts w:hint="eastAsia" w:ascii="宋体" w:hAnsi="宋体" w:cs="宋体"/>
                <w:sz w:val="24"/>
              </w:rPr>
              <w:t>近年完成的类似项目</w:t>
            </w:r>
          </w:p>
        </w:tc>
        <w:tc>
          <w:tcPr>
            <w:tcW w:w="6437" w:type="dxa"/>
            <w:tcBorders>
              <w:top w:val="single" w:color="auto" w:sz="4" w:space="0"/>
              <w:left w:val="single" w:color="auto" w:sz="4" w:space="0"/>
              <w:bottom w:val="single" w:color="auto" w:sz="4" w:space="0"/>
              <w:right w:val="single" w:color="auto" w:sz="4" w:space="0"/>
            </w:tcBorders>
            <w:vAlign w:val="center"/>
          </w:tcPr>
          <w:p w14:paraId="12C5C146">
            <w:pPr>
              <w:widowControl/>
              <w:adjustRightInd w:val="0"/>
              <w:snapToGrid w:val="0"/>
              <w:spacing w:line="360" w:lineRule="auto"/>
              <w:jc w:val="left"/>
              <w:rPr>
                <w:rFonts w:ascii="宋体" w:hAnsi="宋体" w:cs="Arial"/>
                <w:kern w:val="0"/>
                <w:sz w:val="24"/>
              </w:rPr>
            </w:pPr>
            <w:sdt>
              <w:sdtPr>
                <w:rPr>
                  <w:rFonts w:hint="eastAsia" w:ascii="宋体" w:hAnsi="宋体" w:cs="Arial"/>
                  <w:kern w:val="0"/>
                  <w:sz w:val="24"/>
                </w:rPr>
                <w:id w:val="218717785"/>
                <w14:checkbox>
                  <w14:checked w14:val="0"/>
                  <w14:checkedState w14:val="2611" w14:font="MS Gothic"/>
                  <w14:uncheckedState w14:val="2610" w14:font="MS Gothic"/>
                </w14:checkbox>
              </w:sdtPr>
              <w:sdtEndPr>
                <w:rPr>
                  <w:rFonts w:hint="eastAsia" w:ascii="宋体" w:hAnsi="宋体" w:cs="Arial"/>
                  <w:kern w:val="0"/>
                  <w:sz w:val="24"/>
                </w:rPr>
              </w:sdtEndPr>
              <w:sdtContent>
                <w:r>
                  <w:rPr>
                    <w:rFonts w:hint="eastAsia" w:ascii="MS Gothic" w:hAnsi="MS Gothic" w:eastAsia="MS Gothic" w:cs="MS Gothic"/>
                    <w:kern w:val="0"/>
                    <w:sz w:val="24"/>
                  </w:rPr>
                  <w:t>☐</w:t>
                </w:r>
              </w:sdtContent>
            </w:sdt>
            <w:r>
              <w:rPr>
                <w:rFonts w:hint="eastAsia" w:ascii="宋体" w:hAnsi="宋体" w:cs="Arial"/>
                <w:kern w:val="0"/>
                <w:sz w:val="24"/>
              </w:rPr>
              <w:t>无</w:t>
            </w:r>
          </w:p>
          <w:p w14:paraId="58A5DC25">
            <w:pPr>
              <w:spacing w:line="440" w:lineRule="exact"/>
              <w:rPr>
                <w:rFonts w:ascii="宋体" w:hAnsi="宋体" w:cs="宋体"/>
                <w:sz w:val="24"/>
              </w:rPr>
            </w:pPr>
            <w:sdt>
              <w:sdtPr>
                <w:rPr>
                  <w:rFonts w:hint="eastAsia" w:ascii="宋体" w:hAnsi="宋体" w:cs="Arial"/>
                  <w:kern w:val="0"/>
                  <w:sz w:val="24"/>
                </w:rPr>
                <w:id w:val="1741977704"/>
                <w14:checkbox>
                  <w14:checked w14:val="1"/>
                  <w14:checkedState w14:val="2611" w14:font="MS Gothic"/>
                  <w14:uncheckedState w14:val="2610" w14:font="MS Gothic"/>
                </w14:checkbox>
              </w:sdtPr>
              <w:sdtEndPr>
                <w:rPr>
                  <w:rFonts w:hint="eastAsia" w:ascii="宋体" w:hAnsi="宋体" w:cs="Arial"/>
                  <w:kern w:val="0"/>
                  <w:sz w:val="24"/>
                </w:rPr>
              </w:sdtEndPr>
              <w:sdtContent>
                <w:r>
                  <w:rPr>
                    <w:rFonts w:hint="eastAsia" w:ascii="MS Gothic" w:hAnsi="MS Gothic" w:eastAsia="MS Gothic" w:cs="MS Gothic"/>
                    <w:kern w:val="0"/>
                    <w:sz w:val="24"/>
                    <w:szCs w:val="24"/>
                    <w:lang w:val="en-US" w:eastAsia="zh-CN" w:bidi="ar-SA"/>
                  </w:rPr>
                  <w:t>☑</w:t>
                </w:r>
              </w:sdtContent>
            </w:sdt>
            <w:r>
              <w:rPr>
                <w:rFonts w:hint="eastAsia" w:ascii="宋体" w:hAnsi="宋体" w:cs="Arial"/>
                <w:kern w:val="0"/>
                <w:sz w:val="24"/>
              </w:rPr>
              <w:t>有</w:t>
            </w:r>
            <w:r>
              <w:rPr>
                <w:rFonts w:hint="eastAsia" w:ascii="宋体" w:hAnsi="宋体" w:cs="宋体"/>
                <w:kern w:val="0"/>
                <w:sz w:val="24"/>
              </w:rPr>
              <w:t>，具体要求：</w:t>
            </w:r>
            <w:r>
              <w:rPr>
                <w:rFonts w:hint="eastAsia" w:ascii="宋体" w:hAnsi="宋体" w:cs="宋体"/>
                <w:kern w:val="0"/>
                <w:sz w:val="24"/>
                <w:u w:val="single"/>
              </w:rPr>
              <w:t xml:space="preserve">  </w:t>
            </w:r>
            <w:r>
              <w:rPr>
                <w:rFonts w:hint="eastAsia" w:ascii="宋体" w:hAnsi="宋体" w:cs="宋体"/>
                <w:kern w:val="0"/>
                <w:sz w:val="24"/>
                <w:u w:val="single"/>
                <w:lang w:val="en-US" w:eastAsia="zh-CN"/>
              </w:rPr>
              <w:t>2022</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u w:val="single"/>
                <w:lang w:val="en-US" w:eastAsia="zh-CN"/>
              </w:rPr>
              <w:t>1</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u w:val="single"/>
                <w:lang w:val="en-US" w:eastAsia="zh-CN"/>
              </w:rPr>
              <w:t>1</w:t>
            </w:r>
            <w:r>
              <w:rPr>
                <w:rFonts w:hint="eastAsia" w:ascii="宋体" w:hAnsi="宋体" w:cs="宋体"/>
                <w:kern w:val="0"/>
                <w:sz w:val="24"/>
                <w:u w:val="single"/>
              </w:rPr>
              <w:t xml:space="preserve"> </w:t>
            </w:r>
            <w:r>
              <w:rPr>
                <w:rFonts w:hint="eastAsia" w:ascii="宋体" w:hAnsi="宋体" w:cs="宋体"/>
                <w:kern w:val="0"/>
                <w:sz w:val="24"/>
              </w:rPr>
              <w:t>日至投标截止时间</w:t>
            </w:r>
          </w:p>
        </w:tc>
      </w:tr>
      <w:tr w14:paraId="1E4FF215">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FECF878">
            <w:pPr>
              <w:spacing w:line="440" w:lineRule="exact"/>
              <w:jc w:val="center"/>
              <w:rPr>
                <w:rFonts w:ascii="宋体" w:hAnsi="宋体" w:cs="宋体"/>
                <w:sz w:val="24"/>
              </w:rPr>
            </w:pPr>
            <w:r>
              <w:rPr>
                <w:rFonts w:hint="eastAsia" w:ascii="宋体" w:hAnsi="宋体" w:cs="宋体"/>
                <w:sz w:val="24"/>
              </w:rPr>
              <w:t>3.5.5</w:t>
            </w:r>
          </w:p>
        </w:tc>
        <w:tc>
          <w:tcPr>
            <w:tcW w:w="2252" w:type="dxa"/>
            <w:tcBorders>
              <w:top w:val="single" w:color="auto" w:sz="4" w:space="0"/>
              <w:left w:val="single" w:color="auto" w:sz="4" w:space="0"/>
              <w:bottom w:val="single" w:color="auto" w:sz="4" w:space="0"/>
              <w:right w:val="single" w:color="auto" w:sz="4" w:space="0"/>
            </w:tcBorders>
            <w:vAlign w:val="center"/>
          </w:tcPr>
          <w:p w14:paraId="67FFCAE6">
            <w:pPr>
              <w:spacing w:line="440" w:lineRule="exact"/>
              <w:jc w:val="center"/>
              <w:rPr>
                <w:rFonts w:ascii="宋体" w:hAnsi="宋体" w:cs="宋体"/>
                <w:sz w:val="24"/>
              </w:rPr>
            </w:pPr>
            <w:r>
              <w:rPr>
                <w:rFonts w:hint="eastAsia" w:ascii="宋体" w:hAnsi="宋体" w:cs="宋体"/>
                <w:sz w:val="24"/>
              </w:rPr>
              <w:t>近年发生的重大诉讼及仲裁情况</w:t>
            </w:r>
          </w:p>
        </w:tc>
        <w:tc>
          <w:tcPr>
            <w:tcW w:w="6437" w:type="dxa"/>
            <w:tcBorders>
              <w:top w:val="single" w:color="auto" w:sz="4" w:space="0"/>
              <w:left w:val="single" w:color="auto" w:sz="4" w:space="0"/>
              <w:bottom w:val="single" w:color="auto" w:sz="4" w:space="0"/>
              <w:right w:val="single" w:color="auto" w:sz="4" w:space="0"/>
            </w:tcBorders>
            <w:vAlign w:val="center"/>
          </w:tcPr>
          <w:p w14:paraId="3044D356">
            <w:pPr>
              <w:spacing w:line="360" w:lineRule="auto"/>
              <w:rPr>
                <w:rFonts w:ascii="宋体" w:hAnsi="宋体" w:cs="Arial"/>
                <w:kern w:val="0"/>
                <w:sz w:val="28"/>
                <w:szCs w:val="28"/>
              </w:rPr>
            </w:pPr>
            <w:sdt>
              <w:sdtPr>
                <w:rPr>
                  <w:rFonts w:hint="eastAsia" w:ascii="宋体" w:hAnsi="宋体" w:cs="Arial"/>
                  <w:kern w:val="0"/>
                  <w:sz w:val="24"/>
                </w:rPr>
                <w:id w:val="1353149946"/>
                <w14:checkbox>
                  <w14:checked w14:val="1"/>
                  <w14:checkedState w14:val="2611" w14:font="MS Gothic"/>
                  <w14:uncheckedState w14:val="2610" w14:font="MS Gothic"/>
                </w14:checkbox>
              </w:sdtPr>
              <w:sdtEndPr>
                <w:rPr>
                  <w:rFonts w:hint="eastAsia" w:ascii="宋体" w:hAnsi="宋体" w:cs="Arial"/>
                  <w:kern w:val="0"/>
                  <w:sz w:val="24"/>
                </w:rPr>
              </w:sdtEndPr>
              <w:sdtContent>
                <w:r>
                  <w:rPr>
                    <w:rFonts w:hint="eastAsia" w:ascii="MS Gothic" w:hAnsi="MS Gothic" w:eastAsia="MS Gothic" w:cs="MS Gothic"/>
                    <w:kern w:val="0"/>
                    <w:sz w:val="24"/>
                    <w:szCs w:val="24"/>
                    <w:lang w:val="en-US" w:eastAsia="zh-CN" w:bidi="ar-SA"/>
                  </w:rPr>
                  <w:t>☑</w:t>
                </w:r>
              </w:sdtContent>
            </w:sdt>
            <w:r>
              <w:rPr>
                <w:rFonts w:hint="eastAsia" w:ascii="宋体" w:hAnsi="宋体" w:cs="Arial"/>
                <w:kern w:val="0"/>
                <w:sz w:val="24"/>
              </w:rPr>
              <w:t>本次投标不提供</w:t>
            </w:r>
          </w:p>
          <w:p w14:paraId="20E0174B">
            <w:pPr>
              <w:spacing w:line="440" w:lineRule="exact"/>
              <w:rPr>
                <w:rFonts w:ascii="宋体" w:hAnsi="宋体" w:cs="宋体"/>
                <w:sz w:val="24"/>
              </w:rPr>
            </w:pPr>
            <w:sdt>
              <w:sdtPr>
                <w:rPr>
                  <w:rFonts w:hint="eastAsia" w:ascii="宋体" w:hAnsi="宋体" w:cs="宋体"/>
                  <w:sz w:val="24"/>
                </w:rPr>
                <w:id w:val="1443116626"/>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具体要求：</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日至投标截止时间</w:t>
            </w:r>
          </w:p>
        </w:tc>
      </w:tr>
      <w:tr w14:paraId="7E4B9FE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4ACFF81">
            <w:pPr>
              <w:spacing w:line="440" w:lineRule="exact"/>
              <w:jc w:val="center"/>
              <w:rPr>
                <w:rFonts w:ascii="宋体" w:hAnsi="宋体" w:cs="宋体"/>
                <w:sz w:val="24"/>
              </w:rPr>
            </w:pPr>
            <w:r>
              <w:rPr>
                <w:rFonts w:hint="eastAsia" w:ascii="宋体" w:hAnsi="宋体" w:cs="宋体"/>
                <w:sz w:val="24"/>
              </w:rPr>
              <w:t>3.6</w:t>
            </w:r>
          </w:p>
        </w:tc>
        <w:tc>
          <w:tcPr>
            <w:tcW w:w="2252" w:type="dxa"/>
            <w:tcBorders>
              <w:top w:val="single" w:color="auto" w:sz="4" w:space="0"/>
              <w:left w:val="single" w:color="auto" w:sz="4" w:space="0"/>
              <w:bottom w:val="single" w:color="auto" w:sz="4" w:space="0"/>
              <w:right w:val="single" w:color="auto" w:sz="4" w:space="0"/>
            </w:tcBorders>
            <w:vAlign w:val="center"/>
          </w:tcPr>
          <w:p w14:paraId="78B7AA3E">
            <w:pPr>
              <w:spacing w:line="440" w:lineRule="exact"/>
              <w:jc w:val="center"/>
              <w:rPr>
                <w:rFonts w:ascii="宋体" w:hAnsi="宋体" w:cs="宋体"/>
                <w:sz w:val="24"/>
              </w:rPr>
            </w:pPr>
            <w:r>
              <w:rPr>
                <w:rFonts w:hint="eastAsia" w:ascii="宋体" w:hAnsi="宋体" w:cs="宋体"/>
                <w:sz w:val="24"/>
              </w:rPr>
              <w:t>是否允许递交备选投标方案</w:t>
            </w:r>
          </w:p>
        </w:tc>
        <w:tc>
          <w:tcPr>
            <w:tcW w:w="6437" w:type="dxa"/>
            <w:tcBorders>
              <w:top w:val="single" w:color="auto" w:sz="4" w:space="0"/>
              <w:left w:val="single" w:color="auto" w:sz="4" w:space="0"/>
              <w:bottom w:val="single" w:color="auto" w:sz="4" w:space="0"/>
              <w:right w:val="single" w:color="auto" w:sz="4" w:space="0"/>
            </w:tcBorders>
            <w:vAlign w:val="center"/>
          </w:tcPr>
          <w:p w14:paraId="174C2C73">
            <w:pPr>
              <w:spacing w:line="360" w:lineRule="auto"/>
              <w:rPr>
                <w:rFonts w:ascii="宋体" w:hAnsi="宋体" w:cs="宋体"/>
                <w:sz w:val="24"/>
              </w:rPr>
            </w:pPr>
            <w:sdt>
              <w:sdtPr>
                <w:rPr>
                  <w:rFonts w:hint="eastAsia" w:ascii="宋体" w:hAnsi="宋体" w:cs="宋体"/>
                  <w:sz w:val="24"/>
                </w:rPr>
                <w:id w:val="-1508357027"/>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不允许</w:t>
            </w:r>
          </w:p>
          <w:p w14:paraId="27BE1E2A">
            <w:pPr>
              <w:spacing w:line="440" w:lineRule="exact"/>
              <w:rPr>
                <w:rFonts w:ascii="宋体" w:hAnsi="宋体" w:cs="宋体"/>
                <w:sz w:val="24"/>
              </w:rPr>
            </w:pPr>
            <w:sdt>
              <w:sdtPr>
                <w:rPr>
                  <w:rFonts w:hint="eastAsia" w:ascii="宋体" w:hAnsi="宋体" w:cs="宋体"/>
                  <w:sz w:val="24"/>
                </w:rPr>
                <w:id w:val="750397103"/>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允许</w:t>
            </w:r>
          </w:p>
        </w:tc>
      </w:tr>
      <w:tr w14:paraId="0B98A940">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3AEDF8B">
            <w:pPr>
              <w:spacing w:line="360" w:lineRule="auto"/>
              <w:jc w:val="center"/>
              <w:rPr>
                <w:rFonts w:ascii="宋体" w:hAnsi="宋体" w:cs="宋体"/>
                <w:sz w:val="24"/>
              </w:rPr>
            </w:pPr>
            <w:r>
              <w:rPr>
                <w:rFonts w:hint="eastAsia" w:ascii="宋体" w:hAnsi="宋体"/>
                <w:sz w:val="24"/>
              </w:rPr>
              <w:t>3.7.1</w:t>
            </w:r>
          </w:p>
        </w:tc>
        <w:tc>
          <w:tcPr>
            <w:tcW w:w="2252" w:type="dxa"/>
            <w:tcBorders>
              <w:top w:val="single" w:color="auto" w:sz="4" w:space="0"/>
              <w:left w:val="single" w:color="auto" w:sz="4" w:space="0"/>
              <w:bottom w:val="single" w:color="auto" w:sz="4" w:space="0"/>
              <w:right w:val="single" w:color="auto" w:sz="4" w:space="0"/>
            </w:tcBorders>
            <w:vAlign w:val="center"/>
          </w:tcPr>
          <w:p w14:paraId="58C88D3B">
            <w:pPr>
              <w:spacing w:line="360" w:lineRule="auto"/>
              <w:jc w:val="center"/>
              <w:rPr>
                <w:rFonts w:ascii="宋体" w:hAnsi="宋体" w:cs="宋体"/>
                <w:sz w:val="24"/>
              </w:rPr>
            </w:pPr>
            <w:r>
              <w:rPr>
                <w:rFonts w:hint="eastAsia" w:ascii="宋体" w:hAnsi="宋体"/>
                <w:sz w:val="24"/>
              </w:rPr>
              <w:t>投标文件格式</w:t>
            </w:r>
          </w:p>
        </w:tc>
        <w:tc>
          <w:tcPr>
            <w:tcW w:w="6437" w:type="dxa"/>
            <w:tcBorders>
              <w:top w:val="single" w:color="auto" w:sz="4" w:space="0"/>
              <w:left w:val="single" w:color="auto" w:sz="4" w:space="0"/>
              <w:bottom w:val="single" w:color="auto" w:sz="4" w:space="0"/>
              <w:right w:val="single" w:color="auto" w:sz="4" w:space="0"/>
            </w:tcBorders>
            <w:vAlign w:val="center"/>
          </w:tcPr>
          <w:p w14:paraId="52158082">
            <w:pPr>
              <w:adjustRightInd w:val="0"/>
              <w:snapToGrid w:val="0"/>
              <w:spacing w:line="360" w:lineRule="auto"/>
              <w:rPr>
                <w:rFonts w:ascii="宋体" w:hAnsi="宋体" w:cs="宋体"/>
                <w:sz w:val="24"/>
              </w:rPr>
            </w:pPr>
            <w:r>
              <w:rPr>
                <w:rFonts w:hint="eastAsia" w:ascii="宋体" w:hAnsi="宋体" w:cs="宋体"/>
                <w:sz w:val="24"/>
              </w:rPr>
              <w:t>（1）不得对招标文件规定的投标文件格式的内容进行改变原意或影响投标实质性的删减或修改。</w:t>
            </w:r>
          </w:p>
          <w:p w14:paraId="32D841E5">
            <w:pPr>
              <w:adjustRightInd w:val="0"/>
              <w:snapToGrid w:val="0"/>
              <w:spacing w:line="360" w:lineRule="auto"/>
              <w:rPr>
                <w:rFonts w:ascii="宋体" w:hAnsi="宋体" w:cs="宋体"/>
                <w:sz w:val="24"/>
              </w:rPr>
            </w:pPr>
            <w:r>
              <w:rPr>
                <w:rFonts w:hint="eastAsia" w:ascii="宋体" w:hAnsi="宋体" w:cs="宋体"/>
                <w:sz w:val="24"/>
              </w:rPr>
              <w:t>（2）投标人可以在投标文件格式内容之外另行说明和增加相关内容，作为投标文件的组成部分。另行说明或自行增加的内容、以及按投标文件格式在空格（下划线）由投标人填写的内容，不得与招标文件的强制性审查标准和禁止性规定相抵触。</w:t>
            </w:r>
          </w:p>
          <w:p w14:paraId="477C09B1">
            <w:pPr>
              <w:adjustRightInd w:val="0"/>
              <w:snapToGrid w:val="0"/>
              <w:spacing w:line="360" w:lineRule="auto"/>
              <w:rPr>
                <w:rFonts w:ascii="宋体" w:hAnsi="宋体" w:cs="宋体"/>
                <w:sz w:val="24"/>
              </w:rPr>
            </w:pPr>
            <w:r>
              <w:rPr>
                <w:rFonts w:hint="eastAsia" w:ascii="宋体" w:hAnsi="宋体" w:cs="宋体"/>
                <w:sz w:val="24"/>
              </w:rPr>
              <w:t>（3）按投标文件格式在空格（下划线）由投标人填写的内容，不需要填写的，可以在空格中用“/”标示，也可以不填（空白）。</w:t>
            </w:r>
          </w:p>
          <w:p w14:paraId="0C03A742">
            <w:pPr>
              <w:adjustRightInd w:val="0"/>
              <w:snapToGrid w:val="0"/>
              <w:spacing w:line="360" w:lineRule="auto"/>
              <w:rPr>
                <w:rFonts w:ascii="宋体" w:hAnsi="宋体" w:cs="宋体"/>
                <w:sz w:val="24"/>
              </w:rPr>
            </w:pPr>
            <w:r>
              <w:rPr>
                <w:rFonts w:hint="eastAsia" w:ascii="宋体" w:hAnsi="宋体" w:cs="宋体"/>
                <w:sz w:val="24"/>
              </w:rPr>
              <w:t>（4）投标文件应对招标文件提出的所有实质性要求和条件作出实质性响应，并且实质性响应的内容不得互相矛盾。</w:t>
            </w:r>
          </w:p>
          <w:p w14:paraId="5F31C2FC">
            <w:pPr>
              <w:adjustRightInd w:val="0"/>
              <w:snapToGrid w:val="0"/>
              <w:spacing w:line="360" w:lineRule="auto"/>
              <w:rPr>
                <w:rFonts w:ascii="宋体" w:hAnsi="宋体" w:cs="宋体"/>
                <w:sz w:val="24"/>
              </w:rPr>
            </w:pPr>
            <w:r>
              <w:rPr>
                <w:rFonts w:hint="eastAsia" w:ascii="宋体" w:hAnsi="宋体" w:cs="宋体"/>
                <w:sz w:val="24"/>
              </w:rPr>
              <w:t>（5）投标文件所附证明材料应清晰可辨。</w:t>
            </w:r>
          </w:p>
          <w:p w14:paraId="419C75B0">
            <w:pPr>
              <w:spacing w:line="360" w:lineRule="auto"/>
              <w:rPr>
                <w:rFonts w:ascii="宋体" w:hAnsi="宋体" w:cs="宋体"/>
                <w:sz w:val="24"/>
              </w:rPr>
            </w:pPr>
            <w:r>
              <w:rPr>
                <w:rFonts w:hint="eastAsia" w:ascii="宋体" w:hAnsi="宋体" w:cs="宋体"/>
                <w:sz w:val="24"/>
              </w:rPr>
              <w:t>（</w:t>
            </w:r>
            <w:r>
              <w:rPr>
                <w:rFonts w:ascii="宋体" w:hAnsi="宋体" w:cs="宋体"/>
                <w:sz w:val="24"/>
              </w:rPr>
              <w:t>6</w:t>
            </w:r>
            <w:r>
              <w:rPr>
                <w:rFonts w:hint="eastAsia" w:ascii="宋体" w:hAnsi="宋体" w:cs="宋体"/>
                <w:sz w:val="24"/>
              </w:rPr>
              <w:t>）投标文件应为使用符合系统要求的投标文件制作工具制作生成的</w:t>
            </w:r>
            <w:r>
              <w:rPr>
                <w:rFonts w:hint="eastAsia" w:ascii="宋体" w:hAnsi="宋体" w:cs="宋体"/>
                <w:sz w:val="24"/>
                <w:u w:val="single"/>
              </w:rPr>
              <w:t xml:space="preserve">   </w:t>
            </w:r>
            <w:r>
              <w:rPr>
                <w:rFonts w:ascii="宋体" w:hAnsi="宋体" w:cs="宋体"/>
                <w:sz w:val="24"/>
                <w:u w:val="single"/>
              </w:rPr>
              <w:t>xxx.TBJ</w:t>
            </w:r>
            <w:r>
              <w:rPr>
                <w:rFonts w:hint="eastAsia" w:ascii="宋体" w:hAnsi="宋体" w:cs="宋体"/>
                <w:sz w:val="24"/>
                <w:u w:val="single"/>
              </w:rPr>
              <w:t xml:space="preserve">   </w:t>
            </w:r>
            <w:r>
              <w:rPr>
                <w:rFonts w:hint="eastAsia" w:ascii="宋体" w:hAnsi="宋体" w:cs="宋体"/>
                <w:sz w:val="24"/>
              </w:rPr>
              <w:t>格式文件。</w:t>
            </w:r>
          </w:p>
        </w:tc>
      </w:tr>
      <w:tr w14:paraId="11079B54">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440E49F">
            <w:pPr>
              <w:spacing w:line="440" w:lineRule="exact"/>
              <w:jc w:val="center"/>
              <w:rPr>
                <w:rFonts w:ascii="宋体" w:hAnsi="宋体" w:cs="宋体"/>
                <w:sz w:val="24"/>
              </w:rPr>
            </w:pPr>
            <w:r>
              <w:rPr>
                <w:rFonts w:hint="eastAsia" w:ascii="宋体" w:hAnsi="宋体" w:cs="宋体"/>
                <w:sz w:val="24"/>
              </w:rPr>
              <w:t>3.7.3</w:t>
            </w:r>
          </w:p>
        </w:tc>
        <w:tc>
          <w:tcPr>
            <w:tcW w:w="2252" w:type="dxa"/>
            <w:tcBorders>
              <w:top w:val="single" w:color="auto" w:sz="4" w:space="0"/>
              <w:left w:val="single" w:color="auto" w:sz="4" w:space="0"/>
              <w:bottom w:val="single" w:color="auto" w:sz="4" w:space="0"/>
              <w:right w:val="single" w:color="auto" w:sz="4" w:space="0"/>
            </w:tcBorders>
            <w:vAlign w:val="center"/>
          </w:tcPr>
          <w:p w14:paraId="173FE2E9">
            <w:pPr>
              <w:spacing w:line="440" w:lineRule="exact"/>
              <w:jc w:val="center"/>
              <w:rPr>
                <w:rFonts w:ascii="宋体" w:hAnsi="宋体" w:cs="宋体"/>
                <w:sz w:val="24"/>
              </w:rPr>
            </w:pPr>
            <w:r>
              <w:rPr>
                <w:rFonts w:hint="eastAsia" w:ascii="宋体" w:hAnsi="宋体" w:cs="宋体"/>
                <w:sz w:val="24"/>
              </w:rPr>
              <w:t>签字或盖章要求</w:t>
            </w:r>
          </w:p>
        </w:tc>
        <w:tc>
          <w:tcPr>
            <w:tcW w:w="6437" w:type="dxa"/>
            <w:tcBorders>
              <w:top w:val="single" w:color="auto" w:sz="4" w:space="0"/>
              <w:left w:val="single" w:color="auto" w:sz="4" w:space="0"/>
              <w:bottom w:val="single" w:color="auto" w:sz="4" w:space="0"/>
              <w:right w:val="single" w:color="auto" w:sz="4" w:space="0"/>
            </w:tcBorders>
            <w:vAlign w:val="center"/>
          </w:tcPr>
          <w:p w14:paraId="228A3996">
            <w:pPr>
              <w:adjustRightInd w:val="0"/>
              <w:snapToGrid w:val="0"/>
              <w:spacing w:line="360" w:lineRule="auto"/>
              <w:rPr>
                <w:rFonts w:ascii="宋体" w:hAnsi="宋体" w:cs="宋体"/>
                <w:sz w:val="24"/>
              </w:rPr>
            </w:pPr>
            <w:r>
              <w:rPr>
                <w:rFonts w:hint="eastAsia" w:ascii="宋体" w:hAnsi="宋体" w:cs="宋体"/>
                <w:sz w:val="24"/>
              </w:rPr>
              <w:t>（1）数据电文形式投标文件中所有要求签字的地方</w:t>
            </w:r>
            <w:r>
              <w:rPr>
                <w:rFonts w:ascii="宋体" w:hAnsi="宋体" w:cs="宋体"/>
                <w:sz w:val="24"/>
              </w:rPr>
              <w:t>应</w:t>
            </w:r>
            <w:r>
              <w:rPr>
                <w:rFonts w:hint="eastAsia" w:ascii="宋体" w:hAnsi="宋体" w:cs="宋体"/>
                <w:sz w:val="24"/>
              </w:rPr>
              <w:t>使用电子签章。</w:t>
            </w:r>
            <w:r>
              <w:rPr>
                <w:rFonts w:ascii="宋体" w:hAnsi="宋体" w:cs="宋体"/>
                <w:sz w:val="24"/>
              </w:rPr>
              <w:t>过渡期内</w:t>
            </w:r>
            <w:r>
              <w:rPr>
                <w:rFonts w:hint="eastAsia" w:ascii="宋体" w:hAnsi="宋体" w:cs="宋体"/>
                <w:sz w:val="24"/>
              </w:rPr>
              <w:t>(指未全面实行电子签章期间)，可以</w:t>
            </w:r>
            <w:r>
              <w:rPr>
                <w:rFonts w:ascii="宋体" w:hAnsi="宋体" w:cs="宋体"/>
                <w:sz w:val="24"/>
              </w:rPr>
              <w:t>使用</w:t>
            </w:r>
            <w:r>
              <w:rPr>
                <w:rFonts w:hint="eastAsia" w:ascii="宋体" w:hAnsi="宋体" w:cs="宋体"/>
                <w:sz w:val="24"/>
              </w:rPr>
              <w:t xml:space="preserve">直接录入内容并上传用不褪色的墨水（签字笔）由本人亲笔手写签字 (包括姓和名)的扫描件，不得用盖章（如签名章、签字章等）代替，也不得由他人代签。由法定代表人签字的,应附法定代表人身份证明,由代理人签字的,应附授权委托书。身份证明或授权委托书应符合招标文件中“投标文件格式”的规定。 </w:t>
            </w:r>
          </w:p>
          <w:p w14:paraId="682B9169">
            <w:pPr>
              <w:adjustRightInd w:val="0"/>
              <w:snapToGrid w:val="0"/>
              <w:spacing w:line="360" w:lineRule="auto"/>
              <w:rPr>
                <w:rFonts w:ascii="宋体" w:hAnsi="宋体" w:cs="宋体"/>
                <w:sz w:val="24"/>
              </w:rPr>
            </w:pPr>
            <w:r>
              <w:rPr>
                <w:rFonts w:hint="eastAsia" w:ascii="宋体" w:hAnsi="宋体" w:cs="宋体"/>
                <w:sz w:val="24"/>
              </w:rPr>
              <w:t>（2）投标文件所有要求盖章的地方均应使用单位法定名称印章,不得使用专用印章（如经济合同章、投标专用章等）或</w:t>
            </w:r>
            <w:r>
              <w:rPr>
                <w:rFonts w:ascii="宋体" w:hAnsi="宋体" w:cs="宋体"/>
                <w:sz w:val="24"/>
              </w:rPr>
              <w:t>直属</w:t>
            </w:r>
            <w:r>
              <w:rPr>
                <w:rFonts w:hint="eastAsia" w:ascii="宋体" w:hAnsi="宋体" w:cs="宋体"/>
                <w:sz w:val="24"/>
              </w:rPr>
              <w:t xml:space="preserve">（下属）单位印章代替。 </w:t>
            </w:r>
          </w:p>
          <w:p w14:paraId="25B0553A">
            <w:pPr>
              <w:spacing w:line="440" w:lineRule="exact"/>
              <w:rPr>
                <w:rFonts w:ascii="宋体" w:hAnsi="宋体" w:cs="宋体"/>
                <w:sz w:val="24"/>
              </w:rPr>
            </w:pPr>
            <w:r>
              <w:rPr>
                <w:rFonts w:hint="eastAsia" w:ascii="宋体" w:hAnsi="宋体" w:cs="宋体"/>
                <w:sz w:val="24"/>
              </w:rPr>
              <w:t>（3）数据电文形式投标文件所有要求盖章的地方，除投标总价扉页和联合体协议书外，均应加盖投标人（联合体投标的，为联合体牵头人）电子印章，投标总价扉页和联合体协议书上传签字、盖章的扫描件。</w:t>
            </w:r>
          </w:p>
        </w:tc>
      </w:tr>
      <w:tr w14:paraId="5D6D14A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9B0D82F">
            <w:pPr>
              <w:spacing w:line="360" w:lineRule="auto"/>
              <w:jc w:val="center"/>
              <w:rPr>
                <w:rFonts w:ascii="宋体" w:hAnsi="宋体"/>
                <w:sz w:val="24"/>
              </w:rPr>
            </w:pPr>
            <w:r>
              <w:rPr>
                <w:rFonts w:hint="eastAsia" w:ascii="宋体" w:hAnsi="宋体"/>
                <w:sz w:val="24"/>
              </w:rPr>
              <w:t>4.1</w:t>
            </w:r>
          </w:p>
        </w:tc>
        <w:tc>
          <w:tcPr>
            <w:tcW w:w="2252" w:type="dxa"/>
            <w:tcBorders>
              <w:top w:val="single" w:color="auto" w:sz="4" w:space="0"/>
              <w:left w:val="single" w:color="auto" w:sz="4" w:space="0"/>
              <w:bottom w:val="single" w:color="auto" w:sz="4" w:space="0"/>
              <w:right w:val="single" w:color="auto" w:sz="4" w:space="0"/>
            </w:tcBorders>
            <w:vAlign w:val="center"/>
          </w:tcPr>
          <w:p w14:paraId="24458BBC">
            <w:pPr>
              <w:spacing w:line="360" w:lineRule="auto"/>
              <w:jc w:val="center"/>
              <w:rPr>
                <w:rFonts w:ascii="宋体" w:hAnsi="宋体"/>
                <w:sz w:val="24"/>
              </w:rPr>
            </w:pPr>
            <w:r>
              <w:rPr>
                <w:rFonts w:hint="eastAsia" w:ascii="宋体" w:hAnsi="宋体"/>
                <w:sz w:val="24"/>
              </w:rPr>
              <w:t>投标文件</w:t>
            </w:r>
            <w:r>
              <w:rPr>
                <w:rFonts w:ascii="宋体" w:hAnsi="宋体"/>
                <w:sz w:val="24"/>
              </w:rPr>
              <w:t>加密</w:t>
            </w:r>
          </w:p>
          <w:p w14:paraId="21998DFE">
            <w:pPr>
              <w:spacing w:line="360" w:lineRule="auto"/>
              <w:jc w:val="center"/>
              <w:rPr>
                <w:rFonts w:ascii="宋体" w:hAnsi="宋体"/>
                <w:sz w:val="24"/>
              </w:rPr>
            </w:pPr>
            <w:r>
              <w:rPr>
                <w:rFonts w:ascii="宋体" w:hAnsi="宋体"/>
                <w:sz w:val="24"/>
              </w:rPr>
              <w:t>要求</w:t>
            </w:r>
          </w:p>
        </w:tc>
        <w:tc>
          <w:tcPr>
            <w:tcW w:w="6437" w:type="dxa"/>
            <w:tcBorders>
              <w:top w:val="single" w:color="auto" w:sz="4" w:space="0"/>
              <w:left w:val="single" w:color="auto" w:sz="4" w:space="0"/>
              <w:bottom w:val="single" w:color="auto" w:sz="4" w:space="0"/>
              <w:right w:val="single" w:color="auto" w:sz="4" w:space="0"/>
            </w:tcBorders>
            <w:vAlign w:val="center"/>
          </w:tcPr>
          <w:p w14:paraId="13DC8839">
            <w:pPr>
              <w:spacing w:line="360" w:lineRule="auto"/>
              <w:rPr>
                <w:rFonts w:ascii="宋体" w:hAnsi="宋体" w:cs="宋体"/>
                <w:sz w:val="24"/>
              </w:rPr>
            </w:pPr>
            <w:r>
              <w:rPr>
                <w:rFonts w:hint="eastAsia" w:ascii="宋体" w:hAnsi="宋体" w:cs="宋体"/>
                <w:sz w:val="24"/>
              </w:rPr>
              <w:t>在线递交的</w:t>
            </w:r>
            <w:r>
              <w:rPr>
                <w:rFonts w:hint="eastAsia" w:ascii="宋体" w:hAnsi="宋体" w:cs="宋体"/>
                <w:sz w:val="24"/>
                <w:lang w:val="zh-CN"/>
              </w:rPr>
              <w:t>数据电文形式投标文件</w:t>
            </w:r>
            <w:r>
              <w:rPr>
                <w:rFonts w:hint="eastAsia" w:ascii="宋体" w:hAnsi="宋体" w:cs="宋体"/>
                <w:sz w:val="24"/>
              </w:rPr>
              <w:t>，</w:t>
            </w:r>
            <w:r>
              <w:rPr>
                <w:rFonts w:hint="eastAsia" w:ascii="宋体" w:hAnsi="宋体" w:cs="宋体"/>
                <w:sz w:val="24"/>
                <w:lang w:val="zh-CN"/>
              </w:rPr>
              <w:t>须经投标人数字证书签名加密</w:t>
            </w:r>
            <w:r>
              <w:rPr>
                <w:rFonts w:hint="eastAsia" w:ascii="宋体" w:hAnsi="宋体" w:cs="宋体"/>
                <w:sz w:val="24"/>
              </w:rPr>
              <w:t>。</w:t>
            </w:r>
          </w:p>
        </w:tc>
      </w:tr>
      <w:tr w14:paraId="3BD95D91">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8B325CA">
            <w:pPr>
              <w:spacing w:line="440" w:lineRule="exact"/>
              <w:jc w:val="center"/>
              <w:rPr>
                <w:rFonts w:ascii="宋体" w:hAnsi="宋体" w:cs="宋体"/>
                <w:sz w:val="24"/>
              </w:rPr>
            </w:pPr>
            <w:r>
              <w:rPr>
                <w:rFonts w:hint="eastAsia" w:ascii="宋体" w:hAnsi="宋体" w:cs="宋体"/>
                <w:sz w:val="24"/>
              </w:rPr>
              <w:t>4.2.2</w:t>
            </w:r>
          </w:p>
        </w:tc>
        <w:tc>
          <w:tcPr>
            <w:tcW w:w="2252" w:type="dxa"/>
            <w:tcBorders>
              <w:top w:val="single" w:color="auto" w:sz="4" w:space="0"/>
              <w:left w:val="single" w:color="auto" w:sz="4" w:space="0"/>
              <w:bottom w:val="single" w:color="auto" w:sz="4" w:space="0"/>
              <w:right w:val="single" w:color="auto" w:sz="4" w:space="0"/>
            </w:tcBorders>
            <w:vAlign w:val="center"/>
          </w:tcPr>
          <w:p w14:paraId="77E1C2C8">
            <w:pPr>
              <w:spacing w:line="440" w:lineRule="exact"/>
              <w:jc w:val="center"/>
              <w:rPr>
                <w:rFonts w:ascii="宋体" w:hAnsi="宋体" w:cs="宋体"/>
                <w:sz w:val="24"/>
              </w:rPr>
            </w:pPr>
            <w:r>
              <w:rPr>
                <w:rFonts w:hint="eastAsia" w:ascii="宋体" w:hAnsi="宋体" w:cs="宋体"/>
                <w:sz w:val="24"/>
              </w:rPr>
              <w:t>递交投标文件地点</w:t>
            </w:r>
          </w:p>
        </w:tc>
        <w:tc>
          <w:tcPr>
            <w:tcW w:w="6437" w:type="dxa"/>
            <w:tcBorders>
              <w:top w:val="single" w:color="auto" w:sz="4" w:space="0"/>
              <w:left w:val="single" w:color="auto" w:sz="4" w:space="0"/>
              <w:bottom w:val="single" w:color="auto" w:sz="4" w:space="0"/>
              <w:right w:val="single" w:color="auto" w:sz="4" w:space="0"/>
            </w:tcBorders>
            <w:vAlign w:val="center"/>
          </w:tcPr>
          <w:p w14:paraId="316A7F30">
            <w:pPr>
              <w:spacing w:line="440" w:lineRule="exact"/>
              <w:rPr>
                <w:rFonts w:ascii="宋体" w:hAnsi="宋体" w:cs="宋体"/>
                <w:sz w:val="24"/>
              </w:rPr>
            </w:pPr>
            <w:r>
              <w:rPr>
                <w:rFonts w:hint="eastAsia" w:ascii="宋体" w:hAnsi="宋体"/>
                <w:sz w:val="24"/>
              </w:rPr>
              <w:t>投标人应在投标截止时间前在线递交经投标人数字证书加密制作的数据电文形式投标文件，不接受现场递交。</w:t>
            </w:r>
          </w:p>
        </w:tc>
      </w:tr>
      <w:tr w14:paraId="22D38D99">
        <w:tblPrEx>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right w:val="single" w:color="auto" w:sz="4" w:space="0"/>
            </w:tcBorders>
            <w:vAlign w:val="center"/>
          </w:tcPr>
          <w:p w14:paraId="4602FBC0">
            <w:pPr>
              <w:spacing w:line="440" w:lineRule="exact"/>
              <w:jc w:val="center"/>
              <w:rPr>
                <w:rFonts w:ascii="宋体" w:hAnsi="宋体" w:cs="宋体"/>
                <w:sz w:val="24"/>
              </w:rPr>
            </w:pPr>
            <w:r>
              <w:rPr>
                <w:rFonts w:hint="eastAsia" w:ascii="宋体" w:hAnsi="宋体" w:cs="宋体"/>
                <w:sz w:val="24"/>
              </w:rPr>
              <w:t>5.1</w:t>
            </w:r>
          </w:p>
        </w:tc>
        <w:tc>
          <w:tcPr>
            <w:tcW w:w="2252" w:type="dxa"/>
            <w:tcBorders>
              <w:top w:val="single" w:color="auto" w:sz="4" w:space="0"/>
              <w:left w:val="single" w:color="auto" w:sz="4" w:space="0"/>
              <w:right w:val="single" w:color="auto" w:sz="4" w:space="0"/>
            </w:tcBorders>
            <w:vAlign w:val="center"/>
          </w:tcPr>
          <w:p w14:paraId="432AFB42">
            <w:pPr>
              <w:spacing w:line="440" w:lineRule="exact"/>
              <w:jc w:val="center"/>
              <w:rPr>
                <w:rFonts w:ascii="宋体" w:hAnsi="宋体" w:cs="宋体"/>
                <w:sz w:val="24"/>
              </w:rPr>
            </w:pPr>
            <w:r>
              <w:rPr>
                <w:rFonts w:hint="eastAsia" w:ascii="宋体" w:hAnsi="宋体" w:cs="宋体"/>
                <w:sz w:val="24"/>
              </w:rPr>
              <w:t>开标时间和地点</w:t>
            </w:r>
          </w:p>
        </w:tc>
        <w:tc>
          <w:tcPr>
            <w:tcW w:w="6437" w:type="dxa"/>
            <w:tcBorders>
              <w:top w:val="single" w:color="auto" w:sz="4" w:space="0"/>
              <w:left w:val="single" w:color="auto" w:sz="4" w:space="0"/>
              <w:right w:val="single" w:color="auto" w:sz="4" w:space="0"/>
            </w:tcBorders>
            <w:vAlign w:val="center"/>
          </w:tcPr>
          <w:p w14:paraId="291D16A9">
            <w:pPr>
              <w:adjustRightInd w:val="0"/>
              <w:snapToGrid w:val="0"/>
              <w:spacing w:line="360" w:lineRule="auto"/>
              <w:rPr>
                <w:rFonts w:ascii="宋体" w:hAnsi="宋体" w:cs="宋体"/>
                <w:sz w:val="24"/>
              </w:rPr>
            </w:pPr>
            <w:r>
              <w:rPr>
                <w:rFonts w:hint="eastAsia" w:ascii="宋体" w:hAnsi="宋体" w:cs="宋体"/>
                <w:sz w:val="24"/>
              </w:rPr>
              <w:t>开标时间：同投标截止时间</w:t>
            </w:r>
          </w:p>
          <w:p w14:paraId="75BB0287">
            <w:pPr>
              <w:adjustRightInd w:val="0"/>
              <w:snapToGrid w:val="0"/>
              <w:spacing w:line="360" w:lineRule="auto"/>
              <w:rPr>
                <w:rFonts w:ascii="宋体" w:hAnsi="宋体" w:cs="宋体"/>
                <w:sz w:val="24"/>
              </w:rPr>
            </w:pPr>
            <w:r>
              <w:rPr>
                <w:rFonts w:hint="eastAsia" w:ascii="宋体" w:hAnsi="宋体" w:cs="宋体"/>
                <w:sz w:val="24"/>
              </w:rPr>
              <w:t>开标地点：投标时间截止后，招标人或其委托代理机构在开标系统中进入线上开标环节。投标人登录□《全国公共资源交易平台（四川省）》</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cs="宋体"/>
                <w:sz w:val="24"/>
                <w:u w:val="single"/>
              </w:rPr>
              <w:t xml:space="preserve">  雅安  </w:t>
            </w:r>
            <w:r>
              <w:rPr>
                <w:rFonts w:hint="eastAsia" w:ascii="宋体" w:hAnsi="宋体" w:cs="宋体"/>
                <w:sz w:val="24"/>
              </w:rPr>
              <w:t>市）》电子交易系统，参与在线开标。</w:t>
            </w:r>
          </w:p>
        </w:tc>
      </w:tr>
      <w:tr w14:paraId="79EE81E3">
        <w:tblPrEx>
          <w:tblCellMar>
            <w:top w:w="0" w:type="dxa"/>
            <w:left w:w="108" w:type="dxa"/>
            <w:bottom w:w="0" w:type="dxa"/>
            <w:right w:w="108" w:type="dxa"/>
          </w:tblCellMar>
        </w:tblPrEx>
        <w:trPr>
          <w:trHeight w:val="381" w:hRule="atLeast"/>
        </w:trPr>
        <w:tc>
          <w:tcPr>
            <w:tcW w:w="1165" w:type="dxa"/>
            <w:tcBorders>
              <w:top w:val="single" w:color="auto" w:sz="4" w:space="0"/>
              <w:left w:val="single" w:color="auto" w:sz="4" w:space="0"/>
              <w:right w:val="single" w:color="auto" w:sz="4" w:space="0"/>
            </w:tcBorders>
            <w:vAlign w:val="center"/>
          </w:tcPr>
          <w:p w14:paraId="2D312136">
            <w:pPr>
              <w:spacing w:line="440" w:lineRule="exact"/>
              <w:jc w:val="center"/>
              <w:rPr>
                <w:rFonts w:ascii="宋体" w:hAnsi="宋体" w:cs="宋体"/>
                <w:sz w:val="24"/>
              </w:rPr>
            </w:pPr>
            <w:r>
              <w:rPr>
                <w:rFonts w:hint="eastAsia" w:ascii="宋体" w:hAnsi="宋体" w:cs="宋体"/>
                <w:sz w:val="24"/>
              </w:rPr>
              <w:t>5.2</w:t>
            </w:r>
          </w:p>
        </w:tc>
        <w:tc>
          <w:tcPr>
            <w:tcW w:w="2252" w:type="dxa"/>
            <w:tcBorders>
              <w:top w:val="single" w:color="auto" w:sz="4" w:space="0"/>
              <w:left w:val="single" w:color="auto" w:sz="4" w:space="0"/>
              <w:right w:val="single" w:color="auto" w:sz="4" w:space="0"/>
            </w:tcBorders>
            <w:vAlign w:val="center"/>
          </w:tcPr>
          <w:p w14:paraId="274E908C">
            <w:pPr>
              <w:spacing w:line="440" w:lineRule="exact"/>
              <w:jc w:val="center"/>
              <w:rPr>
                <w:rFonts w:ascii="宋体" w:hAnsi="宋体" w:cs="宋体"/>
                <w:sz w:val="24"/>
              </w:rPr>
            </w:pPr>
            <w:r>
              <w:rPr>
                <w:rFonts w:hint="eastAsia" w:ascii="宋体" w:hAnsi="宋体" w:cs="宋体"/>
                <w:sz w:val="24"/>
              </w:rPr>
              <w:t>开标程序</w:t>
            </w:r>
          </w:p>
        </w:tc>
        <w:tc>
          <w:tcPr>
            <w:tcW w:w="6437" w:type="dxa"/>
            <w:tcBorders>
              <w:top w:val="single" w:color="auto" w:sz="4" w:space="0"/>
              <w:left w:val="single" w:color="auto" w:sz="4" w:space="0"/>
              <w:right w:val="single" w:color="auto" w:sz="4" w:space="0"/>
            </w:tcBorders>
            <w:vAlign w:val="center"/>
          </w:tcPr>
          <w:p w14:paraId="2944F3AE">
            <w:pPr>
              <w:widowControl/>
              <w:spacing w:line="360" w:lineRule="auto"/>
              <w:rPr>
                <w:rFonts w:ascii="宋体" w:hAnsi="宋体" w:cs="宋体"/>
                <w:sz w:val="24"/>
              </w:rPr>
            </w:pPr>
            <w:r>
              <w:rPr>
                <w:rFonts w:hint="eastAsia" w:ascii="宋体" w:hAnsi="宋体" w:cs="宋体"/>
                <w:sz w:val="24"/>
              </w:rPr>
              <w:t>（1）投标截止时间前，投标人登录□《全国公共资源交易平台（四川省）》</w:t>
            </w:r>
            <w:r>
              <w:rPr>
                <w:rFonts w:hint="eastAsia" w:ascii="MS Gothic" w:hAnsi="MS Gothic" w:eastAsia="MS Gothic" w:cs="宋体"/>
                <w:sz w:val="24"/>
              </w:rPr>
              <w:t>☑</w:t>
            </w:r>
            <w:r>
              <w:rPr>
                <w:rFonts w:hint="eastAsia" w:ascii="宋体" w:hAnsi="宋体" w:cs="宋体"/>
                <w:sz w:val="24"/>
              </w:rPr>
              <w:t>《全国公共资源交易平台（四川省·</w:t>
            </w:r>
            <w:r>
              <w:rPr>
                <w:rFonts w:hint="eastAsia" w:ascii="宋体" w:hAnsi="宋体" w:cs="宋体"/>
                <w:sz w:val="24"/>
                <w:u w:val="single"/>
              </w:rPr>
              <w:t xml:space="preserve">  雅安   </w:t>
            </w:r>
            <w:r>
              <w:rPr>
                <w:rFonts w:hint="eastAsia" w:ascii="宋体" w:hAnsi="宋体" w:cs="宋体"/>
                <w:sz w:val="24"/>
              </w:rPr>
              <w:t>市）》电子交易系统。</w:t>
            </w:r>
          </w:p>
          <w:p w14:paraId="7DB4D7A5">
            <w:pPr>
              <w:widowControl/>
              <w:adjustRightInd w:val="0"/>
              <w:snapToGrid w:val="0"/>
              <w:spacing w:line="360" w:lineRule="auto"/>
              <w:rPr>
                <w:rFonts w:ascii="宋体" w:hAnsi="宋体" w:cs="宋体"/>
                <w:sz w:val="24"/>
              </w:rPr>
            </w:pPr>
            <w:r>
              <w:rPr>
                <w:rFonts w:hint="eastAsia" w:ascii="宋体" w:hAnsi="宋体" w:cs="宋体"/>
                <w:sz w:val="24"/>
              </w:rPr>
              <w:t>（2）投标截止时间后，招标人或其委托招标代理机构在开标系统中组织线上开标，系统将自动展示所有参与项目的投标人名单、投标保证金递交情况等相关信息。</w:t>
            </w:r>
          </w:p>
          <w:p w14:paraId="0C7F1B23">
            <w:pPr>
              <w:adjustRightInd w:val="0"/>
              <w:snapToGrid w:val="0"/>
              <w:spacing w:line="360" w:lineRule="auto"/>
              <w:rPr>
                <w:rFonts w:ascii="宋体" w:hAnsi="宋体" w:cs="宋体"/>
                <w:sz w:val="24"/>
              </w:rPr>
            </w:pPr>
            <w:r>
              <w:rPr>
                <w:rFonts w:hint="eastAsia" w:ascii="宋体" w:hAnsi="宋体" w:cs="宋体"/>
                <w:sz w:val="24"/>
              </w:rPr>
              <w:t>（3）投标文件解密。</w:t>
            </w:r>
          </w:p>
          <w:p w14:paraId="055C7A6A">
            <w:pPr>
              <w:adjustRightInd w:val="0"/>
              <w:snapToGrid w:val="0"/>
              <w:spacing w:line="360" w:lineRule="auto"/>
              <w:rPr>
                <w:rFonts w:ascii="宋体" w:hAnsi="宋体" w:cs="宋体"/>
                <w:sz w:val="24"/>
              </w:rPr>
            </w:pPr>
            <w:r>
              <w:rPr>
                <w:rFonts w:hint="eastAsia" w:ascii="宋体" w:hAnsi="宋体" w:cs="宋体"/>
                <w:sz w:val="24"/>
              </w:rPr>
              <w:t>（4）系统展示各投标人名称、投标报价等内容。</w:t>
            </w:r>
          </w:p>
          <w:p w14:paraId="27766BB1">
            <w:pPr>
              <w:adjustRightInd w:val="0"/>
              <w:snapToGrid w:val="0"/>
              <w:spacing w:line="360" w:lineRule="auto"/>
              <w:rPr>
                <w:rFonts w:ascii="宋体" w:hAnsi="宋体" w:cs="宋体"/>
                <w:sz w:val="24"/>
              </w:rPr>
            </w:pPr>
            <w:r>
              <w:rPr>
                <w:rFonts w:hint="eastAsia" w:ascii="宋体" w:hAnsi="宋体"/>
                <w:sz w:val="24"/>
              </w:rPr>
              <w:t>（5）</w:t>
            </w:r>
            <w:r>
              <w:rPr>
                <w:rFonts w:hint="eastAsia" w:ascii="宋体" w:hAnsi="宋体" w:cs="宋体"/>
                <w:sz w:val="24"/>
              </w:rPr>
              <w:t>将招标文件、投标文件导入电子辅助评标系统。</w:t>
            </w:r>
          </w:p>
          <w:p w14:paraId="28350511">
            <w:pPr>
              <w:adjustRightInd w:val="0"/>
              <w:snapToGrid w:val="0"/>
              <w:spacing w:line="360" w:lineRule="auto"/>
              <w:rPr>
                <w:rFonts w:ascii="宋体" w:hAnsi="宋体" w:cs="宋体"/>
                <w:sz w:val="24"/>
              </w:rPr>
            </w:pPr>
            <w:r>
              <w:rPr>
                <w:rFonts w:hint="eastAsia" w:ascii="宋体" w:hAnsi="宋体" w:cs="宋体"/>
                <w:sz w:val="24"/>
              </w:rPr>
              <w:t>（6）提出异议，处理异议。</w:t>
            </w:r>
          </w:p>
          <w:p w14:paraId="2D268A75">
            <w:pPr>
              <w:adjustRightInd w:val="0"/>
              <w:snapToGrid w:val="0"/>
              <w:spacing w:line="360" w:lineRule="auto"/>
              <w:rPr>
                <w:rFonts w:ascii="宋体" w:hAnsi="宋体" w:cs="宋体"/>
                <w:sz w:val="24"/>
              </w:rPr>
            </w:pPr>
            <w:r>
              <w:rPr>
                <w:rFonts w:hint="eastAsia" w:ascii="宋体" w:hAnsi="宋体" w:cs="宋体"/>
                <w:sz w:val="24"/>
              </w:rPr>
              <w:t>（7）生成开标记录表，开标结束。</w:t>
            </w:r>
          </w:p>
          <w:p w14:paraId="21AAAC76">
            <w:pPr>
              <w:adjustRightInd w:val="0"/>
              <w:snapToGrid w:val="0"/>
              <w:spacing w:line="360" w:lineRule="auto"/>
              <w:ind w:firstLine="480" w:firstLineChars="200"/>
              <w:rPr>
                <w:rFonts w:ascii="宋体" w:hAnsi="宋体" w:cs="宋体"/>
                <w:sz w:val="24"/>
              </w:rPr>
            </w:pPr>
            <w:r>
              <w:rPr>
                <w:rFonts w:hint="eastAsia" w:ascii="宋体" w:hAnsi="宋体" w:cs="宋体"/>
                <w:sz w:val="24"/>
              </w:rPr>
              <w:t>在线解密的限定时间为30分钟，已成功递交投标文件的投标人应在此限定时间内完成解密。投标人最迟应在完成上述第（5）项程序后10分钟内在线提出异议，招标人或其委托代理机构在线即时答复处理。如投标人未提出异议的，视为其认可开标过程、开标内容和开标结果。</w:t>
            </w:r>
          </w:p>
          <w:p w14:paraId="29AC0D52">
            <w:pPr>
              <w:adjustRightInd w:val="0"/>
              <w:snapToGrid w:val="0"/>
              <w:spacing w:line="360" w:lineRule="auto"/>
              <w:rPr>
                <w:rFonts w:ascii="宋体" w:hAnsi="宋体" w:cs="宋体"/>
                <w:sz w:val="24"/>
              </w:rPr>
            </w:pPr>
            <w:r>
              <w:rPr>
                <w:rFonts w:hint="eastAsia" w:ascii="宋体" w:hAnsi="宋体" w:cs="宋体"/>
                <w:sz w:val="24"/>
              </w:rPr>
              <w:t>投标文件无法导入开标系统或未解密的，视为撤回其投标文件。已导入电子开标系统但无法导入电子评标系统的，招标人（或招标代理机构）做好开标记录，其投标文件由评标委员会作否决处理。</w:t>
            </w:r>
          </w:p>
        </w:tc>
      </w:tr>
      <w:tr w14:paraId="2BA00835">
        <w:tblPrEx>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14:paraId="3E7FB226">
            <w:pPr>
              <w:spacing w:line="440" w:lineRule="exact"/>
              <w:jc w:val="center"/>
              <w:rPr>
                <w:rFonts w:ascii="宋体" w:hAnsi="宋体" w:cs="宋体"/>
                <w:sz w:val="24"/>
              </w:rPr>
            </w:pPr>
            <w:r>
              <w:rPr>
                <w:rFonts w:hint="eastAsia" w:ascii="宋体" w:hAnsi="宋体" w:cs="宋体"/>
                <w:sz w:val="24"/>
              </w:rPr>
              <w:t>6.1.1</w:t>
            </w:r>
          </w:p>
        </w:tc>
        <w:tc>
          <w:tcPr>
            <w:tcW w:w="2252" w:type="dxa"/>
            <w:tcBorders>
              <w:top w:val="single" w:color="auto" w:sz="4" w:space="0"/>
              <w:left w:val="single" w:color="auto" w:sz="4" w:space="0"/>
              <w:bottom w:val="single" w:color="auto" w:sz="4" w:space="0"/>
              <w:right w:val="single" w:color="auto" w:sz="4" w:space="0"/>
            </w:tcBorders>
            <w:vAlign w:val="center"/>
          </w:tcPr>
          <w:p w14:paraId="15F715F8">
            <w:pPr>
              <w:spacing w:line="440" w:lineRule="exact"/>
              <w:jc w:val="center"/>
              <w:rPr>
                <w:rFonts w:ascii="宋体" w:hAnsi="宋体" w:cs="宋体"/>
                <w:sz w:val="24"/>
              </w:rPr>
            </w:pPr>
            <w:r>
              <w:rPr>
                <w:rFonts w:hint="eastAsia" w:ascii="宋体" w:hAnsi="宋体" w:cs="宋体"/>
                <w:sz w:val="24"/>
              </w:rPr>
              <w:t>评标委员会的组建</w:t>
            </w:r>
          </w:p>
        </w:tc>
        <w:tc>
          <w:tcPr>
            <w:tcW w:w="6437" w:type="dxa"/>
            <w:tcBorders>
              <w:top w:val="single" w:color="auto" w:sz="4" w:space="0"/>
              <w:left w:val="single" w:color="auto" w:sz="4" w:space="0"/>
              <w:bottom w:val="single" w:color="auto" w:sz="4" w:space="0"/>
              <w:right w:val="single" w:color="auto" w:sz="4" w:space="0"/>
            </w:tcBorders>
            <w:vAlign w:val="center"/>
          </w:tcPr>
          <w:p w14:paraId="1123E44D">
            <w:pPr>
              <w:adjustRightInd w:val="0"/>
              <w:snapToGrid w:val="0"/>
              <w:spacing w:line="360" w:lineRule="auto"/>
              <w:rPr>
                <w:rFonts w:ascii="宋体" w:hAnsi="宋体" w:cs="宋体"/>
                <w:sz w:val="24"/>
              </w:rPr>
            </w:pPr>
            <w:r>
              <w:rPr>
                <w:rFonts w:hint="eastAsia" w:ascii="宋体" w:hAnsi="宋体" w:cs="宋体"/>
                <w:sz w:val="24"/>
              </w:rPr>
              <w:t>评标委员会构成：</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人</w:t>
            </w:r>
          </w:p>
          <w:p w14:paraId="50AC493A">
            <w:pPr>
              <w:adjustRightInd w:val="0"/>
              <w:snapToGrid w:val="0"/>
              <w:spacing w:line="360" w:lineRule="auto"/>
              <w:rPr>
                <w:rFonts w:ascii="宋体" w:hAnsi="宋体" w:cs="宋体"/>
                <w:sz w:val="24"/>
              </w:rPr>
            </w:pPr>
            <w:r>
              <w:rPr>
                <w:rFonts w:hint="eastAsia" w:ascii="宋体" w:hAnsi="宋体" w:cs="宋体"/>
                <w:sz w:val="24"/>
              </w:rPr>
              <w:t>其中：招标人代表</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人，评标专家</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人。</w:t>
            </w:r>
          </w:p>
          <w:p w14:paraId="65515FC5">
            <w:pPr>
              <w:adjustRightInd w:val="0"/>
              <w:snapToGrid w:val="0"/>
              <w:spacing w:line="360" w:lineRule="auto"/>
              <w:rPr>
                <w:rFonts w:ascii="宋体" w:hAnsi="宋体" w:cs="宋体"/>
                <w:sz w:val="24"/>
                <w:u w:val="single"/>
              </w:rPr>
            </w:pPr>
            <w:r>
              <w:rPr>
                <w:rFonts w:hint="eastAsia" w:ascii="宋体" w:hAnsi="宋体" w:cs="宋体"/>
                <w:sz w:val="24"/>
              </w:rPr>
              <w:t>评标专家确定方式：</w:t>
            </w:r>
            <w:r>
              <w:rPr>
                <w:rFonts w:hint="eastAsia" w:ascii="宋体" w:hAnsi="宋体" w:cs="宋体"/>
                <w:sz w:val="24"/>
                <w:u w:val="single"/>
              </w:rPr>
              <w:t xml:space="preserve">  评标委员会的组成和评标专家的确定方式按川办发（2021）54 号规定执行。   </w:t>
            </w:r>
          </w:p>
          <w:p w14:paraId="679D8788">
            <w:pPr>
              <w:spacing w:line="440" w:lineRule="exact"/>
              <w:rPr>
                <w:rFonts w:ascii="宋体" w:hAnsi="宋体" w:cs="宋体"/>
                <w:sz w:val="24"/>
              </w:rPr>
            </w:pPr>
            <w:r>
              <w:rPr>
                <w:rFonts w:hint="eastAsia" w:ascii="宋体" w:hAnsi="宋体" w:cs="宋体"/>
                <w:sz w:val="24"/>
              </w:rPr>
              <w:t>注：评标委员会组建时，可增加评标委员会人数，但招标人代表人数不能增加。</w:t>
            </w:r>
          </w:p>
        </w:tc>
      </w:tr>
      <w:tr w14:paraId="22625CAE">
        <w:tblPrEx>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14:paraId="523E3AF0">
            <w:pPr>
              <w:spacing w:line="440" w:lineRule="exact"/>
              <w:jc w:val="center"/>
              <w:rPr>
                <w:rFonts w:ascii="宋体" w:hAnsi="宋体" w:cs="宋体"/>
                <w:sz w:val="24"/>
              </w:rPr>
            </w:pPr>
            <w:r>
              <w:rPr>
                <w:rFonts w:hint="eastAsia" w:ascii="宋体" w:hAnsi="宋体" w:cs="宋体"/>
                <w:sz w:val="24"/>
              </w:rPr>
              <w:t>7.1</w:t>
            </w:r>
          </w:p>
        </w:tc>
        <w:tc>
          <w:tcPr>
            <w:tcW w:w="2252" w:type="dxa"/>
            <w:tcBorders>
              <w:top w:val="single" w:color="auto" w:sz="4" w:space="0"/>
              <w:left w:val="single" w:color="auto" w:sz="4" w:space="0"/>
              <w:bottom w:val="single" w:color="auto" w:sz="4" w:space="0"/>
              <w:right w:val="single" w:color="auto" w:sz="4" w:space="0"/>
            </w:tcBorders>
            <w:vAlign w:val="center"/>
          </w:tcPr>
          <w:p w14:paraId="135D59DE">
            <w:pPr>
              <w:spacing w:line="440" w:lineRule="exact"/>
              <w:jc w:val="center"/>
              <w:rPr>
                <w:rFonts w:ascii="宋体" w:hAnsi="宋体" w:cs="宋体"/>
                <w:sz w:val="24"/>
              </w:rPr>
            </w:pPr>
            <w:r>
              <w:rPr>
                <w:rFonts w:hint="eastAsia" w:ascii="宋体" w:hAnsi="宋体" w:cs="宋体"/>
                <w:sz w:val="24"/>
              </w:rPr>
              <w:t>是否授权评标委员会确定中标人</w:t>
            </w:r>
          </w:p>
        </w:tc>
        <w:tc>
          <w:tcPr>
            <w:tcW w:w="6437" w:type="dxa"/>
            <w:tcBorders>
              <w:top w:val="single" w:color="auto" w:sz="4" w:space="0"/>
              <w:left w:val="single" w:color="auto" w:sz="4" w:space="0"/>
              <w:bottom w:val="single" w:color="auto" w:sz="4" w:space="0"/>
              <w:right w:val="single" w:color="auto" w:sz="4" w:space="0"/>
            </w:tcBorders>
            <w:vAlign w:val="center"/>
          </w:tcPr>
          <w:p w14:paraId="71DAFACE">
            <w:pPr>
              <w:spacing w:line="360" w:lineRule="auto"/>
              <w:rPr>
                <w:rFonts w:ascii="宋体" w:hAnsi="宋体"/>
                <w:sz w:val="24"/>
              </w:rPr>
            </w:pPr>
            <w:sdt>
              <w:sdtPr>
                <w:rPr>
                  <w:rFonts w:hint="eastAsia" w:ascii="宋体" w:hAnsi="宋体"/>
                  <w:sz w:val="24"/>
                </w:rPr>
                <w:id w:val="-1653517907"/>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是</w:t>
            </w:r>
          </w:p>
          <w:p w14:paraId="3854D8BE">
            <w:pPr>
              <w:spacing w:line="440" w:lineRule="exact"/>
              <w:rPr>
                <w:rFonts w:ascii="宋体" w:hAnsi="宋体" w:cs="宋体"/>
                <w:sz w:val="24"/>
              </w:rPr>
            </w:pPr>
            <w:sdt>
              <w:sdtPr>
                <w:rPr>
                  <w:rFonts w:hint="eastAsia" w:ascii="宋体" w:hAnsi="宋体"/>
                  <w:sz w:val="24"/>
                </w:rPr>
                <w:id w:val="683329303"/>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否，推荐的中标候选人数：</w:t>
            </w:r>
            <w:r>
              <w:rPr>
                <w:rFonts w:hint="eastAsia" w:ascii="宋体" w:hAnsi="宋体"/>
                <w:sz w:val="24"/>
                <w:lang w:val="en-US" w:eastAsia="zh-CN"/>
              </w:rPr>
              <w:t xml:space="preserve"> </w:t>
            </w:r>
            <w:r>
              <w:rPr>
                <w:rFonts w:hint="eastAsia" w:ascii="宋体" w:hAnsi="宋体"/>
                <w:sz w:val="24"/>
              </w:rPr>
              <w:t>人，当符合要求的投标人少于需推荐的人数，评标委员会推荐的人数可少于需推荐的人数。</w:t>
            </w:r>
          </w:p>
        </w:tc>
      </w:tr>
      <w:tr w14:paraId="03D05A26">
        <w:tblPrEx>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right w:val="single" w:color="auto" w:sz="4" w:space="0"/>
            </w:tcBorders>
            <w:vAlign w:val="center"/>
          </w:tcPr>
          <w:p w14:paraId="7E9D66AC">
            <w:pPr>
              <w:spacing w:line="440" w:lineRule="exact"/>
              <w:jc w:val="center"/>
              <w:rPr>
                <w:rFonts w:ascii="宋体" w:hAnsi="宋体" w:cs="宋体"/>
                <w:sz w:val="24"/>
              </w:rPr>
            </w:pPr>
            <w:r>
              <w:rPr>
                <w:rFonts w:hint="eastAsia" w:ascii="宋体" w:hAnsi="宋体" w:cs="宋体"/>
                <w:sz w:val="24"/>
              </w:rPr>
              <w:t>7.2</w:t>
            </w:r>
          </w:p>
        </w:tc>
        <w:tc>
          <w:tcPr>
            <w:tcW w:w="2252" w:type="dxa"/>
            <w:tcBorders>
              <w:top w:val="single" w:color="auto" w:sz="4" w:space="0"/>
              <w:left w:val="single" w:color="auto" w:sz="4" w:space="0"/>
              <w:right w:val="single" w:color="auto" w:sz="4" w:space="0"/>
            </w:tcBorders>
            <w:vAlign w:val="center"/>
          </w:tcPr>
          <w:p w14:paraId="661C07F7">
            <w:pPr>
              <w:spacing w:line="440" w:lineRule="exact"/>
              <w:jc w:val="center"/>
              <w:rPr>
                <w:rFonts w:ascii="宋体" w:hAnsi="宋体" w:cs="宋体"/>
                <w:sz w:val="24"/>
              </w:rPr>
            </w:pPr>
            <w:r>
              <w:rPr>
                <w:rFonts w:hint="eastAsia" w:ascii="宋体" w:hAnsi="宋体" w:cs="宋体"/>
                <w:sz w:val="24"/>
              </w:rPr>
              <w:t>中标候选人公示媒介及期限</w:t>
            </w:r>
          </w:p>
        </w:tc>
        <w:tc>
          <w:tcPr>
            <w:tcW w:w="6437" w:type="dxa"/>
            <w:tcBorders>
              <w:top w:val="single" w:color="auto" w:sz="4" w:space="0"/>
              <w:left w:val="single" w:color="auto" w:sz="4" w:space="0"/>
              <w:right w:val="single" w:color="auto" w:sz="4" w:space="0"/>
            </w:tcBorders>
            <w:vAlign w:val="center"/>
          </w:tcPr>
          <w:p w14:paraId="3D235F98">
            <w:pPr>
              <w:adjustRightInd w:val="0"/>
              <w:snapToGrid w:val="0"/>
              <w:spacing w:line="360" w:lineRule="auto"/>
              <w:rPr>
                <w:rFonts w:ascii="宋体" w:hAnsi="宋体" w:cs="宋体"/>
                <w:sz w:val="24"/>
              </w:rPr>
            </w:pPr>
            <w:r>
              <w:rPr>
                <w:rFonts w:hint="eastAsia" w:ascii="宋体" w:hAnsi="宋体" w:cs="宋体"/>
                <w:sz w:val="24"/>
              </w:rPr>
              <w:t>公示媒介：同招标公告发布媒介</w:t>
            </w:r>
          </w:p>
          <w:p w14:paraId="2411C34C">
            <w:pPr>
              <w:spacing w:line="440" w:lineRule="exact"/>
              <w:rPr>
                <w:rFonts w:ascii="宋体" w:hAnsi="宋体" w:cs="宋体"/>
                <w:sz w:val="24"/>
              </w:rPr>
            </w:pPr>
            <w:r>
              <w:rPr>
                <w:rFonts w:hint="eastAsia" w:ascii="宋体" w:hAnsi="宋体" w:cs="宋体"/>
                <w:sz w:val="24"/>
              </w:rPr>
              <w:t>公示期限：</w:t>
            </w:r>
            <w:r>
              <w:rPr>
                <w:rFonts w:hint="eastAsia" w:ascii="宋体" w:hAnsi="宋体" w:cs="宋体"/>
                <w:sz w:val="24"/>
                <w:lang w:val="en-US" w:eastAsia="zh-CN"/>
              </w:rPr>
              <w:t xml:space="preserve">  </w:t>
            </w:r>
            <w:r>
              <w:rPr>
                <w:rFonts w:hint="eastAsia" w:ascii="宋体" w:hAnsi="宋体" w:cs="宋体"/>
                <w:sz w:val="24"/>
              </w:rPr>
              <w:t>个工作日</w:t>
            </w:r>
          </w:p>
        </w:tc>
      </w:tr>
      <w:tr w14:paraId="02B9D9DD">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26E6C49">
            <w:pPr>
              <w:spacing w:line="440" w:lineRule="exact"/>
              <w:jc w:val="center"/>
              <w:rPr>
                <w:rFonts w:ascii="宋体" w:hAnsi="宋体" w:cs="宋体"/>
                <w:sz w:val="24"/>
              </w:rPr>
            </w:pPr>
            <w:r>
              <w:rPr>
                <w:rFonts w:hint="eastAsia" w:ascii="宋体" w:hAnsi="宋体" w:cs="宋体"/>
                <w:sz w:val="24"/>
              </w:rPr>
              <w:t>7.4.1</w:t>
            </w:r>
          </w:p>
        </w:tc>
        <w:tc>
          <w:tcPr>
            <w:tcW w:w="2252" w:type="dxa"/>
            <w:tcBorders>
              <w:top w:val="single" w:color="auto" w:sz="4" w:space="0"/>
              <w:left w:val="single" w:color="auto" w:sz="4" w:space="0"/>
              <w:bottom w:val="single" w:color="auto" w:sz="4" w:space="0"/>
              <w:right w:val="single" w:color="auto" w:sz="4" w:space="0"/>
            </w:tcBorders>
            <w:vAlign w:val="center"/>
          </w:tcPr>
          <w:p w14:paraId="67F70E32">
            <w:pPr>
              <w:spacing w:line="440" w:lineRule="exact"/>
              <w:jc w:val="center"/>
              <w:rPr>
                <w:rFonts w:ascii="宋体" w:hAnsi="宋体" w:cs="宋体"/>
                <w:sz w:val="24"/>
              </w:rPr>
            </w:pPr>
            <w:r>
              <w:rPr>
                <w:rFonts w:hint="eastAsia" w:ascii="宋体" w:hAnsi="宋体" w:cs="宋体"/>
                <w:sz w:val="24"/>
              </w:rPr>
              <w:t>履约担保</w:t>
            </w:r>
          </w:p>
        </w:tc>
        <w:tc>
          <w:tcPr>
            <w:tcW w:w="6437" w:type="dxa"/>
            <w:tcBorders>
              <w:top w:val="single" w:color="auto" w:sz="4" w:space="0"/>
              <w:left w:val="single" w:color="auto" w:sz="4" w:space="0"/>
              <w:bottom w:val="single" w:color="auto" w:sz="4" w:space="0"/>
              <w:right w:val="single" w:color="auto" w:sz="4" w:space="0"/>
            </w:tcBorders>
            <w:vAlign w:val="center"/>
          </w:tcPr>
          <w:p w14:paraId="6A4273A3">
            <w:pPr>
              <w:spacing w:line="360" w:lineRule="auto"/>
              <w:rPr>
                <w:rFonts w:ascii="宋体" w:hAnsi="宋体"/>
                <w:sz w:val="24"/>
              </w:rPr>
            </w:pPr>
            <w:r>
              <w:rPr>
                <w:rFonts w:hint="eastAsia" w:ascii="宋体" w:hAnsi="宋体"/>
                <w:sz w:val="24"/>
              </w:rPr>
              <w:t>履约保证金=暂定合同价（扣除招标暂定部分）的</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w:t>
            </w:r>
          </w:p>
          <w:p w14:paraId="0DD5E8F5">
            <w:pPr>
              <w:adjustRightInd w:val="0"/>
              <w:snapToGrid w:val="0"/>
              <w:spacing w:line="360" w:lineRule="auto"/>
              <w:rPr>
                <w:rFonts w:ascii="宋体" w:hAnsi="宋体" w:cs="宋体"/>
                <w:sz w:val="24"/>
              </w:rPr>
            </w:pPr>
            <w:r>
              <w:rPr>
                <w:rFonts w:hint="eastAsia" w:ascii="宋体" w:hAnsi="宋体" w:cs="宋体"/>
                <w:sz w:val="24"/>
              </w:rPr>
              <w:t>投标人可以选用下列形式之一提交履约保证金：</w:t>
            </w:r>
          </w:p>
          <w:p w14:paraId="7F726BB5">
            <w:pPr>
              <w:spacing w:line="440" w:lineRule="exact"/>
              <w:rPr>
                <w:rFonts w:ascii="宋体" w:hAnsi="宋体"/>
                <w:sz w:val="24"/>
              </w:rPr>
            </w:pPr>
            <w:r>
              <w:rPr>
                <w:rFonts w:hint="eastAsia" w:ascii="宋体" w:hAnsi="宋体"/>
                <w:sz w:val="24"/>
              </w:rPr>
              <w:t>（1）以现金或者支票形式全额提交。采用该形式的履约担保必须通过中标人基本账户以银行转账方式提交。</w:t>
            </w:r>
          </w:p>
          <w:p w14:paraId="647BB60E">
            <w:pPr>
              <w:spacing w:line="440" w:lineRule="exact"/>
              <w:rPr>
                <w:rFonts w:ascii="宋体" w:hAnsi="宋体"/>
                <w:sz w:val="24"/>
              </w:rPr>
            </w:pPr>
            <w:r>
              <w:rPr>
                <w:rFonts w:hint="eastAsia" w:ascii="宋体" w:hAnsi="宋体"/>
                <w:sz w:val="24"/>
              </w:rPr>
              <w:t>（2）以银行保函或专业担保公司保函或保险合同形式全额提交。采用该形式的履约担保必须提供银行出具的保函或保险公司出具的保险合同或专业担保公司出具的保函原件。</w:t>
            </w:r>
          </w:p>
          <w:p w14:paraId="2470C311">
            <w:pPr>
              <w:spacing w:line="440" w:lineRule="exact"/>
              <w:rPr>
                <w:rFonts w:ascii="宋体" w:hAnsi="宋体"/>
                <w:sz w:val="24"/>
              </w:rPr>
            </w:pPr>
            <w:r>
              <w:rPr>
                <w:rFonts w:hint="eastAsia" w:ascii="宋体" w:hAnsi="宋体"/>
                <w:sz w:val="24"/>
              </w:rPr>
              <w:t>（3）以现金或者支票、银行保函或专业担保公司保函或保险合同形式组合提交。采用现金或者支票形式的履约担保必须通过中标人基本账户以银行转账方式提交；采用银行保函或专业担保公司保函或保险合同形式的履约担保必须提供银行出具的保函或专业担保公司出具的保函或保险公司出具的保险合同原件。</w:t>
            </w:r>
          </w:p>
          <w:p w14:paraId="5ED34D4B">
            <w:pPr>
              <w:spacing w:line="440" w:lineRule="exact"/>
              <w:rPr>
                <w:rFonts w:ascii="宋体" w:hAnsi="宋体" w:cs="宋体"/>
                <w:sz w:val="24"/>
              </w:rPr>
            </w:pPr>
            <w:r>
              <w:rPr>
                <w:rFonts w:hint="eastAsia" w:ascii="宋体" w:hAnsi="宋体"/>
                <w:sz w:val="24"/>
              </w:rPr>
              <w:t>注：《四川省住房和城乡建设厅 中国银行保险监督管理委员会四川监管局关于深入推进建设工程保证保险工作的通知》（川建行规〔2019〕8号）规定：“严格落实国务院清理规范工程建设领域保证金的工作要求，积极推行工程担保制度，支持银行业金融机构、专业担保公司、保险机构作为工程担保保证人开展工程担保业务。建筑企业可以银行保函、专业担保公司担保函、保证保险等方式替代现金缴纳各类保证金，任何单位不得无故拒绝。”</w:t>
            </w:r>
          </w:p>
        </w:tc>
      </w:tr>
      <w:tr w14:paraId="4741BFAA">
        <w:tblPrEx>
          <w:tblCellMar>
            <w:top w:w="0" w:type="dxa"/>
            <w:left w:w="108" w:type="dxa"/>
            <w:bottom w:w="0" w:type="dxa"/>
            <w:right w:w="108" w:type="dxa"/>
          </w:tblCellMar>
        </w:tblPrEx>
        <w:tc>
          <w:tcPr>
            <w:tcW w:w="9854" w:type="dxa"/>
            <w:gridSpan w:val="3"/>
            <w:tcBorders>
              <w:top w:val="single" w:color="auto" w:sz="4" w:space="0"/>
              <w:left w:val="single" w:color="auto" w:sz="4" w:space="0"/>
              <w:bottom w:val="single" w:color="auto" w:sz="4" w:space="0"/>
              <w:right w:val="single" w:color="auto" w:sz="4" w:space="0"/>
            </w:tcBorders>
            <w:vAlign w:val="center"/>
          </w:tcPr>
          <w:p w14:paraId="6177C645">
            <w:pPr>
              <w:spacing w:line="440" w:lineRule="exact"/>
              <w:jc w:val="center"/>
              <w:rPr>
                <w:rFonts w:ascii="宋体" w:hAnsi="宋体" w:cs="宋体"/>
                <w:b/>
                <w:sz w:val="24"/>
              </w:rPr>
            </w:pPr>
          </w:p>
        </w:tc>
      </w:tr>
      <w:tr w14:paraId="7F325CD4">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2C45E03">
            <w:pPr>
              <w:spacing w:line="440" w:lineRule="exact"/>
              <w:jc w:val="center"/>
              <w:rPr>
                <w:rFonts w:ascii="宋体" w:hAnsi="宋体" w:cs="宋体"/>
                <w:b/>
                <w:sz w:val="24"/>
              </w:rPr>
            </w:pPr>
            <w:r>
              <w:rPr>
                <w:rFonts w:hint="eastAsia" w:ascii="宋体" w:hAnsi="宋体" w:cs="宋体"/>
                <w:b/>
                <w:sz w:val="24"/>
              </w:rPr>
              <w:t>9</w:t>
            </w:r>
          </w:p>
        </w:tc>
        <w:tc>
          <w:tcPr>
            <w:tcW w:w="8689" w:type="dxa"/>
            <w:gridSpan w:val="2"/>
            <w:tcBorders>
              <w:top w:val="single" w:color="auto" w:sz="4" w:space="0"/>
              <w:left w:val="single" w:color="auto" w:sz="4" w:space="0"/>
              <w:bottom w:val="single" w:color="auto" w:sz="4" w:space="0"/>
              <w:right w:val="single" w:color="auto" w:sz="4" w:space="0"/>
            </w:tcBorders>
            <w:vAlign w:val="center"/>
          </w:tcPr>
          <w:p w14:paraId="6F448F9B">
            <w:pPr>
              <w:spacing w:line="440" w:lineRule="exact"/>
              <w:jc w:val="center"/>
              <w:rPr>
                <w:rFonts w:ascii="宋体" w:hAnsi="宋体" w:cs="宋体"/>
                <w:b/>
                <w:sz w:val="24"/>
              </w:rPr>
            </w:pPr>
            <w:r>
              <w:rPr>
                <w:rFonts w:hint="eastAsia" w:ascii="宋体" w:hAnsi="宋体" w:cs="宋体"/>
                <w:b/>
                <w:sz w:val="24"/>
              </w:rPr>
              <w:t>需要补充的其他内容</w:t>
            </w:r>
          </w:p>
        </w:tc>
      </w:tr>
      <w:tr w14:paraId="1A5E0A24">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2CA23F6">
            <w:pPr>
              <w:spacing w:line="360" w:lineRule="auto"/>
              <w:jc w:val="center"/>
              <w:rPr>
                <w:rFonts w:ascii="宋体" w:hAnsi="宋体" w:cs="宋体"/>
                <w:b/>
                <w:sz w:val="24"/>
              </w:rPr>
            </w:pPr>
            <w:r>
              <w:rPr>
                <w:rFonts w:hint="eastAsia" w:ascii="宋体" w:hAnsi="宋体"/>
                <w:sz w:val="24"/>
              </w:rPr>
              <w:t>9.1</w:t>
            </w:r>
          </w:p>
        </w:tc>
        <w:tc>
          <w:tcPr>
            <w:tcW w:w="2252" w:type="dxa"/>
            <w:tcBorders>
              <w:top w:val="single" w:color="auto" w:sz="4" w:space="0"/>
              <w:left w:val="single" w:color="auto" w:sz="4" w:space="0"/>
              <w:bottom w:val="single" w:color="auto" w:sz="4" w:space="0"/>
              <w:right w:val="single" w:color="auto" w:sz="4" w:space="0"/>
            </w:tcBorders>
            <w:vAlign w:val="center"/>
          </w:tcPr>
          <w:p w14:paraId="5E4B06DC">
            <w:pPr>
              <w:spacing w:line="360" w:lineRule="auto"/>
              <w:jc w:val="center"/>
              <w:rPr>
                <w:rFonts w:ascii="宋体" w:hAnsi="宋体" w:cs="宋体"/>
                <w:b/>
                <w:sz w:val="24"/>
              </w:rPr>
            </w:pPr>
            <w:r>
              <w:rPr>
                <w:rFonts w:hint="eastAsia" w:ascii="宋体" w:hAnsi="宋体"/>
                <w:sz w:val="24"/>
              </w:rPr>
              <w:t>编页码</w:t>
            </w:r>
          </w:p>
        </w:tc>
        <w:tc>
          <w:tcPr>
            <w:tcW w:w="6437" w:type="dxa"/>
            <w:tcBorders>
              <w:top w:val="single" w:color="auto" w:sz="4" w:space="0"/>
              <w:left w:val="single" w:color="auto" w:sz="4" w:space="0"/>
              <w:bottom w:val="single" w:color="auto" w:sz="4" w:space="0"/>
              <w:right w:val="single" w:color="auto" w:sz="4" w:space="0"/>
            </w:tcBorders>
            <w:vAlign w:val="center"/>
          </w:tcPr>
          <w:p w14:paraId="2B7F21E6">
            <w:pPr>
              <w:spacing w:line="360" w:lineRule="auto"/>
              <w:rPr>
                <w:rFonts w:ascii="宋体" w:hAnsi="宋体" w:cs="宋体"/>
                <w:b/>
                <w:sz w:val="24"/>
              </w:rPr>
            </w:pPr>
            <w:r>
              <w:rPr>
                <w:rFonts w:hint="eastAsia" w:ascii="宋体" w:hAnsi="宋体"/>
                <w:sz w:val="24"/>
              </w:rPr>
              <w:t>不需要。</w:t>
            </w:r>
          </w:p>
        </w:tc>
      </w:tr>
      <w:tr w14:paraId="0CD0E37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757CF0C6">
            <w:pPr>
              <w:spacing w:line="360" w:lineRule="auto"/>
              <w:jc w:val="center"/>
              <w:rPr>
                <w:rFonts w:ascii="宋体" w:hAnsi="宋体" w:cs="宋体"/>
                <w:b/>
                <w:sz w:val="24"/>
              </w:rPr>
            </w:pPr>
            <w:r>
              <w:rPr>
                <w:rFonts w:hint="eastAsia" w:ascii="宋体" w:hAnsi="宋体"/>
                <w:sz w:val="24"/>
              </w:rPr>
              <w:t>9.2</w:t>
            </w:r>
          </w:p>
        </w:tc>
        <w:tc>
          <w:tcPr>
            <w:tcW w:w="2252" w:type="dxa"/>
            <w:tcBorders>
              <w:top w:val="single" w:color="auto" w:sz="4" w:space="0"/>
              <w:left w:val="single" w:color="auto" w:sz="4" w:space="0"/>
              <w:bottom w:val="single" w:color="auto" w:sz="4" w:space="0"/>
              <w:right w:val="single" w:color="auto" w:sz="4" w:space="0"/>
            </w:tcBorders>
            <w:vAlign w:val="center"/>
          </w:tcPr>
          <w:p w14:paraId="5EDCAA60">
            <w:pPr>
              <w:spacing w:line="360" w:lineRule="auto"/>
              <w:jc w:val="center"/>
              <w:rPr>
                <w:rFonts w:ascii="宋体" w:hAnsi="宋体" w:cs="宋体"/>
                <w:b/>
                <w:sz w:val="24"/>
              </w:rPr>
            </w:pPr>
            <w:r>
              <w:rPr>
                <w:rFonts w:hint="eastAsia" w:ascii="宋体" w:hAnsi="宋体"/>
                <w:sz w:val="24"/>
              </w:rPr>
              <w:t>招标代理服务费</w:t>
            </w:r>
          </w:p>
        </w:tc>
        <w:tc>
          <w:tcPr>
            <w:tcW w:w="6437" w:type="dxa"/>
            <w:tcBorders>
              <w:top w:val="single" w:color="auto" w:sz="4" w:space="0"/>
              <w:left w:val="single" w:color="auto" w:sz="4" w:space="0"/>
              <w:bottom w:val="single" w:color="auto" w:sz="4" w:space="0"/>
              <w:right w:val="single" w:color="auto" w:sz="4" w:space="0"/>
            </w:tcBorders>
            <w:vAlign w:val="center"/>
          </w:tcPr>
          <w:p w14:paraId="29C55DC6">
            <w:pPr>
              <w:adjustRightInd w:val="0"/>
              <w:snapToGrid w:val="0"/>
              <w:spacing w:line="360" w:lineRule="auto"/>
              <w:rPr>
                <w:rFonts w:ascii="宋体" w:hAnsi="宋体" w:cs="宋体"/>
                <w:sz w:val="24"/>
              </w:rPr>
            </w:pPr>
            <w:sdt>
              <w:sdtPr>
                <w:rPr>
                  <w:rFonts w:hint="eastAsia" w:ascii="宋体" w:hAnsi="宋体" w:cs="宋体"/>
                  <w:sz w:val="24"/>
                </w:rPr>
                <w:id w:val="-1421875025"/>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不适合(自行招标)。</w:t>
            </w:r>
          </w:p>
          <w:p w14:paraId="118D4681">
            <w:pPr>
              <w:adjustRightInd w:val="0"/>
              <w:snapToGrid w:val="0"/>
              <w:spacing w:line="360" w:lineRule="auto"/>
              <w:rPr>
                <w:rFonts w:ascii="宋体" w:hAnsi="宋体" w:cs="宋体"/>
                <w:sz w:val="24"/>
              </w:rPr>
            </w:pPr>
            <w:sdt>
              <w:sdtPr>
                <w:rPr>
                  <w:rFonts w:hint="eastAsia" w:ascii="宋体" w:hAnsi="宋体" w:cs="宋体"/>
                  <w:sz w:val="24"/>
                </w:rPr>
                <w:id w:val="-575053092"/>
                <w14:checkbox>
                  <w14:checked w14:val="0"/>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sz w:val="24"/>
                  </w:rPr>
                  <w:t>☐</w:t>
                </w:r>
              </w:sdtContent>
            </w:sdt>
            <w:r>
              <w:rPr>
                <w:rFonts w:hint="eastAsia" w:ascii="宋体" w:hAnsi="宋体" w:cs="宋体"/>
                <w:sz w:val="24"/>
              </w:rPr>
              <w:t>招标人支付。</w:t>
            </w:r>
          </w:p>
          <w:p w14:paraId="64A3CF58">
            <w:pPr>
              <w:spacing w:line="360" w:lineRule="auto"/>
              <w:rPr>
                <w:rFonts w:ascii="宋体" w:hAnsi="宋体" w:cs="宋体"/>
                <w:b/>
                <w:sz w:val="24"/>
              </w:rPr>
            </w:pPr>
            <w:sdt>
              <w:sdtPr>
                <w:rPr>
                  <w:rFonts w:hint="eastAsia" w:ascii="宋体" w:hAnsi="宋体" w:cs="宋体"/>
                  <w:sz w:val="24"/>
                </w:rPr>
                <w:id w:val="849840138"/>
                <w14:checkbox>
                  <w14:checked w14:val="1"/>
                  <w14:checkedState w14:val="2611" w14:font="MS Gothic"/>
                  <w14:uncheckedState w14:val="2610" w14:font="MS Gothic"/>
                </w14:checkbox>
              </w:sdtPr>
              <w:sdtEndPr>
                <w:rPr>
                  <w:rFonts w:hint="eastAsia" w:ascii="宋体" w:hAnsi="宋体" w:cs="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cs="宋体"/>
                <w:sz w:val="24"/>
              </w:rPr>
              <w:t>中标的投标人支付，支付标准：</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（按照招标代理合同约定填写）。</w:t>
            </w:r>
          </w:p>
        </w:tc>
      </w:tr>
      <w:tr w14:paraId="1E9D904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3F6334D">
            <w:pPr>
              <w:spacing w:line="360" w:lineRule="auto"/>
              <w:jc w:val="center"/>
              <w:rPr>
                <w:rFonts w:ascii="宋体" w:hAnsi="宋体" w:cs="宋体"/>
                <w:b/>
                <w:sz w:val="24"/>
              </w:rPr>
            </w:pPr>
            <w:r>
              <w:rPr>
                <w:rFonts w:hint="eastAsia" w:ascii="宋体" w:hAnsi="宋体"/>
                <w:sz w:val="24"/>
              </w:rPr>
              <w:t>9.3</w:t>
            </w:r>
          </w:p>
        </w:tc>
        <w:tc>
          <w:tcPr>
            <w:tcW w:w="2252" w:type="dxa"/>
            <w:tcBorders>
              <w:top w:val="single" w:color="auto" w:sz="4" w:space="0"/>
              <w:left w:val="single" w:color="auto" w:sz="4" w:space="0"/>
              <w:bottom w:val="single" w:color="auto" w:sz="4" w:space="0"/>
              <w:right w:val="single" w:color="auto" w:sz="4" w:space="0"/>
            </w:tcBorders>
            <w:vAlign w:val="center"/>
          </w:tcPr>
          <w:p w14:paraId="7D693990">
            <w:pPr>
              <w:spacing w:line="360" w:lineRule="auto"/>
              <w:jc w:val="center"/>
              <w:rPr>
                <w:rFonts w:ascii="宋体" w:hAnsi="宋体" w:cs="宋体"/>
                <w:b/>
                <w:sz w:val="24"/>
              </w:rPr>
            </w:pPr>
            <w:r>
              <w:rPr>
                <w:rFonts w:hint="eastAsia" w:ascii="宋体" w:hAnsi="宋体"/>
                <w:sz w:val="24"/>
              </w:rPr>
              <w:t>报价唯一</w:t>
            </w:r>
          </w:p>
        </w:tc>
        <w:tc>
          <w:tcPr>
            <w:tcW w:w="6437" w:type="dxa"/>
            <w:tcBorders>
              <w:top w:val="single" w:color="auto" w:sz="4" w:space="0"/>
              <w:left w:val="single" w:color="auto" w:sz="4" w:space="0"/>
              <w:bottom w:val="single" w:color="auto" w:sz="4" w:space="0"/>
              <w:right w:val="single" w:color="auto" w:sz="4" w:space="0"/>
            </w:tcBorders>
            <w:vAlign w:val="center"/>
          </w:tcPr>
          <w:p w14:paraId="6F5DE38C">
            <w:pPr>
              <w:spacing w:line="360" w:lineRule="auto"/>
              <w:rPr>
                <w:rFonts w:ascii="宋体" w:hAnsi="宋体" w:cs="宋体"/>
                <w:b/>
                <w:sz w:val="24"/>
              </w:rPr>
            </w:pPr>
            <w:r>
              <w:rPr>
                <w:rFonts w:hint="eastAsia" w:ascii="宋体" w:hAnsi="宋体" w:cs="宋体"/>
                <w:sz w:val="24"/>
              </w:rPr>
              <w:t>只能有一个报价，任何有选择和保留的报价将不予接受。</w:t>
            </w:r>
          </w:p>
        </w:tc>
      </w:tr>
      <w:tr w14:paraId="0541FCB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2883437">
            <w:pPr>
              <w:spacing w:line="360" w:lineRule="auto"/>
              <w:jc w:val="center"/>
              <w:rPr>
                <w:rFonts w:ascii="宋体" w:hAnsi="宋体" w:cs="宋体"/>
                <w:b/>
                <w:sz w:val="24"/>
              </w:rPr>
            </w:pPr>
            <w:r>
              <w:rPr>
                <w:rFonts w:hint="eastAsia" w:ascii="宋体" w:hAnsi="宋体"/>
                <w:sz w:val="24"/>
              </w:rPr>
              <w:t>9.4</w:t>
            </w:r>
          </w:p>
        </w:tc>
        <w:tc>
          <w:tcPr>
            <w:tcW w:w="2252" w:type="dxa"/>
            <w:tcBorders>
              <w:top w:val="single" w:color="auto" w:sz="4" w:space="0"/>
              <w:left w:val="single" w:color="auto" w:sz="4" w:space="0"/>
              <w:bottom w:val="single" w:color="auto" w:sz="4" w:space="0"/>
              <w:right w:val="single" w:color="auto" w:sz="4" w:space="0"/>
            </w:tcBorders>
            <w:vAlign w:val="center"/>
          </w:tcPr>
          <w:p w14:paraId="4DD9A1E5">
            <w:pPr>
              <w:spacing w:line="360" w:lineRule="auto"/>
              <w:jc w:val="center"/>
              <w:rPr>
                <w:rFonts w:ascii="宋体" w:hAnsi="宋体" w:cs="宋体"/>
                <w:b/>
                <w:sz w:val="24"/>
              </w:rPr>
            </w:pPr>
            <w:r>
              <w:rPr>
                <w:rFonts w:hint="eastAsia" w:ascii="宋体" w:hAnsi="宋体"/>
                <w:sz w:val="24"/>
              </w:rPr>
              <w:t>低于成本报价</w:t>
            </w:r>
          </w:p>
        </w:tc>
        <w:tc>
          <w:tcPr>
            <w:tcW w:w="6437" w:type="dxa"/>
            <w:tcBorders>
              <w:top w:val="single" w:color="auto" w:sz="4" w:space="0"/>
              <w:left w:val="single" w:color="auto" w:sz="4" w:space="0"/>
              <w:bottom w:val="single" w:color="auto" w:sz="4" w:space="0"/>
              <w:right w:val="single" w:color="auto" w:sz="4" w:space="0"/>
            </w:tcBorders>
            <w:vAlign w:val="center"/>
          </w:tcPr>
          <w:p w14:paraId="52462DA6">
            <w:pPr>
              <w:spacing w:line="360" w:lineRule="auto"/>
              <w:rPr>
                <w:rFonts w:ascii="宋体" w:hAnsi="宋体" w:cs="宋体"/>
                <w:sz w:val="24"/>
              </w:rPr>
            </w:pPr>
            <w:r>
              <w:rPr>
                <w:rFonts w:hint="eastAsia" w:ascii="宋体" w:hAnsi="宋体" w:cs="宋体"/>
                <w:sz w:val="24"/>
              </w:rPr>
              <w:t>在评标过程中，评标委员会发现投标人的报价明显低于其他投标报价，使得其投标报价可能低于其个别成本的，应当要求该投标人作出书面说明,评标委员会应从发包人要求和投标报价构成等方面综合考虑对投标人是否低于其个别成本进行认定，评标委员会经评审认为其不低于成本的，应当书面说明理由。投标人不能说明或者评标委员会认为说明不合理的，由评标委员会认定该投标人以低于成本报价竞标，其投标应作否决处理。</w:t>
            </w:r>
          </w:p>
          <w:p w14:paraId="2E843399">
            <w:pPr>
              <w:adjustRightInd w:val="0"/>
              <w:snapToGrid w:val="0"/>
              <w:spacing w:line="360" w:lineRule="auto"/>
              <w:rPr>
                <w:rFonts w:ascii="宋体" w:hAnsi="宋体" w:cs="宋体"/>
                <w:sz w:val="24"/>
                <w:u w:val="single"/>
              </w:rPr>
            </w:pPr>
            <w:r>
              <w:rPr>
                <w:rFonts w:hint="eastAsia" w:ascii="宋体" w:hAnsi="宋体" w:cs="宋体"/>
                <w:sz w:val="24"/>
              </w:rPr>
              <w:t>启动低于成本评审的具体标准：</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color w:val="FF0000"/>
                <w:sz w:val="24"/>
                <w:u w:val="single"/>
                <w:lang w:val="en-US" w:eastAsia="zh-CN"/>
              </w:rPr>
              <w:t xml:space="preserve"> </w:t>
            </w:r>
            <w:r>
              <w:rPr>
                <w:rFonts w:hint="eastAsia" w:ascii="宋体" w:hAnsi="宋体" w:cs="宋体"/>
                <w:sz w:val="24"/>
                <w:u w:val="single"/>
              </w:rPr>
              <w:t xml:space="preserve">  （招标人应根据最高投标限价的水平，结合市场情况合理设定，例如：低于最高投标限价的*</w:t>
            </w:r>
            <w:r>
              <w:rPr>
                <w:rFonts w:ascii="宋体" w:hAnsi="宋体" w:cs="宋体"/>
                <w:sz w:val="24"/>
                <w:u w:val="single"/>
              </w:rPr>
              <w:t>*%</w:t>
            </w:r>
            <w:r>
              <w:rPr>
                <w:rFonts w:hint="eastAsia" w:ascii="宋体" w:hAnsi="宋体" w:cs="宋体"/>
                <w:sz w:val="24"/>
                <w:u w:val="single"/>
              </w:rPr>
              <w:t>时。但不得设定或变相设定最低投标限价）</w:t>
            </w:r>
            <w:r>
              <w:rPr>
                <w:rFonts w:hint="eastAsia" w:ascii="宋体" w:hAnsi="宋体" w:cs="宋体"/>
                <w:sz w:val="24"/>
              </w:rPr>
              <w:t>。</w:t>
            </w:r>
          </w:p>
          <w:p w14:paraId="773B441C">
            <w:pPr>
              <w:spacing w:line="360" w:lineRule="auto"/>
              <w:rPr>
                <w:rFonts w:ascii="宋体" w:hAnsi="宋体" w:cs="宋体"/>
                <w:b/>
                <w:sz w:val="24"/>
              </w:rPr>
            </w:pPr>
            <w:r>
              <w:rPr>
                <w:rFonts w:hint="eastAsia" w:ascii="宋体" w:hAnsi="宋体" w:cs="宋体"/>
                <w:sz w:val="24"/>
              </w:rPr>
              <w:t>评标委员会全体成员半数以上认为该投标人不能合理说明的，认定该投标人以低于成本报价竞标，其投标应作否决处理。持有异议的评标委员会成员可以书面方式阐述其不同意见和理由，拒绝签字且不陈述其不同意见和理由的，视为同意。</w:t>
            </w:r>
          </w:p>
        </w:tc>
      </w:tr>
      <w:tr w14:paraId="40A8552B">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1DC7CB7">
            <w:pPr>
              <w:spacing w:line="360" w:lineRule="auto"/>
              <w:jc w:val="center"/>
              <w:rPr>
                <w:rFonts w:ascii="宋体" w:hAnsi="宋体" w:cs="宋体"/>
                <w:b/>
                <w:sz w:val="24"/>
              </w:rPr>
            </w:pPr>
            <w:r>
              <w:rPr>
                <w:rFonts w:hint="eastAsia" w:ascii="宋体" w:hAnsi="宋体"/>
                <w:sz w:val="24"/>
              </w:rPr>
              <w:t>9.5</w:t>
            </w:r>
          </w:p>
        </w:tc>
        <w:tc>
          <w:tcPr>
            <w:tcW w:w="2252" w:type="dxa"/>
            <w:tcBorders>
              <w:top w:val="single" w:color="auto" w:sz="4" w:space="0"/>
              <w:left w:val="single" w:color="auto" w:sz="4" w:space="0"/>
              <w:bottom w:val="single" w:color="auto" w:sz="4" w:space="0"/>
              <w:right w:val="single" w:color="auto" w:sz="4" w:space="0"/>
            </w:tcBorders>
            <w:vAlign w:val="center"/>
          </w:tcPr>
          <w:p w14:paraId="1D9B8CC4">
            <w:pPr>
              <w:spacing w:line="360" w:lineRule="auto"/>
              <w:jc w:val="center"/>
              <w:rPr>
                <w:rFonts w:ascii="宋体" w:hAnsi="宋体" w:cs="宋体"/>
                <w:b/>
                <w:sz w:val="24"/>
              </w:rPr>
            </w:pPr>
            <w:r>
              <w:rPr>
                <w:rFonts w:hint="eastAsia" w:ascii="宋体" w:hAnsi="宋体"/>
                <w:sz w:val="24"/>
              </w:rPr>
              <w:t>中标价</w:t>
            </w:r>
          </w:p>
        </w:tc>
        <w:tc>
          <w:tcPr>
            <w:tcW w:w="6437" w:type="dxa"/>
            <w:tcBorders>
              <w:top w:val="single" w:color="auto" w:sz="4" w:space="0"/>
              <w:left w:val="single" w:color="auto" w:sz="4" w:space="0"/>
              <w:bottom w:val="single" w:color="auto" w:sz="4" w:space="0"/>
              <w:right w:val="single" w:color="auto" w:sz="4" w:space="0"/>
            </w:tcBorders>
            <w:vAlign w:val="center"/>
          </w:tcPr>
          <w:p w14:paraId="7038101A">
            <w:pPr>
              <w:spacing w:line="360" w:lineRule="auto"/>
              <w:rPr>
                <w:rFonts w:ascii="宋体" w:hAnsi="宋体"/>
                <w:sz w:val="24"/>
              </w:rPr>
            </w:pPr>
            <w:r>
              <w:rPr>
                <w:rFonts w:hint="eastAsia" w:ascii="宋体" w:hAnsi="宋体"/>
                <w:sz w:val="24"/>
              </w:rPr>
              <w:t>以中标的投标人在投标函中的投标报价为准。按第三章“评标办法”3.1.3对投标报价进行修正的，以投标人接受的修正价格为中标价。</w:t>
            </w:r>
          </w:p>
          <w:p w14:paraId="73E1974A">
            <w:pPr>
              <w:spacing w:line="360" w:lineRule="auto"/>
              <w:rPr>
                <w:rFonts w:ascii="宋体" w:hAnsi="宋体" w:cs="宋体"/>
                <w:b/>
                <w:sz w:val="24"/>
              </w:rPr>
            </w:pPr>
            <w:r>
              <w:rPr>
                <w:rFonts w:hint="eastAsia" w:ascii="宋体" w:hAnsi="宋体"/>
                <w:sz w:val="24"/>
              </w:rPr>
              <w:t>无论是采用综合评估法还是经评审的最低投标价法，都不保证报价最低的投标人中标，也不解释原因。</w:t>
            </w:r>
          </w:p>
        </w:tc>
      </w:tr>
      <w:tr w14:paraId="2B1491F7">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6645FE36">
            <w:pPr>
              <w:spacing w:line="360" w:lineRule="auto"/>
              <w:jc w:val="center"/>
              <w:rPr>
                <w:rFonts w:ascii="宋体" w:hAnsi="宋体" w:cs="宋体"/>
                <w:b/>
                <w:sz w:val="24"/>
              </w:rPr>
            </w:pPr>
            <w:r>
              <w:rPr>
                <w:rFonts w:hint="eastAsia" w:ascii="宋体" w:hAnsi="宋体"/>
                <w:sz w:val="24"/>
              </w:rPr>
              <w:t>9.6</w:t>
            </w:r>
          </w:p>
        </w:tc>
        <w:tc>
          <w:tcPr>
            <w:tcW w:w="2252" w:type="dxa"/>
            <w:tcBorders>
              <w:top w:val="single" w:color="auto" w:sz="4" w:space="0"/>
              <w:left w:val="single" w:color="auto" w:sz="4" w:space="0"/>
              <w:bottom w:val="single" w:color="auto" w:sz="4" w:space="0"/>
              <w:right w:val="single" w:color="auto" w:sz="4" w:space="0"/>
            </w:tcBorders>
            <w:vAlign w:val="center"/>
          </w:tcPr>
          <w:p w14:paraId="7B801DBF">
            <w:pPr>
              <w:spacing w:line="360" w:lineRule="auto"/>
              <w:jc w:val="center"/>
              <w:rPr>
                <w:rFonts w:ascii="宋体" w:hAnsi="宋体" w:cs="宋体"/>
                <w:b/>
                <w:sz w:val="24"/>
              </w:rPr>
            </w:pPr>
            <w:r>
              <w:rPr>
                <w:rFonts w:hint="eastAsia" w:ascii="宋体" w:hAnsi="宋体"/>
                <w:sz w:val="24"/>
              </w:rPr>
              <w:t>确定中标人</w:t>
            </w:r>
          </w:p>
        </w:tc>
        <w:tc>
          <w:tcPr>
            <w:tcW w:w="6437" w:type="dxa"/>
            <w:tcBorders>
              <w:top w:val="single" w:color="auto" w:sz="4" w:space="0"/>
              <w:left w:val="single" w:color="auto" w:sz="4" w:space="0"/>
              <w:bottom w:val="single" w:color="auto" w:sz="4" w:space="0"/>
              <w:right w:val="single" w:color="auto" w:sz="4" w:space="0"/>
            </w:tcBorders>
            <w:vAlign w:val="center"/>
          </w:tcPr>
          <w:p w14:paraId="505E3780">
            <w:pPr>
              <w:spacing w:line="360" w:lineRule="auto"/>
              <w:rPr>
                <w:rFonts w:ascii="宋体" w:hAnsi="宋体"/>
                <w:sz w:val="24"/>
              </w:rPr>
            </w:pPr>
            <w:r>
              <w:rPr>
                <w:rFonts w:hint="eastAsia" w:ascii="宋体" w:hAnsi="宋体"/>
                <w:sz w:val="24"/>
              </w:rPr>
              <w:t>如投标人被推荐为第一中标候选人的多个标段配置了相同的项目经理和施工负责人，则按如下方式选择其中一个标段作为中标人：</w:t>
            </w:r>
          </w:p>
          <w:p w14:paraId="57DB18F5">
            <w:pPr>
              <w:spacing w:line="360" w:lineRule="auto"/>
              <w:rPr>
                <w:rFonts w:ascii="宋体" w:hAnsi="宋体"/>
                <w:sz w:val="24"/>
              </w:rPr>
            </w:pPr>
            <w:sdt>
              <w:sdtPr>
                <w:rPr>
                  <w:rFonts w:hint="eastAsia" w:ascii="宋体" w:hAnsi="宋体"/>
                  <w:sz w:val="24"/>
                </w:rPr>
                <w:id w:val="-1379702847"/>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sz w:val="24"/>
                  </w:rPr>
                  <w:t>☐</w:t>
                </w:r>
              </w:sdtContent>
            </w:sdt>
            <w:r>
              <w:rPr>
                <w:rFonts w:hint="eastAsia" w:ascii="宋体" w:hAnsi="宋体"/>
                <w:sz w:val="24"/>
              </w:rPr>
              <w:t>由投标人选择中标的合同段，选择原则为：</w:t>
            </w:r>
            <w:r>
              <w:rPr>
                <w:rFonts w:hint="eastAsia" w:ascii="宋体" w:hAnsi="宋体"/>
                <w:sz w:val="24"/>
                <w:u w:val="single"/>
              </w:rPr>
              <w:t xml:space="preserve">       </w:t>
            </w:r>
            <w:r>
              <w:rPr>
                <w:rFonts w:hint="eastAsia" w:ascii="宋体" w:hAnsi="宋体"/>
                <w:sz w:val="24"/>
              </w:rPr>
              <w:t>。</w:t>
            </w:r>
          </w:p>
          <w:p w14:paraId="54B50A3D">
            <w:pPr>
              <w:spacing w:line="360" w:lineRule="auto"/>
              <w:rPr>
                <w:rFonts w:ascii="宋体" w:hAnsi="宋体"/>
                <w:sz w:val="24"/>
              </w:rPr>
            </w:pPr>
            <w:sdt>
              <w:sdtPr>
                <w:rPr>
                  <w:rFonts w:hint="eastAsia" w:ascii="宋体" w:hAnsi="宋体"/>
                  <w:sz w:val="24"/>
                </w:rPr>
                <w:id w:val="-1300064307"/>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由招标人选择中标的合同段，选择原则为：</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14:paraId="02349AF5">
            <w:pPr>
              <w:spacing w:line="360" w:lineRule="auto"/>
              <w:rPr>
                <w:rFonts w:ascii="宋体" w:hAnsi="宋体"/>
                <w:sz w:val="24"/>
              </w:rPr>
            </w:pPr>
          </w:p>
          <w:p w14:paraId="1E23568B">
            <w:pPr>
              <w:spacing w:line="360" w:lineRule="auto"/>
              <w:rPr>
                <w:rFonts w:ascii="宋体" w:hAnsi="宋体"/>
                <w:sz w:val="24"/>
              </w:rPr>
            </w:pPr>
            <w:r>
              <w:rPr>
                <w:rFonts w:ascii="宋体" w:hAnsi="宋体"/>
                <w:sz w:val="24"/>
              </w:rPr>
              <w:t xml:space="preserve">  </w:t>
            </w:r>
            <w:r>
              <w:rPr>
                <w:rFonts w:hint="eastAsia" w:ascii="宋体" w:hAnsi="宋体"/>
                <w:sz w:val="24"/>
              </w:rPr>
              <w:t>注：（1）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4C674CD3">
            <w:pPr>
              <w:spacing w:line="360" w:lineRule="auto"/>
              <w:rPr>
                <w:rFonts w:ascii="宋体" w:hAnsi="宋体"/>
                <w:sz w:val="24"/>
              </w:rPr>
            </w:pPr>
            <w:r>
              <w:rPr>
                <w:rFonts w:hint="eastAsia" w:ascii="宋体" w:hAnsi="宋体"/>
                <w:sz w:val="24"/>
              </w:rPr>
              <w:t>（2）根据《工程建设项目施工招标投标办法》（七部委30号令）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14:paraId="57638B0D">
            <w:pPr>
              <w:spacing w:line="360" w:lineRule="auto"/>
              <w:rPr>
                <w:rFonts w:ascii="宋体" w:hAnsi="宋体" w:cs="宋体"/>
                <w:b/>
                <w:sz w:val="24"/>
              </w:rPr>
            </w:pPr>
            <w:r>
              <w:rPr>
                <w:rFonts w:hint="eastAsia" w:ascii="宋体" w:hAnsi="宋体"/>
                <w:sz w:val="24"/>
              </w:rPr>
              <w:t>（3）根据《工程建设项目勘察设计招标投标办法》（八部委2号令）</w:t>
            </w:r>
            <w:r>
              <w:rPr>
                <w:rFonts w:ascii="宋体" w:hAnsi="宋体"/>
                <w:sz w:val="24"/>
              </w:rPr>
              <w:t>第四十条</w:t>
            </w:r>
            <w:r>
              <w:rPr>
                <w:rFonts w:hint="eastAsia" w:ascii="宋体" w:hAnsi="宋体"/>
                <w:sz w:val="24"/>
              </w:rPr>
              <w:t>，</w:t>
            </w:r>
            <w:r>
              <w:rPr>
                <w:rFonts w:ascii="宋体" w:hAnsi="宋体"/>
                <w:sz w:val="24"/>
              </w:rPr>
              <w:t>国有资金占控股或者主导地位的依法必须招标的项目，招标人应当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tc>
      </w:tr>
      <w:tr w14:paraId="61FF5555">
        <w:tblPrEx>
          <w:tblCellMar>
            <w:top w:w="0" w:type="dxa"/>
            <w:left w:w="108" w:type="dxa"/>
            <w:bottom w:w="0" w:type="dxa"/>
            <w:right w:w="108" w:type="dxa"/>
          </w:tblCellMar>
        </w:tblPrEx>
        <w:trPr>
          <w:trHeight w:val="1249" w:hRule="atLeast"/>
        </w:trPr>
        <w:tc>
          <w:tcPr>
            <w:tcW w:w="1165" w:type="dxa"/>
            <w:tcBorders>
              <w:top w:val="single" w:color="auto" w:sz="4" w:space="0"/>
              <w:left w:val="single" w:color="auto" w:sz="4" w:space="0"/>
              <w:bottom w:val="single" w:color="auto" w:sz="4" w:space="0"/>
              <w:right w:val="single" w:color="auto" w:sz="4" w:space="0"/>
            </w:tcBorders>
            <w:vAlign w:val="center"/>
          </w:tcPr>
          <w:p w14:paraId="11882D8E">
            <w:pPr>
              <w:spacing w:line="360" w:lineRule="auto"/>
              <w:jc w:val="center"/>
              <w:rPr>
                <w:rFonts w:ascii="宋体" w:hAnsi="宋体" w:cs="宋体"/>
                <w:b/>
                <w:sz w:val="24"/>
              </w:rPr>
            </w:pPr>
            <w:r>
              <w:rPr>
                <w:rFonts w:hint="eastAsia" w:ascii="宋体" w:hAnsi="宋体"/>
                <w:sz w:val="24"/>
              </w:rPr>
              <w:t>9.7</w:t>
            </w:r>
          </w:p>
        </w:tc>
        <w:tc>
          <w:tcPr>
            <w:tcW w:w="2252" w:type="dxa"/>
            <w:tcBorders>
              <w:top w:val="single" w:color="auto" w:sz="4" w:space="0"/>
              <w:left w:val="single" w:color="auto" w:sz="4" w:space="0"/>
              <w:bottom w:val="single" w:color="auto" w:sz="4" w:space="0"/>
              <w:right w:val="single" w:color="auto" w:sz="4" w:space="0"/>
            </w:tcBorders>
            <w:vAlign w:val="center"/>
          </w:tcPr>
          <w:p w14:paraId="09C31B16">
            <w:pPr>
              <w:spacing w:line="360" w:lineRule="auto"/>
              <w:jc w:val="center"/>
              <w:rPr>
                <w:rFonts w:ascii="宋体" w:hAnsi="宋体" w:cs="宋体"/>
                <w:b/>
                <w:sz w:val="24"/>
              </w:rPr>
            </w:pPr>
            <w:r>
              <w:rPr>
                <w:rFonts w:hint="eastAsia" w:ascii="宋体" w:hAnsi="宋体"/>
                <w:sz w:val="24"/>
              </w:rPr>
              <w:t>合同履行过程中物价波动引起的价格调整</w:t>
            </w:r>
          </w:p>
        </w:tc>
        <w:tc>
          <w:tcPr>
            <w:tcW w:w="6437" w:type="dxa"/>
            <w:tcBorders>
              <w:top w:val="single" w:color="auto" w:sz="4" w:space="0"/>
              <w:left w:val="single" w:color="auto" w:sz="4" w:space="0"/>
              <w:bottom w:val="single" w:color="auto" w:sz="4" w:space="0"/>
              <w:right w:val="single" w:color="auto" w:sz="4" w:space="0"/>
            </w:tcBorders>
            <w:vAlign w:val="center"/>
          </w:tcPr>
          <w:p w14:paraId="4757B0C2">
            <w:pPr>
              <w:spacing w:line="360" w:lineRule="auto"/>
              <w:rPr>
                <w:rFonts w:ascii="宋体" w:hAnsi="宋体"/>
                <w:sz w:val="24"/>
              </w:rPr>
            </w:pPr>
            <w:sdt>
              <w:sdtPr>
                <w:rPr>
                  <w:rFonts w:hint="eastAsia" w:ascii="宋体" w:hAnsi="宋体"/>
                  <w:sz w:val="24"/>
                </w:rPr>
                <w:id w:val="1616020084"/>
                <w14:checkbox>
                  <w14:checked w14:val="1"/>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可以调整。按第四章“合同条款及格式”处理。</w:t>
            </w:r>
          </w:p>
          <w:p w14:paraId="71B5A26B">
            <w:pPr>
              <w:spacing w:line="360" w:lineRule="auto"/>
              <w:rPr>
                <w:rFonts w:ascii="宋体" w:hAnsi="宋体" w:cs="宋体"/>
                <w:b/>
                <w:sz w:val="24"/>
              </w:rPr>
            </w:pPr>
            <w:sdt>
              <w:sdtPr>
                <w:rPr>
                  <w:rFonts w:hint="eastAsia" w:ascii="宋体" w:hAnsi="宋体"/>
                  <w:sz w:val="24"/>
                </w:rPr>
                <w:id w:val="-783187870"/>
                <w14:checkbox>
                  <w14:checked w14:val="0"/>
                  <w14:checkedState w14:val="2611" w14:font="MS Gothic"/>
                  <w14:uncheckedState w14:val="2610" w14:font="MS Gothic"/>
                </w14:checkbox>
              </w:sdtPr>
              <w:sdtEndPr>
                <w:rPr>
                  <w:rFonts w:hint="eastAsia" w:ascii="宋体" w:hAnsi="宋体"/>
                  <w:sz w:val="24"/>
                </w:rPr>
              </w:sdtEndPr>
              <w:sdtContent>
                <w:r>
                  <w:rPr>
                    <w:rFonts w:hint="eastAsia" w:ascii="MS Gothic" w:hAnsi="MS Gothic" w:eastAsia="MS Gothic" w:cs="MS Gothic"/>
                    <w:kern w:val="2"/>
                    <w:sz w:val="24"/>
                    <w:szCs w:val="24"/>
                    <w:lang w:val="en-US" w:eastAsia="zh-CN" w:bidi="ar-SA"/>
                  </w:rPr>
                  <w:t>☐</w:t>
                </w:r>
              </w:sdtContent>
            </w:sdt>
            <w:r>
              <w:rPr>
                <w:rFonts w:hint="eastAsia" w:ascii="宋体" w:hAnsi="宋体"/>
                <w:sz w:val="24"/>
              </w:rPr>
              <w:t>不可以调整。</w:t>
            </w:r>
          </w:p>
        </w:tc>
      </w:tr>
      <w:tr w14:paraId="61B3DA9C">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D152500">
            <w:pPr>
              <w:spacing w:line="360" w:lineRule="auto"/>
              <w:jc w:val="center"/>
              <w:rPr>
                <w:rFonts w:ascii="宋体" w:hAnsi="宋体" w:cs="宋体"/>
                <w:b/>
                <w:sz w:val="24"/>
              </w:rPr>
            </w:pPr>
            <w:r>
              <w:rPr>
                <w:rFonts w:hint="eastAsia" w:ascii="宋体" w:hAnsi="宋体"/>
                <w:sz w:val="24"/>
              </w:rPr>
              <w:t>9.8</w:t>
            </w:r>
          </w:p>
        </w:tc>
        <w:tc>
          <w:tcPr>
            <w:tcW w:w="2252" w:type="dxa"/>
            <w:tcBorders>
              <w:top w:val="single" w:color="auto" w:sz="4" w:space="0"/>
              <w:left w:val="single" w:color="auto" w:sz="4" w:space="0"/>
              <w:bottom w:val="single" w:color="auto" w:sz="4" w:space="0"/>
              <w:right w:val="single" w:color="auto" w:sz="4" w:space="0"/>
            </w:tcBorders>
            <w:vAlign w:val="center"/>
          </w:tcPr>
          <w:p w14:paraId="49CA1E12">
            <w:pPr>
              <w:spacing w:line="360" w:lineRule="auto"/>
              <w:jc w:val="center"/>
              <w:rPr>
                <w:rFonts w:ascii="宋体" w:hAnsi="宋体" w:cs="宋体"/>
                <w:b/>
                <w:sz w:val="24"/>
              </w:rPr>
            </w:pPr>
            <w:r>
              <w:rPr>
                <w:rFonts w:hint="eastAsia" w:ascii="宋体" w:hAnsi="宋体"/>
                <w:sz w:val="24"/>
              </w:rPr>
              <w:t>压证施工制度</w:t>
            </w:r>
          </w:p>
        </w:tc>
        <w:tc>
          <w:tcPr>
            <w:tcW w:w="6437" w:type="dxa"/>
            <w:tcBorders>
              <w:top w:val="single" w:color="auto" w:sz="4" w:space="0"/>
              <w:left w:val="single" w:color="auto" w:sz="4" w:space="0"/>
              <w:bottom w:val="single" w:color="auto" w:sz="4" w:space="0"/>
              <w:right w:val="single" w:color="auto" w:sz="4" w:space="0"/>
            </w:tcBorders>
            <w:vAlign w:val="center"/>
          </w:tcPr>
          <w:p w14:paraId="27DF4FD8">
            <w:pPr>
              <w:spacing w:line="360" w:lineRule="auto"/>
              <w:rPr>
                <w:rFonts w:ascii="宋体" w:hAnsi="宋体" w:cs="宋体"/>
                <w:b/>
                <w:sz w:val="24"/>
              </w:rPr>
            </w:pPr>
            <w:r>
              <w:rPr>
                <w:rFonts w:hint="eastAsia" w:ascii="宋体" w:hAnsi="宋体"/>
                <w:sz w:val="24"/>
              </w:rPr>
              <w:t>实行施工负责人压证施工制度。投标文件承诺的施工负责人的执业资格证书原件，须在签订合同前由中标人提供给项目业主，合同标的的主体工程完工后方予退还。</w:t>
            </w:r>
          </w:p>
        </w:tc>
      </w:tr>
      <w:tr w14:paraId="2738F2B6">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6D58B9B">
            <w:pPr>
              <w:spacing w:line="360" w:lineRule="auto"/>
              <w:jc w:val="center"/>
              <w:rPr>
                <w:rFonts w:ascii="宋体" w:hAnsi="宋体" w:cs="宋体"/>
                <w:b/>
                <w:sz w:val="24"/>
              </w:rPr>
            </w:pPr>
            <w:r>
              <w:rPr>
                <w:rFonts w:hint="eastAsia" w:ascii="宋体" w:hAnsi="宋体"/>
                <w:sz w:val="24"/>
              </w:rPr>
              <w:t>9.9</w:t>
            </w:r>
          </w:p>
        </w:tc>
        <w:tc>
          <w:tcPr>
            <w:tcW w:w="2252" w:type="dxa"/>
            <w:tcBorders>
              <w:top w:val="single" w:color="auto" w:sz="4" w:space="0"/>
              <w:left w:val="single" w:color="auto" w:sz="4" w:space="0"/>
              <w:bottom w:val="single" w:color="auto" w:sz="4" w:space="0"/>
              <w:right w:val="single" w:color="auto" w:sz="4" w:space="0"/>
            </w:tcBorders>
            <w:vAlign w:val="center"/>
          </w:tcPr>
          <w:p w14:paraId="56730EFE">
            <w:pPr>
              <w:spacing w:line="360" w:lineRule="auto"/>
              <w:jc w:val="center"/>
              <w:rPr>
                <w:rFonts w:ascii="宋体" w:hAnsi="宋体" w:cs="宋体"/>
                <w:b/>
                <w:sz w:val="24"/>
              </w:rPr>
            </w:pPr>
            <w:r>
              <w:rPr>
                <w:rFonts w:hint="eastAsia" w:ascii="宋体" w:hAnsi="宋体"/>
                <w:sz w:val="24"/>
              </w:rPr>
              <w:t>严禁转包和违法分包</w:t>
            </w:r>
          </w:p>
        </w:tc>
        <w:tc>
          <w:tcPr>
            <w:tcW w:w="6437" w:type="dxa"/>
            <w:tcBorders>
              <w:top w:val="single" w:color="auto" w:sz="4" w:space="0"/>
              <w:left w:val="single" w:color="auto" w:sz="4" w:space="0"/>
              <w:bottom w:val="single" w:color="auto" w:sz="4" w:space="0"/>
              <w:right w:val="single" w:color="auto" w:sz="4" w:space="0"/>
            </w:tcBorders>
            <w:vAlign w:val="center"/>
          </w:tcPr>
          <w:p w14:paraId="61C81308">
            <w:pPr>
              <w:spacing w:line="360" w:lineRule="auto"/>
              <w:rPr>
                <w:rFonts w:ascii="宋体" w:hAnsi="宋体" w:cs="宋体"/>
                <w:b/>
                <w:sz w:val="24"/>
              </w:rPr>
            </w:pPr>
            <w:r>
              <w:rPr>
                <w:rFonts w:hint="eastAsia" w:ascii="宋体" w:hAnsi="宋体"/>
                <w:sz w:val="24"/>
              </w:rPr>
              <w:t>中标人在合同履行中，不得存在《建筑工程施工发包与承包违法行为认定查处管理办法》（建市规〔2019〕1号）规定的转包和违法分包的情形。</w:t>
            </w:r>
          </w:p>
        </w:tc>
      </w:tr>
      <w:tr w14:paraId="7E2A52E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1F4962F4">
            <w:pPr>
              <w:spacing w:line="360" w:lineRule="auto"/>
              <w:jc w:val="center"/>
              <w:rPr>
                <w:rFonts w:ascii="宋体" w:hAnsi="宋体" w:cs="宋体"/>
                <w:b/>
                <w:sz w:val="24"/>
              </w:rPr>
            </w:pPr>
            <w:r>
              <w:rPr>
                <w:rFonts w:hint="eastAsia" w:ascii="宋体" w:hAnsi="宋体"/>
                <w:sz w:val="24"/>
              </w:rPr>
              <w:t>9.10</w:t>
            </w:r>
          </w:p>
        </w:tc>
        <w:tc>
          <w:tcPr>
            <w:tcW w:w="2252" w:type="dxa"/>
            <w:tcBorders>
              <w:top w:val="single" w:color="auto" w:sz="4" w:space="0"/>
              <w:left w:val="single" w:color="auto" w:sz="4" w:space="0"/>
              <w:bottom w:val="single" w:color="auto" w:sz="4" w:space="0"/>
              <w:right w:val="single" w:color="auto" w:sz="4" w:space="0"/>
            </w:tcBorders>
            <w:vAlign w:val="center"/>
          </w:tcPr>
          <w:p w14:paraId="096FF468">
            <w:pPr>
              <w:spacing w:line="360" w:lineRule="auto"/>
              <w:jc w:val="center"/>
              <w:rPr>
                <w:rFonts w:ascii="宋体" w:hAnsi="宋体" w:cs="宋体"/>
                <w:b/>
                <w:sz w:val="24"/>
              </w:rPr>
            </w:pPr>
            <w:r>
              <w:rPr>
                <w:rFonts w:hint="eastAsia" w:ascii="宋体" w:hAnsi="宋体"/>
                <w:sz w:val="24"/>
              </w:rPr>
              <w:t>招标文件内容冲突的解决及优先适用次序</w:t>
            </w:r>
          </w:p>
        </w:tc>
        <w:tc>
          <w:tcPr>
            <w:tcW w:w="6437" w:type="dxa"/>
            <w:tcBorders>
              <w:top w:val="single" w:color="auto" w:sz="4" w:space="0"/>
              <w:left w:val="single" w:color="auto" w:sz="4" w:space="0"/>
              <w:bottom w:val="single" w:color="auto" w:sz="4" w:space="0"/>
              <w:right w:val="single" w:color="auto" w:sz="4" w:space="0"/>
            </w:tcBorders>
            <w:vAlign w:val="center"/>
          </w:tcPr>
          <w:p w14:paraId="06BEF618">
            <w:pPr>
              <w:spacing w:line="360" w:lineRule="auto"/>
              <w:rPr>
                <w:rFonts w:ascii="宋体" w:hAnsi="宋体"/>
                <w:sz w:val="24"/>
              </w:rPr>
            </w:pPr>
            <w:r>
              <w:rPr>
                <w:rFonts w:hint="eastAsia" w:ascii="宋体" w:hAnsi="宋体" w:cs="宋体"/>
                <w:sz w:val="24"/>
              </w:rPr>
              <w:t>招标文件中招标人编制的内容前后有矛盾或不一致，有时间先后顺序的，以时间在后的修改、澄清或补正文件为准；没有时间先后顺序的，以公平的原则进行处理。投标人须知前附表和招标文件中“注”的内容与正文不一致时，以投标人须知前附表和招标文件中“注”的内容为准。</w:t>
            </w:r>
          </w:p>
          <w:p w14:paraId="7DFF3771">
            <w:pPr>
              <w:spacing w:line="360" w:lineRule="auto"/>
              <w:rPr>
                <w:rFonts w:ascii="宋体" w:hAnsi="宋体" w:cs="宋体"/>
                <w:b/>
                <w:sz w:val="24"/>
              </w:rPr>
            </w:pPr>
            <w:r>
              <w:rPr>
                <w:rFonts w:hint="eastAsia" w:ascii="宋体" w:hAnsi="宋体" w:cs="宋体"/>
                <w:sz w:val="24"/>
              </w:rPr>
              <w:t>对招标文件的内容理解有争议的，由招标人按照招标文件所使用的词句、招标文件的有关条款、招标的目的、习惯以及诚实信用原则，确定该条款的真实意思，有两种以上解释的，作出不利于招标人一方的解释。</w:t>
            </w:r>
          </w:p>
        </w:tc>
      </w:tr>
      <w:tr w14:paraId="2570E46E">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63DEB73">
            <w:pPr>
              <w:spacing w:line="360" w:lineRule="auto"/>
              <w:jc w:val="center"/>
              <w:rPr>
                <w:rFonts w:ascii="宋体" w:hAnsi="宋体" w:cs="宋体"/>
                <w:b/>
                <w:sz w:val="24"/>
              </w:rPr>
            </w:pPr>
            <w:r>
              <w:rPr>
                <w:rFonts w:hint="eastAsia" w:ascii="宋体" w:hAnsi="宋体"/>
                <w:sz w:val="24"/>
              </w:rPr>
              <w:t>9.11</w:t>
            </w:r>
          </w:p>
        </w:tc>
        <w:tc>
          <w:tcPr>
            <w:tcW w:w="2252" w:type="dxa"/>
            <w:tcBorders>
              <w:top w:val="single" w:color="auto" w:sz="4" w:space="0"/>
              <w:left w:val="single" w:color="auto" w:sz="4" w:space="0"/>
              <w:bottom w:val="single" w:color="auto" w:sz="4" w:space="0"/>
              <w:right w:val="single" w:color="auto" w:sz="4" w:space="0"/>
            </w:tcBorders>
            <w:vAlign w:val="center"/>
          </w:tcPr>
          <w:p w14:paraId="004544AB">
            <w:pPr>
              <w:spacing w:line="360" w:lineRule="auto"/>
              <w:jc w:val="center"/>
              <w:rPr>
                <w:rFonts w:ascii="宋体" w:hAnsi="宋体" w:cs="宋体"/>
                <w:b/>
                <w:sz w:val="24"/>
              </w:rPr>
            </w:pPr>
            <w:r>
              <w:rPr>
                <w:rFonts w:hint="eastAsia" w:ascii="宋体" w:hAnsi="宋体"/>
                <w:sz w:val="24"/>
              </w:rPr>
              <w:t>投标文件的真实性要求</w:t>
            </w:r>
          </w:p>
        </w:tc>
        <w:tc>
          <w:tcPr>
            <w:tcW w:w="6437" w:type="dxa"/>
            <w:tcBorders>
              <w:top w:val="single" w:color="auto" w:sz="4" w:space="0"/>
              <w:left w:val="single" w:color="auto" w:sz="4" w:space="0"/>
              <w:bottom w:val="single" w:color="auto" w:sz="4" w:space="0"/>
              <w:right w:val="single" w:color="auto" w:sz="4" w:space="0"/>
            </w:tcBorders>
            <w:vAlign w:val="center"/>
          </w:tcPr>
          <w:p w14:paraId="5940A401">
            <w:pPr>
              <w:spacing w:line="360" w:lineRule="auto"/>
              <w:rPr>
                <w:rFonts w:ascii="宋体" w:hAnsi="宋体"/>
                <w:sz w:val="24"/>
              </w:rPr>
            </w:pPr>
            <w:r>
              <w:rPr>
                <w:rFonts w:hint="eastAsia" w:ascii="宋体" w:hAnsi="宋体"/>
                <w:sz w:val="24"/>
              </w:rPr>
              <w:t>投标人所递交的投标文件（包括有关资料、澄清）应不存在弄虚作假或隐瞒。</w:t>
            </w:r>
          </w:p>
          <w:p w14:paraId="7044B2B5">
            <w:pPr>
              <w:spacing w:line="360" w:lineRule="auto"/>
              <w:rPr>
                <w:rFonts w:ascii="宋体" w:hAnsi="宋体"/>
                <w:sz w:val="24"/>
              </w:rPr>
            </w:pPr>
            <w:r>
              <w:rPr>
                <w:rFonts w:hint="eastAsia" w:ascii="宋体" w:hAnsi="宋体"/>
                <w:sz w:val="24"/>
              </w:rPr>
              <w:t>投标人声明不存在限制投标情形但被发现存在限制投标情形的，属于隐瞒。</w:t>
            </w:r>
          </w:p>
          <w:p w14:paraId="50164EA8">
            <w:pPr>
              <w:spacing w:line="360" w:lineRule="auto"/>
              <w:rPr>
                <w:rFonts w:ascii="宋体" w:hAnsi="宋体" w:cs="宋体"/>
                <w:b/>
                <w:sz w:val="24"/>
              </w:rPr>
            </w:pPr>
            <w:r>
              <w:rPr>
                <w:rFonts w:hint="eastAsia" w:ascii="宋体" w:hAnsi="宋体"/>
                <w:sz w:val="24"/>
              </w:rPr>
              <w:t>如投标文件存在弄虚作假或隐瞒，在评标阶段发现的，评标委员会应将该投标文件作否决投标处理；中标候选人确定后发现的，招标人依照《中华人民共和国招标投标法实施条例》第五十五条的规定处理。</w:t>
            </w:r>
          </w:p>
        </w:tc>
      </w:tr>
      <w:tr w14:paraId="25A5A119">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5DE75B30">
            <w:pPr>
              <w:spacing w:line="360" w:lineRule="auto"/>
              <w:jc w:val="center"/>
              <w:rPr>
                <w:rFonts w:ascii="宋体" w:hAnsi="宋体" w:cs="宋体"/>
                <w:b/>
                <w:sz w:val="24"/>
              </w:rPr>
            </w:pPr>
            <w:r>
              <w:rPr>
                <w:rFonts w:hint="eastAsia" w:ascii="宋体" w:hAnsi="宋体"/>
                <w:sz w:val="24"/>
              </w:rPr>
              <w:t>9.12</w:t>
            </w:r>
          </w:p>
        </w:tc>
        <w:tc>
          <w:tcPr>
            <w:tcW w:w="2252" w:type="dxa"/>
            <w:tcBorders>
              <w:top w:val="single" w:color="auto" w:sz="4" w:space="0"/>
              <w:left w:val="single" w:color="auto" w:sz="4" w:space="0"/>
              <w:bottom w:val="single" w:color="auto" w:sz="4" w:space="0"/>
              <w:right w:val="single" w:color="auto" w:sz="4" w:space="0"/>
            </w:tcBorders>
            <w:vAlign w:val="center"/>
          </w:tcPr>
          <w:p w14:paraId="7A150AFA">
            <w:pPr>
              <w:spacing w:line="360" w:lineRule="auto"/>
              <w:jc w:val="center"/>
              <w:rPr>
                <w:rFonts w:ascii="宋体" w:hAnsi="宋体" w:cs="宋体"/>
                <w:b/>
                <w:sz w:val="24"/>
              </w:rPr>
            </w:pPr>
            <w:r>
              <w:rPr>
                <w:rFonts w:hint="eastAsia" w:ascii="宋体" w:hAnsi="宋体"/>
                <w:sz w:val="24"/>
              </w:rPr>
              <w:t>知识产权</w:t>
            </w:r>
          </w:p>
        </w:tc>
        <w:tc>
          <w:tcPr>
            <w:tcW w:w="6437" w:type="dxa"/>
            <w:tcBorders>
              <w:top w:val="single" w:color="auto" w:sz="4" w:space="0"/>
              <w:left w:val="single" w:color="auto" w:sz="4" w:space="0"/>
              <w:bottom w:val="single" w:color="auto" w:sz="4" w:space="0"/>
              <w:right w:val="single" w:color="auto" w:sz="4" w:space="0"/>
            </w:tcBorders>
            <w:vAlign w:val="center"/>
          </w:tcPr>
          <w:p w14:paraId="0924955F">
            <w:pPr>
              <w:spacing w:line="360" w:lineRule="auto"/>
              <w:rPr>
                <w:rFonts w:ascii="宋体" w:hAnsi="宋体" w:cs="宋体"/>
                <w:b/>
                <w:sz w:val="24"/>
              </w:rPr>
            </w:pPr>
            <w:r>
              <w:rPr>
                <w:rFonts w:hint="eastAsia" w:ascii="宋体" w:hAnsi="宋体" w:cs="宋体"/>
                <w:sz w:val="24"/>
              </w:rPr>
              <w:t>构成本招标文件的各组成部分，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14:paraId="1AADA192">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30899710">
            <w:pPr>
              <w:spacing w:line="360" w:lineRule="auto"/>
              <w:jc w:val="center"/>
              <w:rPr>
                <w:rFonts w:ascii="宋体" w:hAnsi="宋体" w:cs="宋体"/>
                <w:b/>
                <w:sz w:val="24"/>
              </w:rPr>
            </w:pPr>
            <w:r>
              <w:rPr>
                <w:rFonts w:hint="eastAsia" w:ascii="宋体" w:hAnsi="宋体"/>
                <w:sz w:val="24"/>
              </w:rPr>
              <w:t>9.</w:t>
            </w:r>
            <w:r>
              <w:rPr>
                <w:rFonts w:ascii="宋体" w:hAnsi="宋体"/>
                <w:sz w:val="24"/>
              </w:rPr>
              <w:t>1</w:t>
            </w:r>
            <w:r>
              <w:rPr>
                <w:rFonts w:hint="eastAsia" w:ascii="宋体" w:hAnsi="宋体"/>
                <w:sz w:val="24"/>
              </w:rPr>
              <w:t>3</w:t>
            </w:r>
          </w:p>
        </w:tc>
        <w:tc>
          <w:tcPr>
            <w:tcW w:w="2252" w:type="dxa"/>
            <w:tcBorders>
              <w:top w:val="single" w:color="auto" w:sz="4" w:space="0"/>
              <w:left w:val="single" w:color="auto" w:sz="4" w:space="0"/>
              <w:bottom w:val="single" w:color="auto" w:sz="4" w:space="0"/>
              <w:right w:val="single" w:color="auto" w:sz="4" w:space="0"/>
            </w:tcBorders>
            <w:vAlign w:val="center"/>
          </w:tcPr>
          <w:p w14:paraId="740FF7EE">
            <w:pPr>
              <w:spacing w:line="360" w:lineRule="auto"/>
              <w:jc w:val="center"/>
              <w:rPr>
                <w:rFonts w:ascii="宋体" w:hAnsi="宋体" w:cs="宋体"/>
                <w:b/>
                <w:sz w:val="24"/>
              </w:rPr>
            </w:pPr>
            <w:r>
              <w:rPr>
                <w:rFonts w:hint="eastAsia" w:ascii="宋体" w:hAnsi="宋体"/>
                <w:sz w:val="24"/>
              </w:rPr>
              <w:t>计算机辅助评标</w:t>
            </w:r>
          </w:p>
        </w:tc>
        <w:tc>
          <w:tcPr>
            <w:tcW w:w="6437" w:type="dxa"/>
            <w:tcBorders>
              <w:top w:val="single" w:color="auto" w:sz="4" w:space="0"/>
              <w:left w:val="single" w:color="auto" w:sz="4" w:space="0"/>
              <w:bottom w:val="single" w:color="auto" w:sz="4" w:space="0"/>
              <w:right w:val="single" w:color="auto" w:sz="4" w:space="0"/>
            </w:tcBorders>
            <w:vAlign w:val="center"/>
          </w:tcPr>
          <w:p w14:paraId="3B8BF32E">
            <w:pPr>
              <w:spacing w:line="360" w:lineRule="auto"/>
              <w:rPr>
                <w:rFonts w:ascii="宋体" w:hAnsi="宋体" w:cs="宋体"/>
                <w:b/>
                <w:sz w:val="24"/>
              </w:rPr>
            </w:pPr>
            <w:r>
              <w:rPr>
                <w:rFonts w:hint="eastAsia" w:ascii="宋体" w:hAnsi="宋体"/>
                <w:sz w:val="24"/>
              </w:rPr>
              <w:t>本次招标采用计算机辅助评标系统进行评标，投标人应保证其所递交的</w:t>
            </w:r>
            <w:r>
              <w:rPr>
                <w:rFonts w:hint="eastAsia" w:ascii="宋体" w:hAnsi="宋体"/>
                <w:sz w:val="24"/>
                <w:u w:val="single"/>
              </w:rPr>
              <w:t xml:space="preserve">   xxx</w:t>
            </w:r>
            <w:r>
              <w:rPr>
                <w:rFonts w:ascii="宋体" w:hAnsi="宋体"/>
                <w:sz w:val="24"/>
                <w:u w:val="single"/>
              </w:rPr>
              <w:t>.TBJ</w:t>
            </w:r>
            <w:r>
              <w:rPr>
                <w:rFonts w:hint="eastAsia" w:ascii="宋体" w:hAnsi="宋体"/>
                <w:sz w:val="24"/>
                <w:u w:val="single"/>
              </w:rPr>
              <w:t xml:space="preserve">  </w:t>
            </w:r>
            <w:r>
              <w:rPr>
                <w:rFonts w:hint="eastAsia" w:ascii="宋体" w:hAnsi="宋体"/>
                <w:sz w:val="24"/>
              </w:rPr>
              <w:t>格式数据电文投标文件能够为计算机辅助评标系统正确读取。</w:t>
            </w:r>
          </w:p>
        </w:tc>
      </w:tr>
      <w:tr w14:paraId="6E31D5D9">
        <w:tblPrEx>
          <w:tblCellMar>
            <w:top w:w="0" w:type="dxa"/>
            <w:left w:w="108" w:type="dxa"/>
            <w:bottom w:w="0" w:type="dxa"/>
            <w:right w:w="108" w:type="dxa"/>
          </w:tblCellMar>
        </w:tblPrEx>
        <w:tc>
          <w:tcPr>
            <w:tcW w:w="9854" w:type="dxa"/>
            <w:gridSpan w:val="3"/>
            <w:tcBorders>
              <w:top w:val="single" w:color="auto" w:sz="4" w:space="0"/>
              <w:left w:val="single" w:color="auto" w:sz="4" w:space="0"/>
              <w:bottom w:val="single" w:color="auto" w:sz="4" w:space="0"/>
              <w:right w:val="single" w:color="auto" w:sz="4" w:space="0"/>
            </w:tcBorders>
            <w:vAlign w:val="center"/>
          </w:tcPr>
          <w:p w14:paraId="03F45B88">
            <w:pPr>
              <w:spacing w:line="440" w:lineRule="exact"/>
              <w:ind w:firstLine="3360" w:firstLineChars="1400"/>
              <w:rPr>
                <w:rFonts w:ascii="宋体" w:hAnsi="宋体" w:cs="宋体"/>
                <w:sz w:val="24"/>
              </w:rPr>
            </w:pPr>
            <w:r>
              <w:rPr>
                <w:rFonts w:hint="eastAsia" w:ascii="宋体" w:hAnsi="宋体" w:cs="宋体"/>
                <w:sz w:val="24"/>
              </w:rPr>
              <w:t>投标人须知前附表增加条款表</w:t>
            </w:r>
          </w:p>
        </w:tc>
      </w:tr>
      <w:tr w14:paraId="6EFEC014">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499DA210">
            <w:pPr>
              <w:spacing w:line="360" w:lineRule="auto"/>
              <w:jc w:val="center"/>
              <w:rPr>
                <w:rFonts w:ascii="宋体" w:hAnsi="宋体" w:cs="宋体"/>
                <w:sz w:val="24"/>
              </w:rPr>
            </w:pPr>
            <w:r>
              <w:rPr>
                <w:rFonts w:hint="eastAsia" w:ascii="宋体" w:hAnsi="宋体" w:cs="宋体"/>
                <w:sz w:val="24"/>
              </w:rPr>
              <w:t>条款号</w:t>
            </w:r>
          </w:p>
        </w:tc>
        <w:tc>
          <w:tcPr>
            <w:tcW w:w="2252" w:type="dxa"/>
            <w:tcBorders>
              <w:top w:val="single" w:color="auto" w:sz="4" w:space="0"/>
              <w:left w:val="single" w:color="auto" w:sz="4" w:space="0"/>
              <w:bottom w:val="single" w:color="auto" w:sz="4" w:space="0"/>
              <w:right w:val="single" w:color="auto" w:sz="4" w:space="0"/>
            </w:tcBorders>
            <w:vAlign w:val="center"/>
          </w:tcPr>
          <w:p w14:paraId="43B66963">
            <w:pPr>
              <w:spacing w:line="360" w:lineRule="auto"/>
              <w:jc w:val="center"/>
              <w:rPr>
                <w:rFonts w:ascii="宋体" w:hAnsi="宋体" w:cs="宋体"/>
                <w:sz w:val="24"/>
              </w:rPr>
            </w:pPr>
            <w:r>
              <w:rPr>
                <w:rFonts w:hint="eastAsia" w:ascii="宋体" w:hAnsi="宋体" w:cs="宋体"/>
                <w:sz w:val="24"/>
              </w:rPr>
              <w:t>条款名称</w:t>
            </w:r>
          </w:p>
        </w:tc>
        <w:tc>
          <w:tcPr>
            <w:tcW w:w="6437" w:type="dxa"/>
            <w:tcBorders>
              <w:top w:val="single" w:color="auto" w:sz="4" w:space="0"/>
              <w:left w:val="single" w:color="auto" w:sz="4" w:space="0"/>
              <w:bottom w:val="single" w:color="auto" w:sz="4" w:space="0"/>
              <w:right w:val="single" w:color="auto" w:sz="4" w:space="0"/>
            </w:tcBorders>
            <w:vAlign w:val="center"/>
          </w:tcPr>
          <w:p w14:paraId="13121A18">
            <w:pPr>
              <w:spacing w:line="360" w:lineRule="auto"/>
              <w:jc w:val="center"/>
              <w:rPr>
                <w:rFonts w:ascii="宋体" w:hAnsi="宋体" w:cs="宋体"/>
                <w:sz w:val="24"/>
              </w:rPr>
            </w:pPr>
            <w:r>
              <w:rPr>
                <w:rFonts w:hint="eastAsia" w:ascii="宋体" w:hAnsi="宋体" w:cs="宋体"/>
                <w:sz w:val="24"/>
              </w:rPr>
              <w:t>编列内容</w:t>
            </w:r>
          </w:p>
        </w:tc>
      </w:tr>
      <w:tr w14:paraId="6027E5AA">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2A1972F7">
            <w:pPr>
              <w:spacing w:line="360" w:lineRule="auto"/>
              <w:jc w:val="center"/>
              <w:rPr>
                <w:rFonts w:hint="eastAsia" w:ascii="宋体" w:hAnsi="宋体" w:cs="宋体"/>
                <w:sz w:val="24"/>
              </w:rPr>
            </w:pPr>
          </w:p>
          <w:p w14:paraId="3208F657">
            <w:pPr>
              <w:spacing w:line="360" w:lineRule="auto"/>
              <w:jc w:val="center"/>
              <w:rPr>
                <w:rFonts w:hint="default" w:ascii="宋体" w:hAnsi="宋体" w:eastAsia="宋体" w:cs="宋体"/>
                <w:sz w:val="24"/>
                <w:lang w:val="en-US" w:eastAsia="zh-CN"/>
              </w:rPr>
            </w:pPr>
            <w:r>
              <w:rPr>
                <w:rFonts w:hint="eastAsia" w:ascii="宋体" w:hAnsi="宋体" w:cs="宋体"/>
                <w:sz w:val="24"/>
                <w:lang w:val="en-US" w:eastAsia="zh-CN"/>
              </w:rPr>
              <w:t>10</w:t>
            </w:r>
          </w:p>
          <w:p w14:paraId="47AE1B7C">
            <w:pPr>
              <w:spacing w:line="360" w:lineRule="auto"/>
              <w:jc w:val="center"/>
              <w:rPr>
                <w:rFonts w:hint="eastAsia" w:ascii="宋体" w:hAnsi="宋体" w:cs="宋体"/>
                <w:sz w:val="24"/>
              </w:rPr>
            </w:pPr>
          </w:p>
          <w:p w14:paraId="1AFD21A1">
            <w:pPr>
              <w:spacing w:line="360" w:lineRule="auto"/>
              <w:jc w:val="center"/>
              <w:rPr>
                <w:rFonts w:ascii="宋体" w:hAnsi="宋体" w:cs="宋体"/>
                <w:sz w:val="24"/>
              </w:rPr>
            </w:pPr>
          </w:p>
        </w:tc>
        <w:tc>
          <w:tcPr>
            <w:tcW w:w="2252" w:type="dxa"/>
            <w:tcBorders>
              <w:top w:val="single" w:color="auto" w:sz="4" w:space="0"/>
              <w:left w:val="single" w:color="auto" w:sz="4" w:space="0"/>
              <w:bottom w:val="single" w:color="auto" w:sz="4" w:space="0"/>
              <w:right w:val="single" w:color="auto" w:sz="4" w:space="0"/>
            </w:tcBorders>
            <w:vAlign w:val="center"/>
          </w:tcPr>
          <w:p w14:paraId="5CE54320">
            <w:pPr>
              <w:spacing w:line="360" w:lineRule="auto"/>
              <w:jc w:val="center"/>
              <w:rPr>
                <w:rFonts w:hint="eastAsia" w:ascii="宋体" w:hAnsi="宋体" w:cs="宋体"/>
                <w:sz w:val="24"/>
              </w:rPr>
            </w:pPr>
          </w:p>
          <w:p w14:paraId="5E6DA437">
            <w:pPr>
              <w:spacing w:line="360" w:lineRule="auto"/>
              <w:jc w:val="center"/>
              <w:rPr>
                <w:rFonts w:ascii="宋体" w:hAnsi="宋体" w:cs="宋体"/>
                <w:sz w:val="24"/>
              </w:rPr>
            </w:pPr>
            <w:r>
              <w:rPr>
                <w:rFonts w:hint="eastAsia" w:ascii="宋体" w:hAnsi="宋体" w:cs="宋体"/>
                <w:sz w:val="24"/>
              </w:rPr>
              <w:t>补充条款</w:t>
            </w:r>
          </w:p>
          <w:p w14:paraId="6907AB34">
            <w:pPr>
              <w:spacing w:line="360" w:lineRule="auto"/>
              <w:jc w:val="center"/>
              <w:rPr>
                <w:rFonts w:hint="eastAsia" w:ascii="宋体" w:hAnsi="宋体" w:cs="宋体"/>
                <w:sz w:val="24"/>
              </w:rPr>
            </w:pPr>
          </w:p>
          <w:p w14:paraId="68FF3CE9">
            <w:pPr>
              <w:spacing w:line="360" w:lineRule="auto"/>
              <w:jc w:val="center"/>
              <w:rPr>
                <w:rFonts w:hint="eastAsia" w:ascii="宋体" w:hAnsi="宋体" w:cs="宋体"/>
                <w:sz w:val="24"/>
              </w:rPr>
            </w:pPr>
          </w:p>
          <w:p w14:paraId="5399223D">
            <w:pPr>
              <w:spacing w:line="360" w:lineRule="auto"/>
              <w:jc w:val="center"/>
              <w:rPr>
                <w:rFonts w:ascii="宋体" w:hAnsi="宋体" w:cs="宋体"/>
                <w:sz w:val="24"/>
              </w:rPr>
            </w:pPr>
          </w:p>
        </w:tc>
        <w:tc>
          <w:tcPr>
            <w:tcW w:w="6437" w:type="dxa"/>
            <w:tcBorders>
              <w:top w:val="single" w:color="auto" w:sz="4" w:space="0"/>
              <w:left w:val="single" w:color="auto" w:sz="4" w:space="0"/>
              <w:bottom w:val="single" w:color="auto" w:sz="4" w:space="0"/>
              <w:right w:val="single" w:color="auto" w:sz="4" w:space="0"/>
            </w:tcBorders>
            <w:vAlign w:val="center"/>
          </w:tcPr>
          <w:p w14:paraId="68BA7CC4">
            <w:pPr>
              <w:spacing w:line="360" w:lineRule="auto"/>
              <w:rPr>
                <w:rFonts w:hint="eastAsia" w:ascii="宋体" w:hAnsi="宋体" w:cs="宋体"/>
                <w:sz w:val="24"/>
              </w:rPr>
            </w:pPr>
          </w:p>
          <w:p w14:paraId="535CDDF4">
            <w:pPr>
              <w:spacing w:line="360" w:lineRule="auto"/>
              <w:rPr>
                <w:rFonts w:ascii="宋体" w:hAnsi="宋体" w:cs="宋体"/>
                <w:sz w:val="24"/>
              </w:rPr>
            </w:pPr>
            <w:r>
              <w:rPr>
                <w:rFonts w:hint="eastAsia" w:ascii="宋体" w:hAnsi="宋体" w:cs="宋体"/>
                <w:sz w:val="24"/>
              </w:rPr>
              <w:t>1、若投标人须知前附表与投标人须知正文不一致的地方，以投标人须知前附表为准</w:t>
            </w:r>
          </w:p>
          <w:p w14:paraId="0F8D60D8">
            <w:pPr>
              <w:spacing w:line="360" w:lineRule="auto"/>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、合同以P</w:t>
            </w:r>
            <w:r>
              <w:rPr>
                <w:rFonts w:hint="eastAsia" w:ascii="宋体" w:hAnsi="宋体" w:cs="宋体"/>
                <w:sz w:val="24"/>
                <w:lang w:val="en-US" w:eastAsia="zh-CN"/>
              </w:rPr>
              <w:t>64</w:t>
            </w:r>
            <w:r>
              <w:rPr>
                <w:rFonts w:hint="eastAsia" w:ascii="宋体" w:hAnsi="宋体" w:cs="宋体"/>
                <w:sz w:val="24"/>
              </w:rPr>
              <w:t>-P</w:t>
            </w:r>
            <w:r>
              <w:rPr>
                <w:rFonts w:hint="eastAsia" w:ascii="宋体" w:hAnsi="宋体" w:cs="宋体"/>
                <w:sz w:val="24"/>
                <w:lang w:val="en-US" w:eastAsia="zh-CN"/>
              </w:rPr>
              <w:t>157</w:t>
            </w:r>
            <w:r>
              <w:rPr>
                <w:rFonts w:hint="eastAsia" w:ascii="宋体" w:hAnsi="宋体" w:cs="宋体"/>
                <w:sz w:val="24"/>
              </w:rPr>
              <w:t>页为准。</w:t>
            </w:r>
          </w:p>
          <w:p w14:paraId="2C8A78F8">
            <w:pPr>
              <w:spacing w:line="360" w:lineRule="auto"/>
              <w:rPr>
                <w:rFonts w:hint="eastAsia" w:ascii="宋体" w:hAnsi="宋体" w:cs="宋体"/>
                <w:sz w:val="24"/>
              </w:rPr>
            </w:pPr>
          </w:p>
          <w:p w14:paraId="3914AF77">
            <w:pPr>
              <w:spacing w:line="360" w:lineRule="auto"/>
              <w:rPr>
                <w:rFonts w:ascii="宋体" w:hAnsi="宋体" w:cs="宋体"/>
                <w:sz w:val="24"/>
              </w:rPr>
            </w:pPr>
          </w:p>
        </w:tc>
      </w:tr>
      <w:tr w14:paraId="4E17388E">
        <w:tblPrEx>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14:paraId="074F6101">
            <w:pPr>
              <w:spacing w:line="360" w:lineRule="auto"/>
              <w:jc w:val="center"/>
              <w:rPr>
                <w:rFonts w:ascii="宋体" w:hAnsi="宋体" w:cs="宋体"/>
                <w:sz w:val="24"/>
              </w:rPr>
            </w:pPr>
            <w:r>
              <w:rPr>
                <w:rFonts w:hint="eastAsia" w:ascii="宋体" w:hAnsi="宋体" w:cs="宋体"/>
                <w:sz w:val="24"/>
              </w:rPr>
              <w:t>……</w:t>
            </w:r>
          </w:p>
        </w:tc>
        <w:tc>
          <w:tcPr>
            <w:tcW w:w="2252" w:type="dxa"/>
            <w:tcBorders>
              <w:top w:val="single" w:color="auto" w:sz="4" w:space="0"/>
              <w:left w:val="single" w:color="auto" w:sz="4" w:space="0"/>
              <w:bottom w:val="single" w:color="auto" w:sz="4" w:space="0"/>
              <w:right w:val="single" w:color="auto" w:sz="4" w:space="0"/>
            </w:tcBorders>
            <w:vAlign w:val="center"/>
          </w:tcPr>
          <w:p w14:paraId="16AED6EC">
            <w:pPr>
              <w:spacing w:line="360" w:lineRule="auto"/>
              <w:jc w:val="center"/>
              <w:rPr>
                <w:rFonts w:ascii="宋体" w:hAnsi="宋体" w:cs="宋体"/>
                <w:sz w:val="24"/>
              </w:rPr>
            </w:pPr>
            <w:r>
              <w:rPr>
                <w:rFonts w:hint="eastAsia" w:ascii="宋体" w:hAnsi="宋体" w:cs="宋体"/>
                <w:sz w:val="24"/>
              </w:rPr>
              <w:t>……</w:t>
            </w:r>
          </w:p>
        </w:tc>
        <w:tc>
          <w:tcPr>
            <w:tcW w:w="6437" w:type="dxa"/>
            <w:tcBorders>
              <w:top w:val="single" w:color="auto" w:sz="4" w:space="0"/>
              <w:left w:val="single" w:color="auto" w:sz="4" w:space="0"/>
              <w:bottom w:val="single" w:color="auto" w:sz="4" w:space="0"/>
              <w:right w:val="single" w:color="auto" w:sz="4" w:space="0"/>
            </w:tcBorders>
            <w:vAlign w:val="center"/>
          </w:tcPr>
          <w:p w14:paraId="4E87336F">
            <w:pPr>
              <w:spacing w:line="360" w:lineRule="auto"/>
              <w:rPr>
                <w:rFonts w:ascii="宋体" w:hAnsi="宋体" w:cs="宋体"/>
                <w:sz w:val="24"/>
              </w:rPr>
            </w:pPr>
            <w:r>
              <w:rPr>
                <w:rFonts w:hint="eastAsia" w:ascii="宋体" w:hAnsi="宋体" w:cs="宋体"/>
                <w:sz w:val="24"/>
              </w:rPr>
              <w:t>……</w:t>
            </w:r>
          </w:p>
        </w:tc>
      </w:tr>
    </w:tbl>
    <w:p w14:paraId="231237B9">
      <w:pPr>
        <w:spacing w:line="400" w:lineRule="exact"/>
      </w:pPr>
    </w:p>
    <w:p w14:paraId="4D7EE1DF">
      <w:pPr>
        <w:spacing w:line="400" w:lineRule="exact"/>
      </w:pPr>
      <w:r>
        <w:br w:type="page"/>
      </w:r>
    </w:p>
    <w:p w14:paraId="2839B8A6">
      <w:pPr>
        <w:pStyle w:val="4"/>
        <w:spacing w:line="360" w:lineRule="auto"/>
        <w:rPr>
          <w:rFonts w:ascii="宋体" w:hAnsi="宋体" w:eastAsia="宋体"/>
          <w:sz w:val="24"/>
          <w:szCs w:val="24"/>
        </w:rPr>
      </w:pPr>
      <w:bookmarkStart w:id="64" w:name="_Toc152042305"/>
      <w:bookmarkStart w:id="65" w:name="_Toc247527553"/>
      <w:bookmarkStart w:id="66" w:name="_Toc152045529"/>
      <w:bookmarkStart w:id="67" w:name="_Toc144974497"/>
      <w:bookmarkStart w:id="68" w:name="_Toc300834949"/>
      <w:bookmarkStart w:id="69" w:name="_Toc247513952"/>
      <w:r>
        <w:rPr>
          <w:rFonts w:hint="eastAsia" w:ascii="宋体" w:hAnsi="宋体" w:eastAsia="宋体"/>
          <w:sz w:val="24"/>
          <w:szCs w:val="24"/>
        </w:rPr>
        <w:t>1. 总则</w:t>
      </w:r>
      <w:bookmarkEnd w:id="64"/>
      <w:bookmarkEnd w:id="65"/>
      <w:bookmarkEnd w:id="66"/>
      <w:bookmarkEnd w:id="67"/>
      <w:bookmarkEnd w:id="68"/>
      <w:bookmarkEnd w:id="69"/>
    </w:p>
    <w:p w14:paraId="797D02E4">
      <w:pPr>
        <w:pStyle w:val="2"/>
        <w:spacing w:line="360" w:lineRule="auto"/>
        <w:ind w:firstLine="118"/>
        <w:rPr>
          <w:sz w:val="24"/>
          <w:szCs w:val="24"/>
        </w:rPr>
      </w:pPr>
      <w:bookmarkStart w:id="70" w:name="_Toc247513953"/>
      <w:bookmarkStart w:id="71" w:name="_Toc247527554"/>
      <w:bookmarkStart w:id="72" w:name="_Toc152045530"/>
      <w:bookmarkStart w:id="73" w:name="_Toc144974498"/>
      <w:bookmarkStart w:id="74" w:name="_Toc300834950"/>
      <w:bookmarkStart w:id="75" w:name="_Toc152042306"/>
      <w:r>
        <w:rPr>
          <w:rFonts w:hint="eastAsia" w:ascii="Times New Roman" w:hAnsi="Times New Roman"/>
          <w:sz w:val="24"/>
          <w:szCs w:val="24"/>
        </w:rPr>
        <w:t>1.1</w:t>
      </w:r>
      <w:r>
        <w:rPr>
          <w:rFonts w:hint="eastAsia"/>
          <w:sz w:val="24"/>
          <w:szCs w:val="24"/>
        </w:rPr>
        <w:t xml:space="preserve"> 项目概况</w:t>
      </w:r>
      <w:bookmarkEnd w:id="70"/>
      <w:bookmarkEnd w:id="71"/>
      <w:bookmarkEnd w:id="72"/>
      <w:bookmarkEnd w:id="73"/>
      <w:bookmarkEnd w:id="74"/>
      <w:bookmarkEnd w:id="75"/>
    </w:p>
    <w:p w14:paraId="2AAA79D3">
      <w:pPr>
        <w:spacing w:line="360" w:lineRule="auto"/>
        <w:ind w:firstLine="480" w:firstLineChars="200"/>
        <w:rPr>
          <w:sz w:val="24"/>
        </w:rPr>
      </w:pPr>
      <w:r>
        <w:rPr>
          <w:rFonts w:hint="eastAsia"/>
          <w:sz w:val="24"/>
        </w:rPr>
        <w:t>1.1.1根据《中华人民共和国招标投标法》等有关法律、法规和规章的规定，本招标项目已具备招标条件，现对该项目设计施工进行总承包招标。</w:t>
      </w:r>
    </w:p>
    <w:p w14:paraId="1E186709">
      <w:pPr>
        <w:spacing w:line="360" w:lineRule="auto"/>
        <w:ind w:firstLine="480" w:firstLineChars="200"/>
        <w:rPr>
          <w:sz w:val="24"/>
        </w:rPr>
      </w:pPr>
      <w:r>
        <w:rPr>
          <w:rFonts w:hint="eastAsia"/>
          <w:sz w:val="24"/>
        </w:rPr>
        <w:t>1.1.2 招标人：见投标人须知前附表。</w:t>
      </w:r>
    </w:p>
    <w:p w14:paraId="4563FE45">
      <w:pPr>
        <w:spacing w:line="360" w:lineRule="auto"/>
        <w:ind w:firstLine="480" w:firstLineChars="200"/>
        <w:rPr>
          <w:sz w:val="24"/>
        </w:rPr>
      </w:pPr>
      <w:r>
        <w:rPr>
          <w:rFonts w:hint="eastAsia"/>
          <w:sz w:val="24"/>
        </w:rPr>
        <w:t>1.1.3 招标代理机构：见投标人须知前附表。</w:t>
      </w:r>
    </w:p>
    <w:p w14:paraId="662ED131">
      <w:pPr>
        <w:spacing w:line="360" w:lineRule="auto"/>
        <w:ind w:firstLine="480" w:firstLineChars="200"/>
        <w:rPr>
          <w:sz w:val="24"/>
        </w:rPr>
      </w:pPr>
      <w:r>
        <w:rPr>
          <w:rFonts w:hint="eastAsia"/>
          <w:sz w:val="24"/>
        </w:rPr>
        <w:t>1.1.4 招标项目名称：见投标人须知前附表。</w:t>
      </w:r>
    </w:p>
    <w:p w14:paraId="619F0539">
      <w:pPr>
        <w:spacing w:line="360" w:lineRule="auto"/>
        <w:ind w:firstLine="480" w:firstLineChars="200"/>
        <w:rPr>
          <w:sz w:val="24"/>
        </w:rPr>
      </w:pPr>
      <w:r>
        <w:rPr>
          <w:rFonts w:hint="eastAsia"/>
          <w:sz w:val="24"/>
        </w:rPr>
        <w:t>1.1.5 项目建设地点：见投标人须知前附表。</w:t>
      </w:r>
    </w:p>
    <w:p w14:paraId="269F9E8D">
      <w:pPr>
        <w:pStyle w:val="2"/>
        <w:spacing w:line="360" w:lineRule="auto"/>
        <w:ind w:firstLine="118"/>
        <w:rPr>
          <w:sz w:val="24"/>
          <w:szCs w:val="24"/>
        </w:rPr>
      </w:pPr>
      <w:bookmarkStart w:id="76" w:name="_Toc300834951"/>
      <w:bookmarkStart w:id="77" w:name="_Toc247527555"/>
      <w:bookmarkStart w:id="78" w:name="_Toc247513954"/>
      <w:bookmarkStart w:id="79" w:name="_Toc152042307"/>
      <w:bookmarkStart w:id="80" w:name="_Toc152045531"/>
      <w:bookmarkStart w:id="81" w:name="_Toc144974499"/>
      <w:r>
        <w:rPr>
          <w:rFonts w:hint="eastAsia" w:ascii="Times New Roman" w:hAnsi="Times New Roman"/>
          <w:sz w:val="24"/>
          <w:szCs w:val="24"/>
        </w:rPr>
        <w:t xml:space="preserve">1.2 </w:t>
      </w:r>
      <w:r>
        <w:rPr>
          <w:rFonts w:hint="eastAsia"/>
          <w:sz w:val="24"/>
          <w:szCs w:val="24"/>
        </w:rPr>
        <w:t>项目的资金来源和落实情况</w:t>
      </w:r>
      <w:bookmarkEnd w:id="76"/>
      <w:bookmarkEnd w:id="77"/>
      <w:bookmarkEnd w:id="78"/>
      <w:bookmarkEnd w:id="79"/>
      <w:bookmarkEnd w:id="80"/>
      <w:bookmarkEnd w:id="81"/>
    </w:p>
    <w:p w14:paraId="3D8EC4D6">
      <w:pPr>
        <w:spacing w:line="360" w:lineRule="auto"/>
        <w:ind w:firstLine="480" w:firstLineChars="200"/>
        <w:rPr>
          <w:sz w:val="24"/>
        </w:rPr>
      </w:pPr>
      <w:r>
        <w:rPr>
          <w:rFonts w:hint="eastAsia"/>
          <w:sz w:val="24"/>
        </w:rPr>
        <w:t>1.2.1 资金来源及比例：见投标人须知前附表。</w:t>
      </w:r>
    </w:p>
    <w:p w14:paraId="0B8A9D87">
      <w:pPr>
        <w:spacing w:line="360" w:lineRule="auto"/>
        <w:ind w:firstLine="480" w:firstLineChars="200"/>
        <w:rPr>
          <w:sz w:val="24"/>
        </w:rPr>
      </w:pPr>
      <w:r>
        <w:rPr>
          <w:rFonts w:hint="eastAsia"/>
          <w:sz w:val="24"/>
        </w:rPr>
        <w:t>1.2.2 资金落实情况：见投标人须知前附表。</w:t>
      </w:r>
    </w:p>
    <w:p w14:paraId="658E4A20">
      <w:pPr>
        <w:pStyle w:val="2"/>
        <w:spacing w:line="360" w:lineRule="auto"/>
        <w:ind w:firstLine="118"/>
        <w:rPr>
          <w:sz w:val="24"/>
          <w:szCs w:val="24"/>
        </w:rPr>
      </w:pPr>
      <w:bookmarkStart w:id="82" w:name="_Toc144974500"/>
      <w:bookmarkStart w:id="83" w:name="_Toc152045532"/>
      <w:bookmarkStart w:id="84" w:name="_Toc247513955"/>
      <w:bookmarkStart w:id="85" w:name="_Toc152042308"/>
      <w:bookmarkStart w:id="86" w:name="_Toc247527556"/>
      <w:bookmarkStart w:id="87" w:name="_Toc300834952"/>
      <w:r>
        <w:rPr>
          <w:rFonts w:hint="eastAsia" w:ascii="Times New Roman" w:hAnsi="Times New Roman"/>
          <w:sz w:val="24"/>
          <w:szCs w:val="24"/>
        </w:rPr>
        <w:t>1.3</w:t>
      </w:r>
      <w:r>
        <w:rPr>
          <w:rFonts w:hint="eastAsia"/>
          <w:sz w:val="24"/>
          <w:szCs w:val="24"/>
        </w:rPr>
        <w:t xml:space="preserve"> 招标范围、计划工期和</w:t>
      </w:r>
      <w:bookmarkEnd w:id="82"/>
      <w:bookmarkEnd w:id="83"/>
      <w:bookmarkEnd w:id="84"/>
      <w:bookmarkEnd w:id="85"/>
      <w:bookmarkEnd w:id="86"/>
      <w:r>
        <w:rPr>
          <w:rFonts w:hint="eastAsia"/>
          <w:sz w:val="24"/>
          <w:szCs w:val="24"/>
        </w:rPr>
        <w:t>质量标准</w:t>
      </w:r>
      <w:bookmarkEnd w:id="87"/>
    </w:p>
    <w:p w14:paraId="45BCFCF7">
      <w:pPr>
        <w:spacing w:line="360" w:lineRule="auto"/>
        <w:ind w:firstLine="480" w:firstLineChars="200"/>
        <w:rPr>
          <w:sz w:val="24"/>
        </w:rPr>
      </w:pPr>
      <w:r>
        <w:rPr>
          <w:rFonts w:hint="eastAsia"/>
          <w:sz w:val="24"/>
        </w:rPr>
        <w:t>1.3.1 招标范围：见投标人须知前附表。</w:t>
      </w:r>
    </w:p>
    <w:p w14:paraId="518697F3">
      <w:pPr>
        <w:spacing w:line="360" w:lineRule="auto"/>
        <w:ind w:firstLine="480" w:firstLineChars="200"/>
        <w:rPr>
          <w:sz w:val="24"/>
        </w:rPr>
      </w:pPr>
      <w:r>
        <w:rPr>
          <w:rFonts w:hint="eastAsia"/>
          <w:sz w:val="24"/>
        </w:rPr>
        <w:t>1.3.2 计划工期：见投标人须知前附表。</w:t>
      </w:r>
    </w:p>
    <w:p w14:paraId="3436644B">
      <w:pPr>
        <w:spacing w:line="360" w:lineRule="auto"/>
        <w:ind w:firstLine="480" w:firstLineChars="200"/>
        <w:rPr>
          <w:sz w:val="24"/>
        </w:rPr>
      </w:pPr>
      <w:r>
        <w:rPr>
          <w:rFonts w:hint="eastAsia"/>
          <w:sz w:val="24"/>
        </w:rPr>
        <w:t>1.3.3 质量标准：见投标人须知前附表。</w:t>
      </w:r>
    </w:p>
    <w:p w14:paraId="245C11BC">
      <w:pPr>
        <w:pStyle w:val="2"/>
        <w:spacing w:line="360" w:lineRule="auto"/>
        <w:ind w:firstLine="118"/>
        <w:rPr>
          <w:sz w:val="24"/>
          <w:szCs w:val="24"/>
        </w:rPr>
      </w:pPr>
      <w:bookmarkStart w:id="88" w:name="_Toc144974501"/>
      <w:bookmarkStart w:id="89" w:name="_Toc152042309"/>
      <w:bookmarkStart w:id="90" w:name="_Toc247527557"/>
      <w:bookmarkStart w:id="91" w:name="_Toc300834953"/>
      <w:bookmarkStart w:id="92" w:name="_Toc152045533"/>
      <w:bookmarkStart w:id="93" w:name="_Toc247513956"/>
      <w:r>
        <w:rPr>
          <w:rFonts w:hint="eastAsia" w:ascii="Times New Roman" w:hAnsi="Times New Roman"/>
          <w:sz w:val="24"/>
          <w:szCs w:val="24"/>
        </w:rPr>
        <w:t>1.4</w:t>
      </w:r>
      <w:r>
        <w:rPr>
          <w:rFonts w:hint="eastAsia"/>
          <w:sz w:val="24"/>
          <w:szCs w:val="24"/>
        </w:rPr>
        <w:t xml:space="preserve"> 投标人资格要求（适用于已进行资格预审的）</w:t>
      </w:r>
      <w:bookmarkEnd w:id="88"/>
      <w:bookmarkEnd w:id="89"/>
      <w:bookmarkEnd w:id="90"/>
      <w:bookmarkEnd w:id="91"/>
      <w:bookmarkEnd w:id="92"/>
      <w:bookmarkEnd w:id="93"/>
    </w:p>
    <w:p w14:paraId="2375E41D">
      <w:pPr>
        <w:spacing w:line="360" w:lineRule="auto"/>
        <w:ind w:firstLine="480" w:firstLineChars="200"/>
        <w:rPr>
          <w:sz w:val="24"/>
        </w:rPr>
      </w:pPr>
      <w:r>
        <w:rPr>
          <w:rFonts w:hint="eastAsia"/>
          <w:sz w:val="24"/>
        </w:rPr>
        <w:t>投标人应是收到招标人发出投标邀请书的单位。</w:t>
      </w:r>
    </w:p>
    <w:p w14:paraId="64954780">
      <w:pPr>
        <w:pStyle w:val="2"/>
        <w:spacing w:line="360" w:lineRule="auto"/>
        <w:ind w:firstLine="118"/>
        <w:rPr>
          <w:sz w:val="24"/>
          <w:szCs w:val="24"/>
        </w:rPr>
      </w:pPr>
      <w:bookmarkStart w:id="94" w:name="_Toc247513957"/>
      <w:bookmarkStart w:id="95" w:name="_Toc300834954"/>
      <w:bookmarkStart w:id="96" w:name="_Toc247527558"/>
      <w:bookmarkStart w:id="97" w:name="_Toc144974502"/>
      <w:bookmarkStart w:id="98" w:name="_Toc152045534"/>
      <w:bookmarkStart w:id="99" w:name="_Toc152042310"/>
      <w:r>
        <w:rPr>
          <w:rFonts w:hint="eastAsia" w:ascii="Times New Roman" w:hAnsi="Times New Roman"/>
          <w:sz w:val="24"/>
          <w:szCs w:val="24"/>
        </w:rPr>
        <w:t>1.4</w:t>
      </w:r>
      <w:r>
        <w:rPr>
          <w:rFonts w:hint="eastAsia"/>
          <w:sz w:val="24"/>
          <w:szCs w:val="24"/>
        </w:rPr>
        <w:t xml:space="preserve"> 投标人资格要求（适用于未进行资格预审的）</w:t>
      </w:r>
      <w:bookmarkEnd w:id="94"/>
      <w:bookmarkEnd w:id="95"/>
      <w:bookmarkEnd w:id="96"/>
      <w:bookmarkEnd w:id="97"/>
      <w:bookmarkEnd w:id="98"/>
      <w:bookmarkEnd w:id="99"/>
    </w:p>
    <w:p w14:paraId="6ACF837C">
      <w:pPr>
        <w:spacing w:line="360" w:lineRule="auto"/>
        <w:ind w:firstLine="480" w:firstLineChars="200"/>
        <w:rPr>
          <w:sz w:val="24"/>
        </w:rPr>
      </w:pPr>
      <w:r>
        <w:rPr>
          <w:rFonts w:hint="eastAsia"/>
          <w:sz w:val="24"/>
        </w:rPr>
        <w:t>1.4.1 投标人应具备承担本招标项目资质条件、能力和信誉。</w:t>
      </w:r>
    </w:p>
    <w:p w14:paraId="2C725F38">
      <w:pPr>
        <w:spacing w:line="360" w:lineRule="auto"/>
        <w:ind w:firstLine="360" w:firstLineChars="150"/>
        <w:rPr>
          <w:sz w:val="24"/>
        </w:rPr>
      </w:pPr>
      <w:r>
        <w:rPr>
          <w:rFonts w:hint="eastAsia"/>
          <w:sz w:val="24"/>
        </w:rPr>
        <w:t>（1）资质条件：见投标人须知前附表；</w:t>
      </w:r>
    </w:p>
    <w:p w14:paraId="3E9B77EC">
      <w:pPr>
        <w:spacing w:line="360" w:lineRule="auto"/>
        <w:ind w:firstLine="360" w:firstLineChars="150"/>
        <w:rPr>
          <w:sz w:val="24"/>
        </w:rPr>
      </w:pPr>
      <w:r>
        <w:rPr>
          <w:rFonts w:hint="eastAsia"/>
          <w:sz w:val="24"/>
        </w:rPr>
        <w:t>（2）财务要求：见投标人须知前附表；</w:t>
      </w:r>
    </w:p>
    <w:p w14:paraId="72FE9075">
      <w:pPr>
        <w:spacing w:line="360" w:lineRule="auto"/>
        <w:ind w:firstLine="360" w:firstLineChars="150"/>
        <w:rPr>
          <w:sz w:val="24"/>
        </w:rPr>
      </w:pPr>
      <w:r>
        <w:rPr>
          <w:rFonts w:hint="eastAsia"/>
          <w:sz w:val="24"/>
        </w:rPr>
        <w:t>（3）设计业绩要求：见投标人须知前附表；</w:t>
      </w:r>
    </w:p>
    <w:p w14:paraId="77714878">
      <w:pPr>
        <w:spacing w:line="360" w:lineRule="auto"/>
        <w:ind w:firstLine="360" w:firstLineChars="150"/>
        <w:rPr>
          <w:sz w:val="24"/>
        </w:rPr>
      </w:pPr>
      <w:r>
        <w:rPr>
          <w:rFonts w:hint="eastAsia"/>
          <w:sz w:val="24"/>
        </w:rPr>
        <w:t>（4）施工业绩要求：见投标人须知前附表；</w:t>
      </w:r>
    </w:p>
    <w:p w14:paraId="5AAD3EC1">
      <w:pPr>
        <w:spacing w:line="360" w:lineRule="auto"/>
        <w:ind w:firstLine="360" w:firstLineChars="150"/>
        <w:rPr>
          <w:sz w:val="24"/>
        </w:rPr>
      </w:pPr>
      <w:r>
        <w:rPr>
          <w:rFonts w:hint="eastAsia"/>
          <w:sz w:val="24"/>
        </w:rPr>
        <w:t>（5）信誉要求：见投标人须知前附表；</w:t>
      </w:r>
    </w:p>
    <w:p w14:paraId="7B8FFA7B">
      <w:pPr>
        <w:spacing w:line="360" w:lineRule="auto"/>
        <w:ind w:firstLine="360" w:firstLineChars="150"/>
        <w:rPr>
          <w:sz w:val="24"/>
        </w:rPr>
      </w:pPr>
      <w:r>
        <w:rPr>
          <w:rFonts w:hint="eastAsia"/>
          <w:sz w:val="24"/>
        </w:rPr>
        <w:t>（6）项目经理的资格要求：；</w:t>
      </w:r>
    </w:p>
    <w:p w14:paraId="00BB3BB5">
      <w:pPr>
        <w:spacing w:line="360" w:lineRule="auto"/>
        <w:ind w:firstLine="360" w:firstLineChars="150"/>
        <w:rPr>
          <w:sz w:val="24"/>
        </w:rPr>
      </w:pPr>
      <w:r>
        <w:rPr>
          <w:rFonts w:hint="eastAsia"/>
          <w:sz w:val="24"/>
        </w:rPr>
        <w:t>（7）设计负责人的资格要求：应当具备工程设计类注册执业资格，具体要求见投标人须知前附表；</w:t>
      </w:r>
    </w:p>
    <w:p w14:paraId="568DC69E">
      <w:pPr>
        <w:spacing w:line="360" w:lineRule="auto"/>
        <w:ind w:firstLine="360" w:firstLineChars="150"/>
        <w:rPr>
          <w:sz w:val="24"/>
        </w:rPr>
      </w:pPr>
      <w:r>
        <w:rPr>
          <w:rFonts w:hint="eastAsia"/>
          <w:sz w:val="24"/>
        </w:rPr>
        <w:t>（8）施工负责人的资格要求：应当具备工程施工类注册执业资格，具体要求见投标人须知前附表；</w:t>
      </w:r>
    </w:p>
    <w:p w14:paraId="70CD9E5A">
      <w:pPr>
        <w:spacing w:line="360" w:lineRule="auto"/>
        <w:ind w:firstLine="360" w:firstLineChars="150"/>
        <w:rPr>
          <w:sz w:val="24"/>
        </w:rPr>
      </w:pPr>
      <w:r>
        <w:rPr>
          <w:rFonts w:hint="eastAsia"/>
          <w:sz w:val="24"/>
        </w:rPr>
        <w:t>（9）具备有效的安全生产许可证（园林绿化、电梯安装等不实行安全生产许可的除外）；</w:t>
      </w:r>
    </w:p>
    <w:p w14:paraId="478267D4">
      <w:pPr>
        <w:spacing w:line="360" w:lineRule="auto"/>
        <w:ind w:firstLine="360" w:firstLineChars="150"/>
        <w:rPr>
          <w:sz w:val="24"/>
        </w:rPr>
      </w:pPr>
      <w:r>
        <w:rPr>
          <w:rFonts w:hint="eastAsia"/>
          <w:sz w:val="24"/>
        </w:rPr>
        <w:t>（10）其他要求：见投标人须知前附表。</w:t>
      </w:r>
    </w:p>
    <w:p w14:paraId="12D62209">
      <w:pPr>
        <w:spacing w:line="360" w:lineRule="auto"/>
        <w:ind w:firstLine="480" w:firstLineChars="200"/>
        <w:rPr>
          <w:sz w:val="24"/>
        </w:rPr>
      </w:pPr>
      <w:r>
        <w:rPr>
          <w:rFonts w:hint="eastAsia"/>
          <w:sz w:val="24"/>
        </w:rPr>
        <w:t xml:space="preserve">1.4.2 投标人须知前附表规定接受联合体投标的，除应符合本章第1.4.1项和投标人须知前附表的要求外，还应遵守以下规定： </w:t>
      </w:r>
    </w:p>
    <w:p w14:paraId="777DDCB2">
      <w:pPr>
        <w:spacing w:line="360" w:lineRule="auto"/>
        <w:ind w:firstLine="360" w:firstLineChars="150"/>
        <w:rPr>
          <w:sz w:val="24"/>
        </w:rPr>
      </w:pPr>
      <w:r>
        <w:rPr>
          <w:rFonts w:hint="eastAsia"/>
          <w:sz w:val="24"/>
        </w:rPr>
        <w:t>（1）联合体各方应按招标文件提供的格式签订联合体协议书，明确联合体牵头人和各方权利义务；</w:t>
      </w:r>
    </w:p>
    <w:p w14:paraId="745EB6EA">
      <w:pPr>
        <w:spacing w:line="360" w:lineRule="auto"/>
        <w:ind w:firstLine="360" w:firstLineChars="150"/>
        <w:rPr>
          <w:sz w:val="24"/>
        </w:rPr>
      </w:pPr>
      <w:r>
        <w:rPr>
          <w:rFonts w:hint="eastAsia"/>
          <w:sz w:val="24"/>
        </w:rPr>
        <w:t>（2）由同一专业的单位组成的联合体，按照资质等级较低的单位确定资质等级；</w:t>
      </w:r>
    </w:p>
    <w:p w14:paraId="0883EE97">
      <w:pPr>
        <w:spacing w:line="360" w:lineRule="auto"/>
        <w:ind w:firstLine="360" w:firstLineChars="150"/>
        <w:rPr>
          <w:sz w:val="24"/>
        </w:rPr>
      </w:pPr>
      <w:r>
        <w:rPr>
          <w:rFonts w:hint="eastAsia"/>
          <w:sz w:val="24"/>
        </w:rPr>
        <w:t>（3）联合体各方不得再以自己名义单独或参加其他联合体在本招标项目中投标。</w:t>
      </w:r>
    </w:p>
    <w:p w14:paraId="102433BE">
      <w:pPr>
        <w:spacing w:line="360" w:lineRule="auto"/>
        <w:ind w:firstLine="480" w:firstLineChars="200"/>
        <w:rPr>
          <w:sz w:val="24"/>
        </w:rPr>
      </w:pPr>
      <w:r>
        <w:rPr>
          <w:rFonts w:hint="eastAsia"/>
          <w:sz w:val="24"/>
        </w:rPr>
        <w:t>1.4.3 投标人不得存在下列情形之一：</w:t>
      </w:r>
    </w:p>
    <w:p w14:paraId="146F65FA">
      <w:pPr>
        <w:spacing w:line="360" w:lineRule="auto"/>
        <w:ind w:firstLine="360" w:firstLineChars="150"/>
        <w:rPr>
          <w:sz w:val="24"/>
        </w:rPr>
      </w:pPr>
      <w:r>
        <w:rPr>
          <w:rFonts w:hint="eastAsia"/>
          <w:sz w:val="24"/>
        </w:rPr>
        <w:t xml:space="preserve">（1）为招标人不具有独立法人资格的附属机构（单位）； </w:t>
      </w:r>
    </w:p>
    <w:p w14:paraId="1212F364">
      <w:pPr>
        <w:spacing w:line="360" w:lineRule="auto"/>
        <w:ind w:firstLine="360" w:firstLineChars="150"/>
        <w:rPr>
          <w:sz w:val="24"/>
        </w:rPr>
      </w:pPr>
      <w:r>
        <w:rPr>
          <w:rFonts w:hint="eastAsia"/>
          <w:sz w:val="24"/>
        </w:rPr>
        <w:t>（2）为招标项目前期工作提供咨询服务的；</w:t>
      </w:r>
    </w:p>
    <w:p w14:paraId="4DF798F4">
      <w:pPr>
        <w:spacing w:line="360" w:lineRule="auto"/>
        <w:ind w:firstLine="360" w:firstLineChars="150"/>
        <w:rPr>
          <w:sz w:val="24"/>
        </w:rPr>
      </w:pPr>
      <w:r>
        <w:rPr>
          <w:rFonts w:hint="eastAsia"/>
          <w:sz w:val="24"/>
        </w:rPr>
        <w:t>（3）为本招标项目的监理人；</w:t>
      </w:r>
    </w:p>
    <w:p w14:paraId="5E0C62D0">
      <w:pPr>
        <w:spacing w:line="360" w:lineRule="auto"/>
        <w:ind w:firstLine="360" w:firstLineChars="150"/>
        <w:rPr>
          <w:sz w:val="24"/>
        </w:rPr>
      </w:pPr>
      <w:r>
        <w:rPr>
          <w:rFonts w:hint="eastAsia"/>
          <w:sz w:val="24"/>
        </w:rPr>
        <w:t xml:space="preserve">（4）为本招标项目的代建人； </w:t>
      </w:r>
    </w:p>
    <w:p w14:paraId="3A88695E">
      <w:pPr>
        <w:spacing w:line="360" w:lineRule="auto"/>
        <w:ind w:firstLine="360" w:firstLineChars="150"/>
        <w:rPr>
          <w:sz w:val="24"/>
        </w:rPr>
      </w:pPr>
      <w:r>
        <w:rPr>
          <w:rFonts w:hint="eastAsia"/>
          <w:sz w:val="24"/>
        </w:rPr>
        <w:t xml:space="preserve">（5）为本招标项目提供招标代理服务的； </w:t>
      </w:r>
    </w:p>
    <w:p w14:paraId="6E0CBD3C">
      <w:pPr>
        <w:spacing w:line="360" w:lineRule="auto"/>
        <w:ind w:firstLine="360" w:firstLineChars="150"/>
        <w:rPr>
          <w:sz w:val="24"/>
        </w:rPr>
      </w:pPr>
      <w:r>
        <w:rPr>
          <w:rFonts w:hint="eastAsia"/>
          <w:sz w:val="24"/>
        </w:rPr>
        <w:t xml:space="preserve">（6）被责令停业的； </w:t>
      </w:r>
    </w:p>
    <w:p w14:paraId="4AC84F3C">
      <w:pPr>
        <w:spacing w:line="360" w:lineRule="auto"/>
        <w:ind w:firstLine="360" w:firstLineChars="150"/>
        <w:rPr>
          <w:sz w:val="24"/>
        </w:rPr>
      </w:pPr>
      <w:r>
        <w:rPr>
          <w:rFonts w:hint="eastAsia"/>
          <w:sz w:val="24"/>
        </w:rPr>
        <w:t xml:space="preserve">（7）被暂停或取消投标资格的； </w:t>
      </w:r>
    </w:p>
    <w:p w14:paraId="6158281C">
      <w:pPr>
        <w:spacing w:line="360" w:lineRule="auto"/>
        <w:ind w:firstLine="360" w:firstLineChars="150"/>
        <w:rPr>
          <w:sz w:val="24"/>
        </w:rPr>
      </w:pPr>
      <w:r>
        <w:rPr>
          <w:rFonts w:hint="eastAsia"/>
          <w:sz w:val="24"/>
        </w:rPr>
        <w:t>（8）进入清算程序，或被宣告破产，或其他丧失履约能力的情形；</w:t>
      </w:r>
    </w:p>
    <w:p w14:paraId="52D61039">
      <w:pPr>
        <w:spacing w:line="360" w:lineRule="auto"/>
        <w:ind w:firstLine="360" w:firstLineChars="150"/>
        <w:rPr>
          <w:sz w:val="24"/>
        </w:rPr>
      </w:pPr>
      <w:r>
        <w:rPr>
          <w:rFonts w:hint="eastAsia"/>
          <w:sz w:val="24"/>
        </w:rPr>
        <w:t>（9）在近三年内由于设计单位或施工单位违反工程质量有关法律法规和工程建设标准，使工程产生结构安全、重要使用功能等方面的质量缺陷，造成重大或者特别重大工程质量事故的；</w:t>
      </w:r>
    </w:p>
    <w:p w14:paraId="389921DB">
      <w:pPr>
        <w:spacing w:line="360" w:lineRule="auto"/>
        <w:ind w:firstLine="360" w:firstLineChars="150"/>
        <w:rPr>
          <w:sz w:val="24"/>
        </w:rPr>
      </w:pPr>
      <w:r>
        <w:rPr>
          <w:rFonts w:hint="eastAsia"/>
          <w:sz w:val="24"/>
        </w:rPr>
        <w:t>（10）与本招标项目的监理人或代建人或招标代理机构同为一个法定代表人的；</w:t>
      </w:r>
    </w:p>
    <w:p w14:paraId="25EF2CA2">
      <w:pPr>
        <w:spacing w:line="360" w:lineRule="auto"/>
        <w:ind w:firstLine="360" w:firstLineChars="150"/>
        <w:rPr>
          <w:sz w:val="24"/>
        </w:rPr>
      </w:pPr>
      <w:r>
        <w:rPr>
          <w:rFonts w:hint="eastAsia"/>
          <w:sz w:val="24"/>
        </w:rPr>
        <w:t>（11）与本招标项目的监理人或代建人或招标代理机构相互控股或参股的；</w:t>
      </w:r>
    </w:p>
    <w:p w14:paraId="06CD1E10">
      <w:pPr>
        <w:spacing w:line="360" w:lineRule="auto"/>
        <w:ind w:firstLine="360" w:firstLineChars="150"/>
        <w:rPr>
          <w:sz w:val="24"/>
        </w:rPr>
      </w:pPr>
      <w:r>
        <w:rPr>
          <w:rFonts w:hint="eastAsia"/>
          <w:sz w:val="24"/>
        </w:rPr>
        <w:t>（12）与本招标项目的监理人或代建人或招标代理机构相互任职或工作的。</w:t>
      </w:r>
    </w:p>
    <w:p w14:paraId="3CDEC535">
      <w:pPr>
        <w:spacing w:line="360" w:lineRule="auto"/>
        <w:ind w:firstLine="480" w:firstLineChars="200"/>
        <w:rPr>
          <w:sz w:val="24"/>
        </w:rPr>
      </w:pPr>
      <w:r>
        <w:rPr>
          <w:rFonts w:hint="eastAsia"/>
          <w:sz w:val="24"/>
        </w:rPr>
        <w:t>1.4.4 单位负责人为同一人或者存在控股、管理关系的不同单位，不得同时参加本招标项目投标。</w:t>
      </w:r>
    </w:p>
    <w:p w14:paraId="77176D55">
      <w:pPr>
        <w:pStyle w:val="2"/>
        <w:spacing w:line="360" w:lineRule="auto"/>
        <w:ind w:firstLine="118"/>
        <w:rPr>
          <w:sz w:val="24"/>
          <w:szCs w:val="24"/>
        </w:rPr>
      </w:pPr>
      <w:bookmarkStart w:id="100" w:name="_Toc247513958"/>
      <w:bookmarkStart w:id="101" w:name="_Toc152042311"/>
      <w:bookmarkStart w:id="102" w:name="_Toc144974503"/>
      <w:bookmarkStart w:id="103" w:name="_Toc247527559"/>
      <w:bookmarkStart w:id="104" w:name="_Toc152045535"/>
      <w:bookmarkStart w:id="105" w:name="_Toc300834955"/>
      <w:r>
        <w:rPr>
          <w:rFonts w:hint="eastAsia" w:ascii="Times New Roman" w:hAnsi="Times New Roman"/>
          <w:sz w:val="24"/>
          <w:szCs w:val="24"/>
        </w:rPr>
        <w:t>1.5</w:t>
      </w:r>
      <w:r>
        <w:rPr>
          <w:rFonts w:hint="eastAsia"/>
          <w:sz w:val="24"/>
          <w:szCs w:val="24"/>
        </w:rPr>
        <w:t xml:space="preserve"> 费用承担</w:t>
      </w:r>
      <w:bookmarkEnd w:id="100"/>
      <w:bookmarkEnd w:id="101"/>
      <w:bookmarkEnd w:id="102"/>
      <w:bookmarkEnd w:id="103"/>
      <w:bookmarkEnd w:id="104"/>
      <w:r>
        <w:rPr>
          <w:rFonts w:hint="eastAsia"/>
          <w:sz w:val="24"/>
          <w:szCs w:val="24"/>
        </w:rPr>
        <w:t>和设计成果补偿</w:t>
      </w:r>
      <w:bookmarkEnd w:id="105"/>
    </w:p>
    <w:p w14:paraId="54EA466F">
      <w:pPr>
        <w:spacing w:line="360" w:lineRule="auto"/>
        <w:ind w:firstLine="480" w:firstLineChars="200"/>
        <w:rPr>
          <w:sz w:val="24"/>
        </w:rPr>
      </w:pPr>
      <w:r>
        <w:rPr>
          <w:rFonts w:hint="eastAsia"/>
          <w:sz w:val="24"/>
        </w:rPr>
        <w:t>1.5.1 投标人准备和参加投标活动发生的费用自理。</w:t>
      </w:r>
    </w:p>
    <w:p w14:paraId="253371D0">
      <w:pPr>
        <w:spacing w:line="360" w:lineRule="auto"/>
        <w:ind w:firstLine="480" w:firstLineChars="200"/>
        <w:rPr>
          <w:sz w:val="24"/>
        </w:rPr>
      </w:pPr>
      <w:r>
        <w:rPr>
          <w:rFonts w:hint="eastAsia"/>
          <w:sz w:val="24"/>
        </w:rPr>
        <w:t>1.5.2 招标人对符合招标文件规定的未中标人的设计成果进行补偿的，按投标人须知前附表规定给予补偿，并有权免费使用未中标人设计成果。</w:t>
      </w:r>
    </w:p>
    <w:p w14:paraId="5BFBF725">
      <w:pPr>
        <w:pStyle w:val="2"/>
        <w:spacing w:line="360" w:lineRule="auto"/>
        <w:ind w:firstLine="118"/>
        <w:rPr>
          <w:sz w:val="24"/>
          <w:szCs w:val="24"/>
        </w:rPr>
      </w:pPr>
      <w:bookmarkStart w:id="106" w:name="_Toc144974504"/>
      <w:bookmarkStart w:id="107" w:name="_Toc152042312"/>
      <w:bookmarkStart w:id="108" w:name="_Toc247527560"/>
      <w:bookmarkStart w:id="109" w:name="_Toc247513959"/>
      <w:bookmarkStart w:id="110" w:name="_Toc300834956"/>
      <w:bookmarkStart w:id="111" w:name="_Toc152045536"/>
      <w:r>
        <w:rPr>
          <w:rFonts w:hint="eastAsia" w:ascii="Times New Roman" w:hAnsi="Times New Roman"/>
          <w:sz w:val="24"/>
          <w:szCs w:val="24"/>
        </w:rPr>
        <w:t xml:space="preserve">1.6 </w:t>
      </w:r>
      <w:r>
        <w:rPr>
          <w:rFonts w:hint="eastAsia"/>
          <w:sz w:val="24"/>
          <w:szCs w:val="24"/>
        </w:rPr>
        <w:t>保密</w:t>
      </w:r>
      <w:bookmarkEnd w:id="106"/>
      <w:bookmarkEnd w:id="107"/>
      <w:bookmarkEnd w:id="108"/>
      <w:bookmarkEnd w:id="109"/>
      <w:bookmarkEnd w:id="110"/>
      <w:bookmarkEnd w:id="111"/>
    </w:p>
    <w:p w14:paraId="495A6CB6">
      <w:pPr>
        <w:spacing w:line="360" w:lineRule="auto"/>
        <w:ind w:firstLine="480" w:firstLineChars="200"/>
        <w:rPr>
          <w:sz w:val="24"/>
        </w:rPr>
      </w:pPr>
      <w:r>
        <w:rPr>
          <w:rFonts w:hint="eastAsia"/>
          <w:sz w:val="24"/>
        </w:rPr>
        <w:t xml:space="preserve">参与招标投标活动的各方应对招标文件和投标文件中的商业和技术等秘密保密，否则应承担相应的法律责任。 </w:t>
      </w:r>
    </w:p>
    <w:p w14:paraId="6B92458A">
      <w:pPr>
        <w:pStyle w:val="2"/>
        <w:spacing w:line="360" w:lineRule="auto"/>
        <w:ind w:firstLine="118"/>
        <w:rPr>
          <w:sz w:val="24"/>
          <w:szCs w:val="24"/>
        </w:rPr>
      </w:pPr>
      <w:bookmarkStart w:id="112" w:name="_Toc144974505"/>
      <w:bookmarkStart w:id="113" w:name="_Toc152045537"/>
      <w:bookmarkStart w:id="114" w:name="_Toc247527561"/>
      <w:bookmarkStart w:id="115" w:name="_Toc300834957"/>
      <w:bookmarkStart w:id="116" w:name="_Toc152042313"/>
      <w:bookmarkStart w:id="117" w:name="_Toc247513960"/>
      <w:r>
        <w:rPr>
          <w:rFonts w:hint="eastAsia" w:ascii="Times New Roman" w:hAnsi="Times New Roman"/>
          <w:sz w:val="24"/>
          <w:szCs w:val="24"/>
        </w:rPr>
        <w:t>1.7</w:t>
      </w:r>
      <w:r>
        <w:rPr>
          <w:rFonts w:hint="eastAsia"/>
          <w:sz w:val="24"/>
          <w:szCs w:val="24"/>
        </w:rPr>
        <w:t xml:space="preserve"> 语言</w:t>
      </w:r>
      <w:bookmarkEnd w:id="112"/>
      <w:r>
        <w:rPr>
          <w:rFonts w:hint="eastAsia"/>
          <w:sz w:val="24"/>
          <w:szCs w:val="24"/>
        </w:rPr>
        <w:t>文字</w:t>
      </w:r>
      <w:bookmarkEnd w:id="113"/>
      <w:bookmarkEnd w:id="114"/>
      <w:bookmarkEnd w:id="115"/>
      <w:bookmarkEnd w:id="116"/>
      <w:bookmarkEnd w:id="117"/>
    </w:p>
    <w:p w14:paraId="62DD1738">
      <w:pPr>
        <w:spacing w:line="360" w:lineRule="auto"/>
        <w:ind w:firstLine="480" w:firstLineChars="200"/>
        <w:rPr>
          <w:sz w:val="24"/>
        </w:rPr>
      </w:pPr>
      <w:r>
        <w:rPr>
          <w:rFonts w:hint="eastAsia"/>
          <w:sz w:val="24"/>
        </w:rPr>
        <w:t>招标投标文件使用的语言文字为中文。专用术语使用外文的，应附有中文注释。</w:t>
      </w:r>
    </w:p>
    <w:p w14:paraId="6DF73D71">
      <w:pPr>
        <w:pStyle w:val="2"/>
        <w:spacing w:line="360" w:lineRule="auto"/>
        <w:ind w:firstLine="118"/>
        <w:rPr>
          <w:sz w:val="24"/>
          <w:szCs w:val="24"/>
        </w:rPr>
      </w:pPr>
      <w:bookmarkStart w:id="118" w:name="_Toc144974506"/>
      <w:bookmarkStart w:id="119" w:name="_Toc247527562"/>
      <w:bookmarkStart w:id="120" w:name="_Toc247513961"/>
      <w:bookmarkStart w:id="121" w:name="_Toc300834958"/>
      <w:bookmarkStart w:id="122" w:name="_Toc152045538"/>
      <w:bookmarkStart w:id="123" w:name="_Toc152042314"/>
      <w:r>
        <w:rPr>
          <w:rFonts w:hint="eastAsia" w:ascii="Times New Roman" w:hAnsi="Times New Roman"/>
          <w:sz w:val="24"/>
          <w:szCs w:val="24"/>
        </w:rPr>
        <w:t xml:space="preserve">1.8 </w:t>
      </w:r>
      <w:r>
        <w:rPr>
          <w:rFonts w:hint="eastAsia"/>
          <w:sz w:val="24"/>
          <w:szCs w:val="24"/>
        </w:rPr>
        <w:t>计量单位</w:t>
      </w:r>
      <w:bookmarkEnd w:id="118"/>
      <w:bookmarkEnd w:id="119"/>
      <w:bookmarkEnd w:id="120"/>
      <w:bookmarkEnd w:id="121"/>
      <w:bookmarkEnd w:id="122"/>
      <w:bookmarkEnd w:id="123"/>
    </w:p>
    <w:p w14:paraId="3AF38134">
      <w:pPr>
        <w:spacing w:line="360" w:lineRule="auto"/>
        <w:ind w:firstLine="480" w:firstLineChars="200"/>
        <w:rPr>
          <w:sz w:val="24"/>
        </w:rPr>
      </w:pPr>
      <w:r>
        <w:rPr>
          <w:rFonts w:hint="eastAsia"/>
          <w:sz w:val="24"/>
        </w:rPr>
        <w:t>所有计量均采用中华人民共和国法定计量单位。</w:t>
      </w:r>
    </w:p>
    <w:p w14:paraId="50F06A15">
      <w:pPr>
        <w:pStyle w:val="2"/>
        <w:spacing w:line="360" w:lineRule="auto"/>
        <w:ind w:firstLine="118"/>
        <w:rPr>
          <w:sz w:val="24"/>
          <w:szCs w:val="24"/>
        </w:rPr>
      </w:pPr>
      <w:bookmarkStart w:id="124" w:name="_Toc152042315"/>
      <w:bookmarkStart w:id="125" w:name="_Toc247513962"/>
      <w:bookmarkStart w:id="126" w:name="_Toc247527563"/>
      <w:bookmarkStart w:id="127" w:name="_Toc300834959"/>
      <w:bookmarkStart w:id="128" w:name="_Toc152045539"/>
      <w:bookmarkStart w:id="129" w:name="_Toc144974507"/>
      <w:r>
        <w:rPr>
          <w:rFonts w:hint="eastAsia" w:ascii="Times New Roman" w:hAnsi="Times New Roman"/>
          <w:sz w:val="24"/>
          <w:szCs w:val="24"/>
        </w:rPr>
        <w:t>1.9</w:t>
      </w:r>
      <w:r>
        <w:rPr>
          <w:rFonts w:hint="eastAsia"/>
          <w:sz w:val="24"/>
          <w:szCs w:val="24"/>
        </w:rPr>
        <w:t xml:space="preserve"> 踏勘现场</w:t>
      </w:r>
      <w:bookmarkEnd w:id="124"/>
      <w:bookmarkEnd w:id="125"/>
      <w:bookmarkEnd w:id="126"/>
      <w:bookmarkEnd w:id="127"/>
      <w:bookmarkEnd w:id="128"/>
      <w:bookmarkEnd w:id="129"/>
    </w:p>
    <w:p w14:paraId="42AED6A0">
      <w:pPr>
        <w:spacing w:line="360" w:lineRule="auto"/>
        <w:ind w:firstLine="480" w:firstLineChars="200"/>
        <w:rPr>
          <w:sz w:val="24"/>
        </w:rPr>
      </w:pPr>
      <w:r>
        <w:rPr>
          <w:rFonts w:hint="eastAsia"/>
          <w:sz w:val="24"/>
        </w:rPr>
        <w:t xml:space="preserve">1.9.1 投标人须知前附表规定组织踏勘现场的，招标人按投标人须知前附表规定的时间、地点组织投标人踏勘项目现场。 </w:t>
      </w:r>
    </w:p>
    <w:p w14:paraId="44E2C204">
      <w:pPr>
        <w:spacing w:line="360" w:lineRule="auto"/>
        <w:ind w:firstLine="480" w:firstLineChars="200"/>
        <w:rPr>
          <w:sz w:val="24"/>
        </w:rPr>
      </w:pPr>
      <w:r>
        <w:rPr>
          <w:rFonts w:hint="eastAsia"/>
          <w:sz w:val="24"/>
        </w:rPr>
        <w:t>1.9.2 投标人踏勘现场发生的费用自理。</w:t>
      </w:r>
    </w:p>
    <w:p w14:paraId="386F034B">
      <w:pPr>
        <w:spacing w:line="360" w:lineRule="auto"/>
        <w:ind w:firstLine="480" w:firstLineChars="200"/>
        <w:rPr>
          <w:sz w:val="24"/>
        </w:rPr>
      </w:pPr>
      <w:r>
        <w:rPr>
          <w:rFonts w:hint="eastAsia"/>
          <w:sz w:val="24"/>
        </w:rPr>
        <w:t>1.9.3 除招标人的原因外，投标人自行负责在踏勘现场中所发生的人员伤亡和财产损失。</w:t>
      </w:r>
    </w:p>
    <w:p w14:paraId="47BF7D58">
      <w:pPr>
        <w:spacing w:line="360" w:lineRule="auto"/>
        <w:ind w:firstLine="480" w:firstLineChars="200"/>
        <w:rPr>
          <w:sz w:val="24"/>
        </w:rPr>
      </w:pPr>
      <w:r>
        <w:rPr>
          <w:rFonts w:hint="eastAsia"/>
          <w:sz w:val="24"/>
        </w:rPr>
        <w:t>1.9.4 招标人在踏勘现场中介绍的工程场地和相关的周边环境情况，供投标人在编制投标文件时参考，招标人不对投标人据此作出的判断和决策负责。</w:t>
      </w:r>
    </w:p>
    <w:p w14:paraId="118DB2C7">
      <w:pPr>
        <w:pStyle w:val="2"/>
        <w:spacing w:line="360" w:lineRule="auto"/>
        <w:ind w:firstLine="118"/>
        <w:rPr>
          <w:sz w:val="24"/>
          <w:szCs w:val="24"/>
        </w:rPr>
      </w:pPr>
      <w:bookmarkStart w:id="130" w:name="_Toc152045540"/>
      <w:bookmarkStart w:id="131" w:name="_Toc300834960"/>
      <w:bookmarkStart w:id="132" w:name="_Toc247527564"/>
      <w:bookmarkStart w:id="133" w:name="_Toc152042316"/>
      <w:bookmarkStart w:id="134" w:name="_Toc144974508"/>
      <w:bookmarkStart w:id="135" w:name="_Toc247513963"/>
      <w:r>
        <w:rPr>
          <w:rFonts w:hint="eastAsia" w:ascii="Times New Roman" w:hAnsi="Times New Roman"/>
          <w:sz w:val="24"/>
          <w:szCs w:val="24"/>
        </w:rPr>
        <w:t>1.10</w:t>
      </w:r>
      <w:r>
        <w:rPr>
          <w:rFonts w:hint="eastAsia"/>
          <w:sz w:val="24"/>
          <w:szCs w:val="24"/>
        </w:rPr>
        <w:t xml:space="preserve"> 投标预备会</w:t>
      </w:r>
      <w:bookmarkEnd w:id="130"/>
      <w:bookmarkEnd w:id="131"/>
      <w:bookmarkEnd w:id="132"/>
      <w:bookmarkEnd w:id="133"/>
      <w:bookmarkEnd w:id="134"/>
      <w:bookmarkEnd w:id="135"/>
    </w:p>
    <w:p w14:paraId="7FF40898">
      <w:pPr>
        <w:spacing w:line="360" w:lineRule="auto"/>
        <w:ind w:firstLine="480" w:firstLineChars="200"/>
        <w:rPr>
          <w:sz w:val="24"/>
        </w:rPr>
      </w:pPr>
      <w:r>
        <w:rPr>
          <w:rFonts w:hint="eastAsia"/>
          <w:sz w:val="24"/>
        </w:rPr>
        <w:t>1.10.1 投标人须知前附表规定召开投标预备会的，招标人按投标人须知前附表规定的时间和地点召开投标预备会，澄清投标人提出的问题。</w:t>
      </w:r>
    </w:p>
    <w:p w14:paraId="5A0C9AC7">
      <w:pPr>
        <w:spacing w:line="360" w:lineRule="auto"/>
        <w:ind w:firstLine="480" w:firstLineChars="200"/>
        <w:rPr>
          <w:sz w:val="24"/>
        </w:rPr>
      </w:pPr>
      <w:r>
        <w:rPr>
          <w:rFonts w:hint="eastAsia"/>
          <w:sz w:val="24"/>
        </w:rPr>
        <w:t>1.10.2 投标人应在投标人须知前附表规定的时间前，以书面形式将提出的问题送达招标人，以便招标人在会议期间澄清。</w:t>
      </w:r>
    </w:p>
    <w:p w14:paraId="32D70035">
      <w:pPr>
        <w:spacing w:line="360" w:lineRule="auto"/>
        <w:ind w:firstLine="480" w:firstLineChars="200"/>
        <w:rPr>
          <w:sz w:val="24"/>
        </w:rPr>
      </w:pPr>
      <w:r>
        <w:rPr>
          <w:rFonts w:hint="eastAsia"/>
          <w:sz w:val="24"/>
        </w:rPr>
        <w:t>1.10.3 投标预备会后，招标人在投标人须知前附表规定的时间内，将对投标人所提问题的澄清，以书面形式通知所有购买招标文件的投标人。该澄清内容为招标文件的组成部分。</w:t>
      </w:r>
    </w:p>
    <w:p w14:paraId="405382AE">
      <w:pPr>
        <w:pStyle w:val="2"/>
        <w:spacing w:line="360" w:lineRule="auto"/>
        <w:ind w:firstLine="118"/>
        <w:rPr>
          <w:sz w:val="24"/>
          <w:szCs w:val="24"/>
        </w:rPr>
      </w:pPr>
      <w:bookmarkStart w:id="136" w:name="_Toc152045541"/>
      <w:bookmarkStart w:id="137" w:name="_Toc247513964"/>
      <w:bookmarkStart w:id="138" w:name="_Toc144974509"/>
      <w:bookmarkStart w:id="139" w:name="_Toc247527565"/>
      <w:bookmarkStart w:id="140" w:name="_Toc300834961"/>
      <w:bookmarkStart w:id="141" w:name="_Toc152042317"/>
      <w:r>
        <w:rPr>
          <w:rFonts w:hint="eastAsia" w:ascii="Times New Roman" w:hAnsi="Times New Roman"/>
          <w:sz w:val="24"/>
          <w:szCs w:val="24"/>
        </w:rPr>
        <w:t xml:space="preserve">1.11 </w:t>
      </w:r>
      <w:r>
        <w:rPr>
          <w:rFonts w:hint="eastAsia"/>
          <w:sz w:val="24"/>
          <w:szCs w:val="24"/>
        </w:rPr>
        <w:t>分包</w:t>
      </w:r>
      <w:bookmarkEnd w:id="136"/>
      <w:bookmarkEnd w:id="137"/>
      <w:bookmarkEnd w:id="138"/>
      <w:bookmarkEnd w:id="139"/>
      <w:bookmarkEnd w:id="140"/>
      <w:bookmarkEnd w:id="141"/>
    </w:p>
    <w:p w14:paraId="26AB0C3D">
      <w:pPr>
        <w:spacing w:line="360" w:lineRule="auto"/>
        <w:ind w:firstLine="648" w:firstLineChars="270"/>
        <w:rPr>
          <w:sz w:val="24"/>
        </w:rPr>
      </w:pPr>
      <w:r>
        <w:rPr>
          <w:rFonts w:hint="eastAsia"/>
          <w:sz w:val="24"/>
        </w:rPr>
        <w:t>1.11.1 投标人须知前附表规定应当由分包人实施的非主体、非关键性工作，应符合投标人须知前附表规定的分包内容、分包金额和资质要求等限制性条件。</w:t>
      </w:r>
    </w:p>
    <w:p w14:paraId="3B653BBB">
      <w:pPr>
        <w:spacing w:line="360" w:lineRule="auto"/>
        <w:ind w:firstLine="648" w:firstLineChars="270"/>
        <w:rPr>
          <w:sz w:val="24"/>
        </w:rPr>
      </w:pPr>
      <w:r>
        <w:rPr>
          <w:rFonts w:hint="eastAsia"/>
          <w:sz w:val="24"/>
        </w:rPr>
        <w:t>1.11.2 投标人拟在中标后将中标项目的部分非主体、非关键性工作进行分包的，应符合投标人须知前附表规定的分包内容、分包金额和资质要求等限制性条件。</w:t>
      </w:r>
    </w:p>
    <w:p w14:paraId="685201D1">
      <w:pPr>
        <w:pStyle w:val="2"/>
        <w:spacing w:line="360" w:lineRule="auto"/>
        <w:ind w:firstLine="118"/>
        <w:rPr>
          <w:sz w:val="24"/>
          <w:szCs w:val="24"/>
        </w:rPr>
      </w:pPr>
      <w:bookmarkStart w:id="142" w:name="_Toc247513965"/>
      <w:bookmarkStart w:id="143" w:name="_Toc247527566"/>
      <w:bookmarkStart w:id="144" w:name="_Toc300834962"/>
      <w:r>
        <w:rPr>
          <w:rFonts w:hint="eastAsia" w:ascii="Times New Roman" w:hAnsi="Times New Roman"/>
          <w:sz w:val="24"/>
          <w:szCs w:val="24"/>
        </w:rPr>
        <w:t>1.12</w:t>
      </w:r>
      <w:r>
        <w:rPr>
          <w:rFonts w:hint="eastAsia"/>
          <w:sz w:val="24"/>
          <w:szCs w:val="24"/>
        </w:rPr>
        <w:t xml:space="preserve"> 偏离</w:t>
      </w:r>
      <w:bookmarkEnd w:id="142"/>
      <w:bookmarkEnd w:id="143"/>
      <w:bookmarkEnd w:id="144"/>
    </w:p>
    <w:p w14:paraId="18F26CA3">
      <w:pPr>
        <w:spacing w:line="360" w:lineRule="auto"/>
        <w:ind w:firstLine="410" w:firstLineChars="171"/>
        <w:rPr>
          <w:sz w:val="24"/>
        </w:rPr>
      </w:pPr>
      <w:r>
        <w:rPr>
          <w:rFonts w:hint="eastAsia"/>
          <w:sz w:val="24"/>
        </w:rPr>
        <w:t>投标人须知前附表允许投标文件偏离招标文件某些要求的，偏离应当符合招标文件规定的偏离范围和幅度。</w:t>
      </w:r>
    </w:p>
    <w:p w14:paraId="028EEDEB">
      <w:pPr>
        <w:pStyle w:val="4"/>
        <w:spacing w:line="360" w:lineRule="auto"/>
        <w:rPr>
          <w:sz w:val="24"/>
          <w:szCs w:val="24"/>
        </w:rPr>
      </w:pPr>
      <w:bookmarkStart w:id="145" w:name="_Toc247513966"/>
      <w:bookmarkStart w:id="146" w:name="_Toc247527567"/>
      <w:bookmarkStart w:id="147" w:name="_Toc300834963"/>
      <w:bookmarkStart w:id="148" w:name="_Toc144974510"/>
      <w:bookmarkStart w:id="149" w:name="_Toc152042318"/>
      <w:bookmarkStart w:id="150" w:name="_Toc152045542"/>
      <w:r>
        <w:rPr>
          <w:rFonts w:hint="eastAsia"/>
          <w:sz w:val="24"/>
          <w:szCs w:val="24"/>
        </w:rPr>
        <w:t>2. 招标文件</w:t>
      </w:r>
      <w:bookmarkEnd w:id="145"/>
      <w:bookmarkEnd w:id="146"/>
      <w:bookmarkEnd w:id="147"/>
      <w:bookmarkEnd w:id="148"/>
      <w:bookmarkEnd w:id="149"/>
      <w:bookmarkEnd w:id="150"/>
    </w:p>
    <w:p w14:paraId="5F91EDE1">
      <w:pPr>
        <w:pStyle w:val="2"/>
        <w:spacing w:line="360" w:lineRule="auto"/>
        <w:ind w:firstLine="118"/>
        <w:rPr>
          <w:sz w:val="24"/>
          <w:szCs w:val="24"/>
        </w:rPr>
      </w:pPr>
      <w:bookmarkStart w:id="151" w:name="_Toc152042319"/>
      <w:bookmarkStart w:id="152" w:name="_Toc300834964"/>
      <w:bookmarkStart w:id="153" w:name="_Toc144974511"/>
      <w:bookmarkStart w:id="154" w:name="_Toc247527568"/>
      <w:bookmarkStart w:id="155" w:name="_Toc247513967"/>
      <w:bookmarkStart w:id="156" w:name="_Toc152045543"/>
      <w:r>
        <w:rPr>
          <w:rFonts w:hint="eastAsia" w:ascii="Times New Roman" w:hAnsi="Times New Roman"/>
          <w:sz w:val="24"/>
          <w:szCs w:val="24"/>
        </w:rPr>
        <w:t>2.1</w:t>
      </w:r>
      <w:r>
        <w:rPr>
          <w:rFonts w:hint="eastAsia"/>
          <w:sz w:val="24"/>
          <w:szCs w:val="24"/>
        </w:rPr>
        <w:t xml:space="preserve"> 招标文件的组成</w:t>
      </w:r>
      <w:bookmarkEnd w:id="151"/>
      <w:bookmarkEnd w:id="152"/>
      <w:bookmarkEnd w:id="153"/>
      <w:bookmarkEnd w:id="154"/>
      <w:bookmarkEnd w:id="155"/>
      <w:bookmarkEnd w:id="156"/>
    </w:p>
    <w:p w14:paraId="24EDBDB8">
      <w:pPr>
        <w:spacing w:line="360" w:lineRule="auto"/>
        <w:rPr>
          <w:sz w:val="24"/>
        </w:rPr>
      </w:pPr>
      <w:r>
        <w:rPr>
          <w:rFonts w:hint="eastAsia"/>
          <w:sz w:val="24"/>
        </w:rPr>
        <w:t>　　本招标文件包括：</w:t>
      </w:r>
    </w:p>
    <w:p w14:paraId="4909EAC2">
      <w:pPr>
        <w:spacing w:line="360" w:lineRule="auto"/>
        <w:ind w:firstLine="410" w:firstLineChars="171"/>
        <w:rPr>
          <w:sz w:val="24"/>
        </w:rPr>
      </w:pPr>
      <w:r>
        <w:rPr>
          <w:rFonts w:hint="eastAsia"/>
          <w:sz w:val="24"/>
        </w:rPr>
        <w:t>（1）招标公告（或投标邀请书）；</w:t>
      </w:r>
    </w:p>
    <w:p w14:paraId="5D79F998">
      <w:pPr>
        <w:spacing w:line="360" w:lineRule="auto"/>
        <w:ind w:firstLine="410" w:firstLineChars="171"/>
        <w:rPr>
          <w:sz w:val="24"/>
        </w:rPr>
      </w:pPr>
      <w:r>
        <w:rPr>
          <w:rFonts w:hint="eastAsia"/>
          <w:sz w:val="24"/>
        </w:rPr>
        <w:t>（2）投标人须知；</w:t>
      </w:r>
    </w:p>
    <w:p w14:paraId="315CF122">
      <w:pPr>
        <w:spacing w:line="360" w:lineRule="auto"/>
        <w:ind w:firstLine="410" w:firstLineChars="171"/>
        <w:rPr>
          <w:sz w:val="24"/>
        </w:rPr>
      </w:pPr>
      <w:r>
        <w:rPr>
          <w:rFonts w:hint="eastAsia"/>
          <w:sz w:val="24"/>
        </w:rPr>
        <w:t>（3）评标办法；</w:t>
      </w:r>
    </w:p>
    <w:p w14:paraId="082FFDA8">
      <w:pPr>
        <w:spacing w:line="360" w:lineRule="auto"/>
        <w:ind w:firstLine="410" w:firstLineChars="171"/>
        <w:rPr>
          <w:sz w:val="24"/>
        </w:rPr>
      </w:pPr>
      <w:r>
        <w:rPr>
          <w:rFonts w:hint="eastAsia"/>
          <w:sz w:val="24"/>
        </w:rPr>
        <w:t>（4）合同条款及格式；</w:t>
      </w:r>
    </w:p>
    <w:p w14:paraId="669099CE">
      <w:pPr>
        <w:spacing w:line="360" w:lineRule="auto"/>
        <w:ind w:firstLine="410" w:firstLineChars="171"/>
        <w:rPr>
          <w:sz w:val="24"/>
        </w:rPr>
      </w:pPr>
      <w:r>
        <w:rPr>
          <w:rFonts w:hint="eastAsia"/>
          <w:sz w:val="24"/>
        </w:rPr>
        <w:t>（5）发包人要求；</w:t>
      </w:r>
    </w:p>
    <w:p w14:paraId="17BA986E">
      <w:pPr>
        <w:spacing w:line="360" w:lineRule="auto"/>
        <w:ind w:firstLine="410" w:firstLineChars="171"/>
        <w:rPr>
          <w:sz w:val="24"/>
        </w:rPr>
      </w:pPr>
      <w:r>
        <w:rPr>
          <w:rFonts w:hint="eastAsia"/>
          <w:sz w:val="24"/>
        </w:rPr>
        <w:t>（6）发包人提供的资料和条件；</w:t>
      </w:r>
    </w:p>
    <w:p w14:paraId="06700EED">
      <w:pPr>
        <w:spacing w:line="360" w:lineRule="auto"/>
        <w:ind w:firstLine="410" w:firstLineChars="171"/>
        <w:rPr>
          <w:sz w:val="24"/>
        </w:rPr>
      </w:pPr>
      <w:r>
        <w:rPr>
          <w:rFonts w:hint="eastAsia"/>
          <w:sz w:val="24"/>
        </w:rPr>
        <w:t>（7）投标文件格式；</w:t>
      </w:r>
    </w:p>
    <w:p w14:paraId="39865612">
      <w:pPr>
        <w:spacing w:line="360" w:lineRule="auto"/>
        <w:ind w:firstLine="410" w:firstLineChars="171"/>
        <w:rPr>
          <w:sz w:val="24"/>
        </w:rPr>
      </w:pPr>
      <w:r>
        <w:rPr>
          <w:rFonts w:hint="eastAsia"/>
          <w:sz w:val="24"/>
        </w:rPr>
        <w:t>（8）投标人须知前附表规定的其他资料。</w:t>
      </w:r>
    </w:p>
    <w:p w14:paraId="26A0E7DF">
      <w:pPr>
        <w:spacing w:line="360" w:lineRule="auto"/>
        <w:ind w:firstLine="480" w:firstLineChars="200"/>
        <w:rPr>
          <w:sz w:val="24"/>
        </w:rPr>
      </w:pPr>
      <w:r>
        <w:rPr>
          <w:rFonts w:hint="eastAsia"/>
          <w:sz w:val="24"/>
        </w:rPr>
        <w:t>根据本章第2.2款和第2.3款对招标文件所作的澄清、修改，构成招标文件的组成部分。</w:t>
      </w:r>
    </w:p>
    <w:p w14:paraId="3CB3E45E">
      <w:pPr>
        <w:pStyle w:val="2"/>
        <w:spacing w:line="360" w:lineRule="auto"/>
        <w:ind w:firstLine="118"/>
        <w:rPr>
          <w:sz w:val="24"/>
          <w:szCs w:val="24"/>
        </w:rPr>
      </w:pPr>
      <w:bookmarkStart w:id="157" w:name="_Toc152045544"/>
      <w:bookmarkStart w:id="158" w:name="_Toc247513968"/>
      <w:bookmarkStart w:id="159" w:name="_Toc144974512"/>
      <w:bookmarkStart w:id="160" w:name="_Toc152042320"/>
      <w:bookmarkStart w:id="161" w:name="_Toc247527569"/>
      <w:bookmarkStart w:id="162" w:name="_Toc300834965"/>
      <w:r>
        <w:rPr>
          <w:rFonts w:hint="eastAsia" w:ascii="Times New Roman" w:hAnsi="Times New Roman"/>
          <w:sz w:val="24"/>
          <w:szCs w:val="24"/>
        </w:rPr>
        <w:t>2.2</w:t>
      </w:r>
      <w:r>
        <w:rPr>
          <w:rFonts w:hint="eastAsia"/>
          <w:sz w:val="24"/>
          <w:szCs w:val="24"/>
        </w:rPr>
        <w:t xml:space="preserve"> 招标文件的澄清</w:t>
      </w:r>
      <w:bookmarkEnd w:id="157"/>
      <w:bookmarkEnd w:id="158"/>
      <w:bookmarkEnd w:id="159"/>
      <w:bookmarkEnd w:id="160"/>
      <w:bookmarkEnd w:id="161"/>
      <w:bookmarkEnd w:id="162"/>
    </w:p>
    <w:p w14:paraId="451117EA">
      <w:pPr>
        <w:spacing w:line="360" w:lineRule="auto"/>
        <w:ind w:firstLine="480" w:firstLineChars="200"/>
        <w:rPr>
          <w:sz w:val="24"/>
        </w:rPr>
      </w:pPr>
      <w:r>
        <w:rPr>
          <w:rFonts w:hint="eastAsia"/>
          <w:sz w:val="24"/>
        </w:rPr>
        <w:t>2.2.1 投标人</w:t>
      </w:r>
      <w:r>
        <w:rPr>
          <w:rFonts w:hint="eastAsia" w:ascii="宋体" w:hAnsi="宋体"/>
          <w:sz w:val="24"/>
        </w:rPr>
        <w:t>如有疑问，应在投标人须知前附表规定的时间前通过公共资源交易平台向招标人提出需澄清的问题，要求招标人对招标文件予以澄清</w:t>
      </w:r>
      <w:r>
        <w:rPr>
          <w:rFonts w:hint="eastAsia"/>
          <w:sz w:val="24"/>
        </w:rPr>
        <w:t>。</w:t>
      </w:r>
    </w:p>
    <w:p w14:paraId="0C5DD37E">
      <w:pPr>
        <w:spacing w:line="360" w:lineRule="auto"/>
        <w:ind w:firstLine="480" w:firstLineChars="200"/>
        <w:rPr>
          <w:sz w:val="24"/>
        </w:rPr>
      </w:pPr>
      <w:r>
        <w:rPr>
          <w:rFonts w:hint="eastAsia"/>
          <w:sz w:val="24"/>
        </w:rPr>
        <w:t xml:space="preserve">2.2.2 </w:t>
      </w:r>
      <w:r>
        <w:rPr>
          <w:rFonts w:hint="eastAsia" w:ascii="宋体" w:hAnsi="宋体"/>
          <w:sz w:val="24"/>
        </w:rPr>
        <w:t>招标文件的澄清将在投标人须知前附表规定的投标截止时间15天前在公共资源交易平台中发布</w:t>
      </w:r>
      <w:r>
        <w:rPr>
          <w:rFonts w:hint="eastAsia"/>
          <w:sz w:val="24"/>
        </w:rPr>
        <w:t>。澄清文件发出的时间距投标人须知前附表规定的投标截止时间不足15天的，并且澄清内容影响投标文件编制的，将相应延长投标截止时间。</w:t>
      </w:r>
    </w:p>
    <w:p w14:paraId="490C016C">
      <w:pPr>
        <w:spacing w:line="360" w:lineRule="auto"/>
        <w:ind w:firstLine="480" w:firstLineChars="200"/>
        <w:rPr>
          <w:sz w:val="24"/>
        </w:rPr>
      </w:pPr>
      <w:r>
        <w:rPr>
          <w:rFonts w:hint="eastAsia"/>
          <w:sz w:val="24"/>
        </w:rPr>
        <w:t>2.2.3 投标人收到澄清后的确认：见投标人须知前附表。</w:t>
      </w:r>
    </w:p>
    <w:p w14:paraId="381A2F34">
      <w:pPr>
        <w:pStyle w:val="2"/>
        <w:spacing w:line="360" w:lineRule="auto"/>
        <w:ind w:firstLine="118"/>
        <w:rPr>
          <w:sz w:val="24"/>
          <w:szCs w:val="24"/>
        </w:rPr>
      </w:pPr>
      <w:bookmarkStart w:id="163" w:name="_Toc300834966"/>
      <w:bookmarkStart w:id="164" w:name="_Toc152042321"/>
      <w:bookmarkStart w:id="165" w:name="_Toc247527570"/>
      <w:bookmarkStart w:id="166" w:name="_Toc144974513"/>
      <w:bookmarkStart w:id="167" w:name="_Toc152045545"/>
      <w:bookmarkStart w:id="168" w:name="_Toc247513969"/>
      <w:r>
        <w:rPr>
          <w:rFonts w:hint="eastAsia" w:ascii="Times New Roman" w:hAnsi="Times New Roman"/>
          <w:sz w:val="24"/>
          <w:szCs w:val="24"/>
        </w:rPr>
        <w:t>2.3</w:t>
      </w:r>
      <w:r>
        <w:rPr>
          <w:rFonts w:hint="eastAsia"/>
          <w:sz w:val="24"/>
          <w:szCs w:val="24"/>
        </w:rPr>
        <w:t xml:space="preserve"> 招标文件的修改</w:t>
      </w:r>
      <w:bookmarkEnd w:id="163"/>
      <w:bookmarkEnd w:id="164"/>
      <w:bookmarkEnd w:id="165"/>
      <w:bookmarkEnd w:id="166"/>
      <w:bookmarkEnd w:id="167"/>
      <w:bookmarkEnd w:id="168"/>
    </w:p>
    <w:p w14:paraId="3D00E4F4">
      <w:pPr>
        <w:spacing w:line="360" w:lineRule="auto"/>
        <w:ind w:firstLine="480" w:firstLineChars="200"/>
        <w:rPr>
          <w:sz w:val="24"/>
        </w:rPr>
      </w:pPr>
      <w:r>
        <w:rPr>
          <w:rFonts w:hint="eastAsia"/>
          <w:sz w:val="24"/>
        </w:rPr>
        <w:t xml:space="preserve">2.3.1 </w:t>
      </w:r>
      <w:r>
        <w:rPr>
          <w:rFonts w:hint="eastAsia" w:ascii="宋体" w:hAnsi="宋体"/>
          <w:sz w:val="24"/>
        </w:rPr>
        <w:t>在投标截止时间15天前，招标人可以修改招标文件，并在公共资源交易平台中发布。如果修改招标文件的时间距投标截止时间不足 15 天，相应延长投标截止时间</w:t>
      </w:r>
      <w:r>
        <w:rPr>
          <w:rFonts w:hint="eastAsia"/>
          <w:sz w:val="24"/>
        </w:rPr>
        <w:t xml:space="preserve">。 </w:t>
      </w:r>
    </w:p>
    <w:p w14:paraId="10F45FF5">
      <w:pPr>
        <w:spacing w:line="360" w:lineRule="auto"/>
        <w:ind w:firstLine="480" w:firstLineChars="200"/>
        <w:rPr>
          <w:sz w:val="24"/>
        </w:rPr>
      </w:pPr>
      <w:r>
        <w:rPr>
          <w:rFonts w:hint="eastAsia"/>
          <w:sz w:val="24"/>
        </w:rPr>
        <w:t>2.3.2 投标人收到修改的确认：见投标人须知前附表。</w:t>
      </w:r>
    </w:p>
    <w:p w14:paraId="2EB92BF6">
      <w:pPr>
        <w:pStyle w:val="4"/>
        <w:spacing w:line="360" w:lineRule="auto"/>
        <w:rPr>
          <w:sz w:val="24"/>
          <w:szCs w:val="24"/>
        </w:rPr>
      </w:pPr>
      <w:bookmarkStart w:id="169" w:name="_Toc300834967"/>
      <w:bookmarkStart w:id="170" w:name="_Toc152042322"/>
      <w:bookmarkStart w:id="171" w:name="_Toc247527571"/>
      <w:bookmarkStart w:id="172" w:name="_Toc247513970"/>
      <w:bookmarkStart w:id="173" w:name="_Toc144974514"/>
      <w:bookmarkStart w:id="174" w:name="_Toc152045546"/>
      <w:r>
        <w:rPr>
          <w:rFonts w:hint="eastAsia"/>
          <w:sz w:val="24"/>
          <w:szCs w:val="24"/>
        </w:rPr>
        <w:t>3. 投标文件</w:t>
      </w:r>
      <w:bookmarkEnd w:id="169"/>
      <w:bookmarkEnd w:id="170"/>
      <w:bookmarkEnd w:id="171"/>
      <w:bookmarkEnd w:id="172"/>
      <w:bookmarkEnd w:id="173"/>
      <w:bookmarkEnd w:id="174"/>
    </w:p>
    <w:p w14:paraId="5BBC0450">
      <w:pPr>
        <w:pStyle w:val="2"/>
        <w:spacing w:line="360" w:lineRule="auto"/>
        <w:ind w:firstLine="118"/>
        <w:rPr>
          <w:sz w:val="24"/>
          <w:szCs w:val="24"/>
        </w:rPr>
      </w:pPr>
      <w:bookmarkStart w:id="175" w:name="_Toc144974515"/>
      <w:bookmarkStart w:id="176" w:name="_Toc247513971"/>
      <w:bookmarkStart w:id="177" w:name="_Toc300834968"/>
      <w:bookmarkStart w:id="178" w:name="_Toc152042323"/>
      <w:bookmarkStart w:id="179" w:name="_Toc247527572"/>
      <w:bookmarkStart w:id="180" w:name="_Toc152045547"/>
      <w:r>
        <w:rPr>
          <w:rFonts w:hint="eastAsia" w:ascii="Times New Roman" w:hAnsi="Times New Roman"/>
          <w:sz w:val="24"/>
          <w:szCs w:val="24"/>
        </w:rPr>
        <w:t>3.1</w:t>
      </w:r>
      <w:r>
        <w:rPr>
          <w:rFonts w:hint="eastAsia"/>
          <w:sz w:val="24"/>
          <w:szCs w:val="24"/>
        </w:rPr>
        <w:t xml:space="preserve"> 投标文件的组成</w:t>
      </w:r>
      <w:bookmarkEnd w:id="175"/>
      <w:bookmarkEnd w:id="176"/>
      <w:bookmarkEnd w:id="177"/>
      <w:bookmarkEnd w:id="178"/>
      <w:bookmarkEnd w:id="179"/>
      <w:bookmarkEnd w:id="180"/>
    </w:p>
    <w:p w14:paraId="291FF2C0">
      <w:pPr>
        <w:spacing w:line="360" w:lineRule="auto"/>
        <w:rPr>
          <w:sz w:val="24"/>
        </w:rPr>
      </w:pPr>
      <w:r>
        <w:rPr>
          <w:rFonts w:hint="eastAsia"/>
          <w:sz w:val="24"/>
        </w:rPr>
        <w:t>　　3.1.1 投标文件应包括下列内容：</w:t>
      </w:r>
    </w:p>
    <w:p w14:paraId="703E37F8">
      <w:pPr>
        <w:spacing w:line="360" w:lineRule="auto"/>
        <w:ind w:firstLine="410" w:firstLineChars="171"/>
        <w:rPr>
          <w:sz w:val="24"/>
        </w:rPr>
      </w:pPr>
      <w:r>
        <w:rPr>
          <w:rFonts w:hint="eastAsia"/>
          <w:sz w:val="24"/>
        </w:rPr>
        <w:t>（1）投标函及投标函附录；</w:t>
      </w:r>
    </w:p>
    <w:p w14:paraId="32145CB2">
      <w:pPr>
        <w:spacing w:line="360" w:lineRule="auto"/>
        <w:ind w:firstLine="410" w:firstLineChars="171"/>
        <w:rPr>
          <w:sz w:val="24"/>
        </w:rPr>
      </w:pPr>
      <w:r>
        <w:rPr>
          <w:rFonts w:hint="eastAsia"/>
          <w:sz w:val="24"/>
        </w:rPr>
        <w:t>（2）法定代表人身份证明或附有法定代表人身份证明的授权委托书；</w:t>
      </w:r>
    </w:p>
    <w:p w14:paraId="6C725F1C">
      <w:pPr>
        <w:spacing w:line="360" w:lineRule="auto"/>
        <w:ind w:firstLine="410" w:firstLineChars="171"/>
        <w:rPr>
          <w:sz w:val="24"/>
        </w:rPr>
      </w:pPr>
      <w:r>
        <w:rPr>
          <w:rFonts w:hint="eastAsia"/>
          <w:sz w:val="24"/>
        </w:rPr>
        <w:t>（3）联合体协议书；</w:t>
      </w:r>
    </w:p>
    <w:p w14:paraId="1434844A">
      <w:pPr>
        <w:spacing w:line="360" w:lineRule="auto"/>
        <w:ind w:firstLine="410" w:firstLineChars="171"/>
        <w:rPr>
          <w:sz w:val="24"/>
        </w:rPr>
      </w:pPr>
      <w:r>
        <w:rPr>
          <w:rFonts w:hint="eastAsia"/>
          <w:sz w:val="24"/>
        </w:rPr>
        <w:t>（4）投标保证金；</w:t>
      </w:r>
    </w:p>
    <w:p w14:paraId="38E38813">
      <w:pPr>
        <w:spacing w:line="360" w:lineRule="auto"/>
        <w:ind w:firstLine="410" w:firstLineChars="171"/>
        <w:rPr>
          <w:sz w:val="24"/>
        </w:rPr>
      </w:pPr>
      <w:r>
        <w:rPr>
          <w:rFonts w:hint="eastAsia"/>
          <w:sz w:val="24"/>
        </w:rPr>
        <w:t>（5）价格清单；</w:t>
      </w:r>
    </w:p>
    <w:p w14:paraId="41B58A31">
      <w:pPr>
        <w:spacing w:line="360" w:lineRule="auto"/>
        <w:ind w:firstLine="410" w:firstLineChars="171"/>
        <w:rPr>
          <w:sz w:val="24"/>
        </w:rPr>
      </w:pPr>
      <w:r>
        <w:rPr>
          <w:rFonts w:hint="eastAsia"/>
          <w:sz w:val="24"/>
        </w:rPr>
        <w:t>（6）承包人建议书；</w:t>
      </w:r>
    </w:p>
    <w:p w14:paraId="5E16CABB">
      <w:pPr>
        <w:spacing w:line="360" w:lineRule="auto"/>
        <w:ind w:firstLine="410" w:firstLineChars="171"/>
        <w:rPr>
          <w:sz w:val="24"/>
        </w:rPr>
      </w:pPr>
      <w:r>
        <w:rPr>
          <w:rFonts w:hint="eastAsia"/>
          <w:sz w:val="24"/>
        </w:rPr>
        <w:t>（7）承包人实施计划；</w:t>
      </w:r>
    </w:p>
    <w:p w14:paraId="7740F827">
      <w:pPr>
        <w:spacing w:line="360" w:lineRule="auto"/>
        <w:ind w:firstLine="410" w:firstLineChars="171"/>
        <w:rPr>
          <w:sz w:val="24"/>
        </w:rPr>
      </w:pPr>
      <w:r>
        <w:rPr>
          <w:rFonts w:hint="eastAsia"/>
          <w:sz w:val="24"/>
        </w:rPr>
        <w:t>（8）资格审查资料；</w:t>
      </w:r>
    </w:p>
    <w:p w14:paraId="60FC01B7">
      <w:pPr>
        <w:spacing w:line="360" w:lineRule="auto"/>
        <w:ind w:firstLine="410" w:firstLineChars="171"/>
        <w:rPr>
          <w:sz w:val="24"/>
        </w:rPr>
      </w:pPr>
      <w:r>
        <w:rPr>
          <w:rFonts w:hint="eastAsia"/>
          <w:sz w:val="24"/>
        </w:rPr>
        <w:t>（9）投标人须知前附表规定的其他资料。</w:t>
      </w:r>
    </w:p>
    <w:p w14:paraId="61D26EAA">
      <w:pPr>
        <w:spacing w:line="360" w:lineRule="auto"/>
        <w:ind w:firstLine="410" w:firstLineChars="171"/>
        <w:rPr>
          <w:sz w:val="24"/>
        </w:rPr>
      </w:pPr>
      <w:r>
        <w:rPr>
          <w:rFonts w:hint="eastAsia"/>
          <w:sz w:val="24"/>
        </w:rPr>
        <w:t xml:space="preserve">3.1.2 投标人须知前附表规定不接受联合体投标的，或投标人没有组成联合体的，投标文件不包括本章第3.1.1（3）目所指的联合体协议书。 </w:t>
      </w:r>
    </w:p>
    <w:p w14:paraId="38E0AF98">
      <w:pPr>
        <w:pStyle w:val="2"/>
        <w:spacing w:line="360" w:lineRule="auto"/>
        <w:ind w:firstLine="118"/>
        <w:rPr>
          <w:sz w:val="24"/>
          <w:szCs w:val="24"/>
        </w:rPr>
      </w:pPr>
      <w:bookmarkStart w:id="181" w:name="_Toc152045548"/>
      <w:bookmarkStart w:id="182" w:name="_Toc300834969"/>
      <w:bookmarkStart w:id="183" w:name="_Toc247527573"/>
      <w:bookmarkStart w:id="184" w:name="_Toc144974516"/>
      <w:bookmarkStart w:id="185" w:name="_Toc152042324"/>
      <w:bookmarkStart w:id="186" w:name="_Toc247513972"/>
      <w:r>
        <w:rPr>
          <w:rFonts w:hint="eastAsia" w:ascii="Times New Roman" w:hAnsi="Times New Roman"/>
          <w:sz w:val="24"/>
          <w:szCs w:val="24"/>
        </w:rPr>
        <w:t>3.2</w:t>
      </w:r>
      <w:r>
        <w:rPr>
          <w:rFonts w:hint="eastAsia"/>
          <w:sz w:val="24"/>
          <w:szCs w:val="24"/>
        </w:rPr>
        <w:t xml:space="preserve"> 投标报价</w:t>
      </w:r>
      <w:bookmarkEnd w:id="181"/>
      <w:bookmarkEnd w:id="182"/>
      <w:bookmarkEnd w:id="183"/>
      <w:bookmarkEnd w:id="184"/>
      <w:bookmarkEnd w:id="185"/>
      <w:bookmarkEnd w:id="186"/>
      <w:r>
        <w:rPr>
          <w:rFonts w:hint="eastAsia"/>
          <w:sz w:val="24"/>
          <w:szCs w:val="24"/>
        </w:rPr>
        <w:t xml:space="preserve"> </w:t>
      </w:r>
    </w:p>
    <w:p w14:paraId="290B9D28">
      <w:pPr>
        <w:spacing w:line="360" w:lineRule="auto"/>
        <w:ind w:firstLine="480" w:firstLineChars="200"/>
        <w:rPr>
          <w:sz w:val="24"/>
        </w:rPr>
      </w:pPr>
      <w:r>
        <w:rPr>
          <w:rFonts w:hint="eastAsia"/>
          <w:sz w:val="24"/>
        </w:rPr>
        <w:t>3.2.1 投标人应按第七章“投标文件格式”的要求填写价格清单。</w:t>
      </w:r>
    </w:p>
    <w:p w14:paraId="642BD1FE">
      <w:pPr>
        <w:spacing w:line="360" w:lineRule="auto"/>
        <w:ind w:firstLine="480" w:firstLineChars="200"/>
        <w:rPr>
          <w:sz w:val="24"/>
        </w:rPr>
      </w:pPr>
      <w:r>
        <w:rPr>
          <w:rFonts w:hint="eastAsia"/>
          <w:sz w:val="24"/>
        </w:rPr>
        <w:t>3.2.2 投标人应充分了解施工场地的</w:t>
      </w:r>
      <w:r>
        <w:rPr>
          <w:sz w:val="24"/>
        </w:rPr>
        <w:t>位置、周边</w:t>
      </w:r>
      <w:r>
        <w:rPr>
          <w:rFonts w:hint="eastAsia"/>
          <w:sz w:val="24"/>
        </w:rPr>
        <w:t>环境</w:t>
      </w:r>
      <w:r>
        <w:rPr>
          <w:sz w:val="24"/>
        </w:rPr>
        <w:t>、道路、装卸、保管、安装限制</w:t>
      </w:r>
      <w:r>
        <w:rPr>
          <w:rFonts w:hint="eastAsia"/>
          <w:sz w:val="24"/>
        </w:rPr>
        <w:t>以</w:t>
      </w:r>
      <w:r>
        <w:rPr>
          <w:sz w:val="24"/>
        </w:rPr>
        <w:t>及影响</w:t>
      </w:r>
      <w:r>
        <w:rPr>
          <w:rFonts w:hint="eastAsia"/>
          <w:sz w:val="24"/>
        </w:rPr>
        <w:t>投标报价的其他要素。投标人</w:t>
      </w:r>
      <w:r>
        <w:rPr>
          <w:sz w:val="24"/>
        </w:rPr>
        <w:t>根据</w:t>
      </w:r>
      <w:r>
        <w:rPr>
          <w:rFonts w:hint="eastAsia"/>
          <w:sz w:val="24"/>
        </w:rPr>
        <w:t>投标</w:t>
      </w:r>
      <w:r>
        <w:rPr>
          <w:sz w:val="24"/>
        </w:rPr>
        <w:t>设计</w:t>
      </w:r>
      <w:r>
        <w:rPr>
          <w:rFonts w:hint="eastAsia"/>
          <w:sz w:val="24"/>
        </w:rPr>
        <w:t>，结合</w:t>
      </w:r>
      <w:r>
        <w:rPr>
          <w:sz w:val="24"/>
        </w:rPr>
        <w:t>市场情况进行投标报价。</w:t>
      </w:r>
    </w:p>
    <w:p w14:paraId="0F9CB1FD">
      <w:pPr>
        <w:spacing w:line="360" w:lineRule="auto"/>
        <w:ind w:firstLine="480" w:firstLineChars="200"/>
        <w:rPr>
          <w:sz w:val="24"/>
        </w:rPr>
      </w:pPr>
      <w:r>
        <w:rPr>
          <w:rFonts w:hint="eastAsia"/>
          <w:sz w:val="24"/>
        </w:rPr>
        <w:t>3.2.3 投标人在投标截止时间前修改投标函中的投标报价总额，应同时修改投标文件“价格清单”中的相应报价，投标报价总额为各分项金额之和。此修改须符合本章第4.3款的有关要求。</w:t>
      </w:r>
    </w:p>
    <w:p w14:paraId="20C8D87A">
      <w:pPr>
        <w:spacing w:line="360" w:lineRule="auto"/>
        <w:ind w:firstLine="480" w:firstLineChars="200"/>
        <w:rPr>
          <w:sz w:val="24"/>
        </w:rPr>
      </w:pPr>
      <w:r>
        <w:rPr>
          <w:rFonts w:hint="eastAsia"/>
          <w:sz w:val="24"/>
        </w:rPr>
        <w:t>3.2.4 招标人设有最高投标限价的，投标人的投标报价不得超过最高投标限价，最高投标限价或其计算方法在投标人须知前附表中载明。</w:t>
      </w:r>
    </w:p>
    <w:p w14:paraId="773B3F6D">
      <w:pPr>
        <w:spacing w:line="360" w:lineRule="auto"/>
        <w:ind w:firstLine="480" w:firstLineChars="200"/>
        <w:rPr>
          <w:sz w:val="24"/>
        </w:rPr>
      </w:pPr>
      <w:r>
        <w:rPr>
          <w:rFonts w:hint="eastAsia"/>
          <w:sz w:val="24"/>
        </w:rPr>
        <w:t>3.2.5 投标报价的其他要求见投标人须知前附表。</w:t>
      </w:r>
    </w:p>
    <w:p w14:paraId="46FCE817">
      <w:pPr>
        <w:pStyle w:val="2"/>
        <w:spacing w:line="360" w:lineRule="auto"/>
        <w:ind w:firstLine="118"/>
        <w:rPr>
          <w:sz w:val="24"/>
          <w:szCs w:val="24"/>
        </w:rPr>
      </w:pPr>
      <w:bookmarkStart w:id="187" w:name="_Toc300834970"/>
      <w:bookmarkStart w:id="188" w:name="_Toc144974517"/>
      <w:bookmarkStart w:id="189" w:name="_Toc152042325"/>
      <w:bookmarkStart w:id="190" w:name="_Toc247513973"/>
      <w:bookmarkStart w:id="191" w:name="_Toc247527574"/>
      <w:bookmarkStart w:id="192" w:name="_Toc152045549"/>
      <w:r>
        <w:rPr>
          <w:rFonts w:hint="eastAsia" w:ascii="Times New Roman" w:hAnsi="Times New Roman"/>
          <w:sz w:val="24"/>
          <w:szCs w:val="24"/>
        </w:rPr>
        <w:t>3.3</w:t>
      </w:r>
      <w:r>
        <w:rPr>
          <w:rFonts w:hint="eastAsia"/>
          <w:sz w:val="24"/>
          <w:szCs w:val="24"/>
        </w:rPr>
        <w:t xml:space="preserve"> 投标有效期</w:t>
      </w:r>
      <w:bookmarkEnd w:id="187"/>
      <w:bookmarkEnd w:id="188"/>
      <w:bookmarkEnd w:id="189"/>
      <w:bookmarkEnd w:id="190"/>
      <w:bookmarkEnd w:id="191"/>
      <w:bookmarkEnd w:id="192"/>
    </w:p>
    <w:p w14:paraId="2019EFC2">
      <w:pPr>
        <w:spacing w:line="360" w:lineRule="auto"/>
        <w:ind w:firstLine="480" w:firstLineChars="200"/>
        <w:rPr>
          <w:sz w:val="24"/>
        </w:rPr>
      </w:pPr>
      <w:r>
        <w:rPr>
          <w:rFonts w:hint="eastAsia"/>
          <w:sz w:val="24"/>
        </w:rPr>
        <w:t>3.3.1 除投标人须知前附表另有规定外，投标有效期为120天。</w:t>
      </w:r>
    </w:p>
    <w:p w14:paraId="4598689C">
      <w:pPr>
        <w:spacing w:line="360" w:lineRule="auto"/>
        <w:ind w:firstLine="480" w:firstLineChars="200"/>
        <w:rPr>
          <w:sz w:val="24"/>
        </w:rPr>
      </w:pPr>
      <w:r>
        <w:rPr>
          <w:rFonts w:hint="eastAsia"/>
          <w:sz w:val="24"/>
        </w:rPr>
        <w:t>3.3.2 在投标有效期内，投标人撤销或修改其投标文件的，应承担招标文件和法律规定的责任。</w:t>
      </w:r>
    </w:p>
    <w:p w14:paraId="45019701">
      <w:pPr>
        <w:spacing w:line="360" w:lineRule="auto"/>
        <w:ind w:firstLine="480" w:firstLineChars="200"/>
        <w:rPr>
          <w:sz w:val="24"/>
        </w:rPr>
      </w:pPr>
      <w:r>
        <w:rPr>
          <w:rFonts w:hint="eastAsia"/>
          <w:sz w:val="24"/>
        </w:rPr>
        <w:t xml:space="preserve">3.3.3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14:paraId="48668516">
      <w:pPr>
        <w:pStyle w:val="2"/>
        <w:spacing w:line="360" w:lineRule="auto"/>
        <w:ind w:firstLine="118"/>
        <w:rPr>
          <w:sz w:val="24"/>
          <w:szCs w:val="24"/>
        </w:rPr>
      </w:pPr>
      <w:bookmarkStart w:id="193" w:name="_Toc247527575"/>
      <w:bookmarkStart w:id="194" w:name="_Toc152042326"/>
      <w:bookmarkStart w:id="195" w:name="_Toc247513974"/>
      <w:bookmarkStart w:id="196" w:name="_Toc300834971"/>
      <w:bookmarkStart w:id="197" w:name="_Toc152045550"/>
      <w:bookmarkStart w:id="198" w:name="_Toc144974518"/>
      <w:r>
        <w:rPr>
          <w:rFonts w:hint="eastAsia" w:ascii="Times New Roman" w:hAnsi="Times New Roman"/>
          <w:sz w:val="24"/>
          <w:szCs w:val="24"/>
        </w:rPr>
        <w:t>3.4</w:t>
      </w:r>
      <w:r>
        <w:rPr>
          <w:rFonts w:hint="eastAsia"/>
          <w:sz w:val="24"/>
          <w:szCs w:val="24"/>
        </w:rPr>
        <w:t xml:space="preserve"> 投标保证金</w:t>
      </w:r>
      <w:bookmarkEnd w:id="193"/>
      <w:bookmarkEnd w:id="194"/>
      <w:bookmarkEnd w:id="195"/>
      <w:bookmarkEnd w:id="196"/>
      <w:bookmarkEnd w:id="197"/>
      <w:bookmarkEnd w:id="198"/>
    </w:p>
    <w:p w14:paraId="6176D170">
      <w:pPr>
        <w:spacing w:line="360" w:lineRule="auto"/>
        <w:ind w:firstLine="480" w:firstLineChars="200"/>
        <w:rPr>
          <w:sz w:val="24"/>
        </w:rPr>
      </w:pPr>
      <w:r>
        <w:rPr>
          <w:rFonts w:hint="eastAsia"/>
          <w:sz w:val="24"/>
        </w:rPr>
        <w:t>3.4.1 投标人在递交投标文件的同时，应按投标人须知前附表规定的金额、担保形式和第七章“投标文件格式”规定的投标保证金格式递交投标保证金，并作为其投标文件的组成部分。联合体投标的，其投标保证金由联合体牵头人递交，并应符合投标人须知前附表的规定。</w:t>
      </w:r>
    </w:p>
    <w:p w14:paraId="5A749E67">
      <w:pPr>
        <w:spacing w:line="360" w:lineRule="auto"/>
        <w:ind w:firstLine="480" w:firstLineChars="200"/>
        <w:rPr>
          <w:sz w:val="24"/>
        </w:rPr>
      </w:pPr>
      <w:r>
        <w:rPr>
          <w:rFonts w:hint="eastAsia"/>
          <w:sz w:val="24"/>
        </w:rPr>
        <w:t>3.4.2 投标人不按本章第3.4.1项要求提交投标保证金的，评标委员会将否决其投标。</w:t>
      </w:r>
    </w:p>
    <w:p w14:paraId="5B984096">
      <w:pPr>
        <w:spacing w:line="360" w:lineRule="auto"/>
        <w:ind w:firstLine="480" w:firstLineChars="200"/>
        <w:rPr>
          <w:sz w:val="24"/>
        </w:rPr>
      </w:pPr>
      <w:r>
        <w:rPr>
          <w:rFonts w:hint="eastAsia"/>
          <w:sz w:val="24"/>
        </w:rPr>
        <w:t xml:space="preserve">3.4.3 </w:t>
      </w:r>
      <w:bookmarkStart w:id="199" w:name="_Hlk96954003"/>
      <w:r>
        <w:rPr>
          <w:rFonts w:hint="eastAsia"/>
          <w:kern w:val="0"/>
          <w:sz w:val="24"/>
        </w:rPr>
        <w:t>投标保证金退还见投标人须知前附表</w:t>
      </w:r>
      <w:bookmarkEnd w:id="199"/>
      <w:r>
        <w:rPr>
          <w:rFonts w:hint="eastAsia"/>
          <w:sz w:val="24"/>
        </w:rPr>
        <w:t>。</w:t>
      </w:r>
    </w:p>
    <w:p w14:paraId="1C5F75C8">
      <w:pPr>
        <w:spacing w:line="360" w:lineRule="auto"/>
        <w:ind w:firstLine="480" w:firstLineChars="200"/>
        <w:rPr>
          <w:sz w:val="24"/>
        </w:rPr>
      </w:pPr>
      <w:r>
        <w:rPr>
          <w:rFonts w:hint="eastAsia"/>
          <w:sz w:val="24"/>
        </w:rPr>
        <w:t xml:space="preserve">3.4.4 有下列情形之一的，投标保证金将不予退还： </w:t>
      </w:r>
    </w:p>
    <w:p w14:paraId="13495B96">
      <w:pPr>
        <w:spacing w:line="360" w:lineRule="auto"/>
        <w:ind w:firstLine="360" w:firstLineChars="150"/>
        <w:rPr>
          <w:sz w:val="24"/>
        </w:rPr>
      </w:pPr>
      <w:r>
        <w:rPr>
          <w:rFonts w:hint="eastAsia"/>
          <w:sz w:val="24"/>
        </w:rPr>
        <w:t>（1）投标人在规定的投标有效期内撤销投标文件；</w:t>
      </w:r>
    </w:p>
    <w:p w14:paraId="46409342">
      <w:pPr>
        <w:spacing w:line="360" w:lineRule="auto"/>
        <w:ind w:firstLine="360" w:firstLineChars="150"/>
        <w:rPr>
          <w:sz w:val="24"/>
        </w:rPr>
      </w:pPr>
      <w:r>
        <w:rPr>
          <w:rFonts w:hint="eastAsia"/>
          <w:sz w:val="24"/>
        </w:rPr>
        <w:t>（2）中标人在收到中标通知书后，无正当理由拒签合同或未按招标文件规定提交履约担保。</w:t>
      </w:r>
    </w:p>
    <w:p w14:paraId="55BE6DEE">
      <w:pPr>
        <w:pStyle w:val="2"/>
        <w:spacing w:line="360" w:lineRule="auto"/>
        <w:ind w:firstLine="118"/>
        <w:rPr>
          <w:sz w:val="24"/>
          <w:szCs w:val="24"/>
        </w:rPr>
      </w:pPr>
      <w:bookmarkStart w:id="200" w:name="_Toc152045551"/>
      <w:bookmarkStart w:id="201" w:name="_Toc247513975"/>
      <w:bookmarkStart w:id="202" w:name="_Toc247527576"/>
      <w:bookmarkStart w:id="203" w:name="_Toc152042327"/>
      <w:bookmarkStart w:id="204" w:name="_Toc144974519"/>
      <w:bookmarkStart w:id="205" w:name="_Toc300834972"/>
      <w:r>
        <w:rPr>
          <w:rFonts w:hint="eastAsia" w:ascii="Times New Roman" w:hAnsi="Times New Roman"/>
          <w:sz w:val="24"/>
          <w:szCs w:val="24"/>
        </w:rPr>
        <w:t>3.5</w:t>
      </w:r>
      <w:r>
        <w:rPr>
          <w:rFonts w:hint="eastAsia"/>
          <w:sz w:val="24"/>
          <w:szCs w:val="24"/>
        </w:rPr>
        <w:t xml:space="preserve"> 资格审查资料（适用于已进行资格预审的）</w:t>
      </w:r>
      <w:bookmarkEnd w:id="200"/>
      <w:bookmarkEnd w:id="201"/>
      <w:bookmarkEnd w:id="202"/>
      <w:bookmarkEnd w:id="203"/>
      <w:bookmarkEnd w:id="204"/>
      <w:bookmarkEnd w:id="205"/>
    </w:p>
    <w:p w14:paraId="31DE47E9">
      <w:pPr>
        <w:spacing w:line="360" w:lineRule="auto"/>
        <w:ind w:firstLine="480" w:firstLineChars="200"/>
        <w:rPr>
          <w:sz w:val="24"/>
        </w:rPr>
      </w:pPr>
      <w:r>
        <w:rPr>
          <w:rFonts w:hint="eastAsia"/>
          <w:sz w:val="24"/>
        </w:rPr>
        <w:t>投标人在递交投标文件前，发生可能影响其投标资格的新情况的，应更新或补充其在申请资格预审时提供的资料，以证实其各项资格条件仍能继续满足资格预审文件的要求，且没有实质性降低。</w:t>
      </w:r>
    </w:p>
    <w:p w14:paraId="60675EBF">
      <w:pPr>
        <w:pStyle w:val="2"/>
        <w:spacing w:line="360" w:lineRule="auto"/>
        <w:ind w:firstLine="118"/>
        <w:rPr>
          <w:sz w:val="24"/>
          <w:szCs w:val="24"/>
        </w:rPr>
      </w:pPr>
      <w:bookmarkStart w:id="206" w:name="_Toc144974520"/>
      <w:bookmarkStart w:id="207" w:name="_Toc152042328"/>
      <w:bookmarkStart w:id="208" w:name="_Toc152045552"/>
      <w:bookmarkStart w:id="209" w:name="_Toc247513976"/>
      <w:bookmarkStart w:id="210" w:name="_Toc300834973"/>
      <w:bookmarkStart w:id="211" w:name="_Toc247527577"/>
      <w:r>
        <w:rPr>
          <w:rFonts w:hint="eastAsia" w:ascii="Times New Roman" w:hAnsi="Times New Roman"/>
          <w:sz w:val="24"/>
          <w:szCs w:val="24"/>
        </w:rPr>
        <w:t>3.5</w:t>
      </w:r>
      <w:r>
        <w:rPr>
          <w:rFonts w:hint="eastAsia"/>
          <w:sz w:val="24"/>
          <w:szCs w:val="24"/>
        </w:rPr>
        <w:t xml:space="preserve"> 资格审查资料（适用于未进行资格预审的）</w:t>
      </w:r>
      <w:bookmarkEnd w:id="206"/>
      <w:bookmarkEnd w:id="207"/>
      <w:bookmarkEnd w:id="208"/>
      <w:bookmarkEnd w:id="209"/>
      <w:bookmarkEnd w:id="210"/>
      <w:bookmarkEnd w:id="211"/>
    </w:p>
    <w:p w14:paraId="4685B08A">
      <w:pPr>
        <w:spacing w:line="360" w:lineRule="auto"/>
        <w:ind w:firstLine="480" w:firstLineChars="200"/>
        <w:rPr>
          <w:sz w:val="24"/>
        </w:rPr>
      </w:pPr>
      <w:r>
        <w:rPr>
          <w:rFonts w:hint="eastAsia"/>
          <w:sz w:val="24"/>
        </w:rPr>
        <w:t>3.5.1 “投标人基本情况表”应附投标人营业执照副本、资质证书副本和施工单位的安全生产许可证等材料的扫描件。</w:t>
      </w:r>
    </w:p>
    <w:p w14:paraId="39139016">
      <w:pPr>
        <w:spacing w:line="360" w:lineRule="auto"/>
        <w:ind w:firstLine="480" w:firstLineChars="200"/>
        <w:rPr>
          <w:sz w:val="24"/>
        </w:rPr>
      </w:pPr>
      <w:r>
        <w:rPr>
          <w:rFonts w:hint="eastAsia"/>
          <w:sz w:val="24"/>
        </w:rPr>
        <w:t>3.5.2 “近年财务状况表”应附经会计师事务所或审计机构审计的财务会计报表，包括资产负债表、现金流量表、利润表和财务情况说明书等扫描件，具体年份要求见投标人须知前附表。</w:t>
      </w:r>
    </w:p>
    <w:p w14:paraId="45F331DC">
      <w:pPr>
        <w:spacing w:line="360" w:lineRule="auto"/>
        <w:ind w:firstLine="480" w:firstLineChars="200"/>
        <w:rPr>
          <w:sz w:val="24"/>
        </w:rPr>
      </w:pPr>
      <w:r>
        <w:rPr>
          <w:rFonts w:hint="eastAsia"/>
          <w:sz w:val="24"/>
        </w:rPr>
        <w:t xml:space="preserve">3.5.3 </w:t>
      </w:r>
      <w:r>
        <w:rPr>
          <w:rFonts w:hint="eastAsia"/>
        </w:rPr>
        <w:t>“</w:t>
      </w:r>
      <w:r>
        <w:rPr>
          <w:rFonts w:hint="eastAsia" w:ascii="宋体" w:hAnsi="宋体" w:cs="宋体"/>
          <w:sz w:val="24"/>
        </w:rPr>
        <w:t>近年完成的类似设计施工总承包项目”应附合同协议书、工程接收证书（工程竣工验收证书）扫描件；或“近年完成的类似工程设计项目”应附合同协议书、发包人出具的证明文件扫描件；或“近年完成的类似施工项目”应附合同协议书、工程接收证书（工程竣工验收证书）扫描件；或“近年完成的类似工程总承包项目”应附合同协议书、工程接收证书（工程竣工验收证书）扫描件。</w:t>
      </w:r>
      <w:r>
        <w:rPr>
          <w:rFonts w:hint="eastAsia"/>
          <w:sz w:val="24"/>
        </w:rPr>
        <w:t>具体年份要求见投标人须知前附表，每张表格只填写一个项目，并标明序号。</w:t>
      </w:r>
    </w:p>
    <w:p w14:paraId="1DFB9C4E">
      <w:pPr>
        <w:spacing w:line="360" w:lineRule="auto"/>
        <w:ind w:firstLine="480" w:firstLineChars="200"/>
        <w:rPr>
          <w:sz w:val="24"/>
        </w:rPr>
      </w:pPr>
      <w:r>
        <w:rPr>
          <w:rFonts w:hint="eastAsia"/>
          <w:sz w:val="24"/>
        </w:rPr>
        <w:t>3.5.4 “正在设计（施工、实施工程总承包）和新承接的项目情况表”应附合同协议书扫描件。每张表格只填写一个项目，并标明序号。</w:t>
      </w:r>
    </w:p>
    <w:p w14:paraId="096D7BDD">
      <w:pPr>
        <w:spacing w:line="360" w:lineRule="auto"/>
        <w:ind w:firstLine="480" w:firstLineChars="200"/>
        <w:rPr>
          <w:sz w:val="24"/>
        </w:rPr>
      </w:pPr>
      <w:r>
        <w:rPr>
          <w:rFonts w:hint="eastAsia"/>
          <w:sz w:val="24"/>
        </w:rPr>
        <w:t>3.5.5 “近年发生的重大诉讼及仲裁情况”应说明相关情况，并附法院或仲裁机构作出的判决、裁决等有关法律文书扫描件，具体年份要求见投标人须知前附表。</w:t>
      </w:r>
    </w:p>
    <w:p w14:paraId="1F94EB62">
      <w:pPr>
        <w:spacing w:line="360" w:lineRule="auto"/>
        <w:ind w:firstLine="480" w:firstLineChars="200"/>
        <w:rPr>
          <w:sz w:val="24"/>
        </w:rPr>
      </w:pPr>
      <w:r>
        <w:rPr>
          <w:rFonts w:hint="eastAsia"/>
          <w:sz w:val="24"/>
        </w:rPr>
        <w:t>3.5.6 投标人须知前附表规定接受联合体投标的，本章第3.5.1项至第3.5.5项规定的表格和资料应包括联合体各方相关情况。</w:t>
      </w:r>
    </w:p>
    <w:p w14:paraId="2C53A25C">
      <w:pPr>
        <w:pStyle w:val="2"/>
        <w:spacing w:line="360" w:lineRule="auto"/>
        <w:ind w:firstLine="118"/>
        <w:rPr>
          <w:sz w:val="24"/>
          <w:szCs w:val="24"/>
        </w:rPr>
      </w:pPr>
      <w:bookmarkStart w:id="212" w:name="_Toc144974521"/>
      <w:bookmarkStart w:id="213" w:name="_Toc152042329"/>
      <w:bookmarkStart w:id="214" w:name="_Toc300834974"/>
      <w:bookmarkStart w:id="215" w:name="_Toc152045553"/>
      <w:bookmarkStart w:id="216" w:name="_Toc247527578"/>
      <w:bookmarkStart w:id="217" w:name="_Toc247513977"/>
      <w:r>
        <w:rPr>
          <w:rFonts w:hint="eastAsia" w:ascii="Times New Roman" w:hAnsi="Times New Roman"/>
          <w:sz w:val="24"/>
          <w:szCs w:val="24"/>
        </w:rPr>
        <w:t>3.6</w:t>
      </w:r>
      <w:r>
        <w:rPr>
          <w:rFonts w:hint="eastAsia"/>
          <w:sz w:val="24"/>
          <w:szCs w:val="24"/>
        </w:rPr>
        <w:t xml:space="preserve"> 备选投标方案</w:t>
      </w:r>
      <w:bookmarkEnd w:id="212"/>
      <w:bookmarkEnd w:id="213"/>
      <w:bookmarkEnd w:id="214"/>
      <w:bookmarkEnd w:id="215"/>
      <w:bookmarkEnd w:id="216"/>
      <w:bookmarkEnd w:id="217"/>
    </w:p>
    <w:p w14:paraId="409835C3">
      <w:pPr>
        <w:spacing w:line="360" w:lineRule="auto"/>
        <w:ind w:firstLine="480" w:firstLineChars="200"/>
        <w:rPr>
          <w:sz w:val="24"/>
        </w:rPr>
      </w:pPr>
      <w:r>
        <w:rPr>
          <w:rFonts w:hint="eastAsia"/>
          <w:sz w:val="24"/>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7871879B">
      <w:pPr>
        <w:pStyle w:val="2"/>
        <w:spacing w:line="360" w:lineRule="auto"/>
        <w:ind w:firstLine="118"/>
        <w:rPr>
          <w:sz w:val="24"/>
          <w:szCs w:val="24"/>
        </w:rPr>
      </w:pPr>
      <w:bookmarkStart w:id="218" w:name="_Toc144974522"/>
      <w:bookmarkStart w:id="219" w:name="_Toc247527579"/>
      <w:bookmarkStart w:id="220" w:name="_Toc152042330"/>
      <w:bookmarkStart w:id="221" w:name="_Toc300834975"/>
      <w:bookmarkStart w:id="222" w:name="_Toc247513978"/>
      <w:bookmarkStart w:id="223" w:name="_Toc152045554"/>
      <w:r>
        <w:rPr>
          <w:rFonts w:hint="eastAsia" w:ascii="Times New Roman" w:hAnsi="Times New Roman"/>
          <w:sz w:val="24"/>
          <w:szCs w:val="24"/>
        </w:rPr>
        <w:t>3.7</w:t>
      </w:r>
      <w:r>
        <w:rPr>
          <w:rFonts w:hint="eastAsia"/>
          <w:sz w:val="24"/>
          <w:szCs w:val="24"/>
        </w:rPr>
        <w:t xml:space="preserve"> 投标文件的编制</w:t>
      </w:r>
      <w:bookmarkEnd w:id="218"/>
      <w:bookmarkEnd w:id="219"/>
      <w:bookmarkEnd w:id="220"/>
      <w:bookmarkEnd w:id="221"/>
      <w:bookmarkEnd w:id="222"/>
      <w:bookmarkEnd w:id="223"/>
    </w:p>
    <w:p w14:paraId="5B88521D">
      <w:pPr>
        <w:spacing w:line="360" w:lineRule="auto"/>
        <w:ind w:firstLine="424" w:firstLineChars="177"/>
        <w:rPr>
          <w:rFonts w:ascii="宋体" w:hAnsi="宋体"/>
          <w:sz w:val="24"/>
        </w:rPr>
      </w:pPr>
      <w:bookmarkStart w:id="224" w:name="_Toc152045555"/>
      <w:bookmarkStart w:id="225" w:name="_Toc144974523"/>
      <w:bookmarkStart w:id="226" w:name="_Toc247513979"/>
      <w:bookmarkStart w:id="227" w:name="_Toc152042331"/>
      <w:bookmarkStart w:id="228" w:name="_Toc300834976"/>
      <w:bookmarkStart w:id="229" w:name="_Toc247527580"/>
      <w:r>
        <w:rPr>
          <w:rFonts w:hint="eastAsia" w:ascii="宋体" w:hAnsi="宋体"/>
          <w:sz w:val="24"/>
        </w:rPr>
        <w:t>3.7.1 投标文件</w:t>
      </w:r>
      <w:r>
        <w:rPr>
          <w:rFonts w:ascii="宋体" w:hAnsi="宋体"/>
          <w:sz w:val="24"/>
        </w:rPr>
        <w:t>格式的具体要求见投标人须知前附表</w:t>
      </w:r>
      <w:r>
        <w:rPr>
          <w:rFonts w:hint="eastAsia" w:ascii="宋体" w:hAnsi="宋体"/>
          <w:sz w:val="24"/>
        </w:rPr>
        <w:t>。</w:t>
      </w:r>
    </w:p>
    <w:p w14:paraId="064BE01E">
      <w:pPr>
        <w:spacing w:line="360" w:lineRule="auto"/>
        <w:ind w:firstLine="424" w:firstLineChars="177"/>
        <w:rPr>
          <w:rFonts w:ascii="宋体" w:hAnsi="宋体"/>
          <w:sz w:val="24"/>
        </w:rPr>
      </w:pPr>
      <w:r>
        <w:rPr>
          <w:rFonts w:hint="eastAsia" w:ascii="宋体" w:hAnsi="宋体"/>
          <w:sz w:val="24"/>
        </w:rPr>
        <w:t>3.7.2 投标文件应当对招标文件有关工期、投标有效期、质量要求、技术标准和要求、招标范围等实质性内容作出响应。</w:t>
      </w:r>
    </w:p>
    <w:p w14:paraId="2D3C94A8">
      <w:pPr>
        <w:spacing w:line="360" w:lineRule="auto"/>
        <w:ind w:firstLine="424" w:firstLineChars="177"/>
        <w:rPr>
          <w:rFonts w:ascii="宋体" w:hAnsi="宋体"/>
          <w:sz w:val="24"/>
        </w:rPr>
      </w:pPr>
      <w:r>
        <w:rPr>
          <w:rFonts w:hint="eastAsia" w:ascii="宋体" w:hAnsi="宋体"/>
          <w:sz w:val="24"/>
        </w:rPr>
        <w:t>3.7.3 签字或盖章的具体要求见投标人须知前附表。</w:t>
      </w:r>
    </w:p>
    <w:p w14:paraId="473B964D">
      <w:pPr>
        <w:pStyle w:val="4"/>
        <w:spacing w:line="360" w:lineRule="auto"/>
        <w:rPr>
          <w:sz w:val="24"/>
          <w:szCs w:val="24"/>
        </w:rPr>
      </w:pPr>
      <w:r>
        <w:rPr>
          <w:rFonts w:hint="eastAsia"/>
          <w:sz w:val="24"/>
          <w:szCs w:val="24"/>
        </w:rPr>
        <w:t>4. 投标</w:t>
      </w:r>
      <w:bookmarkEnd w:id="224"/>
      <w:bookmarkEnd w:id="225"/>
      <w:bookmarkEnd w:id="226"/>
      <w:bookmarkEnd w:id="227"/>
      <w:bookmarkEnd w:id="228"/>
      <w:bookmarkEnd w:id="229"/>
    </w:p>
    <w:p w14:paraId="007E83BC">
      <w:pPr>
        <w:pStyle w:val="49"/>
        <w:spacing w:line="360" w:lineRule="auto"/>
        <w:rPr>
          <w:rFonts w:cs="Arial"/>
          <w:sz w:val="24"/>
          <w:szCs w:val="24"/>
        </w:rPr>
      </w:pPr>
      <w:r>
        <w:rPr>
          <w:rFonts w:hint="eastAsia" w:cs="Arial"/>
          <w:sz w:val="24"/>
          <w:szCs w:val="24"/>
        </w:rPr>
        <w:t>4.1 投标文件加密要求：见投标人须知前附表。</w:t>
      </w:r>
    </w:p>
    <w:p w14:paraId="5BD8BE54">
      <w:pPr>
        <w:pStyle w:val="49"/>
        <w:spacing w:line="360" w:lineRule="auto"/>
        <w:rPr>
          <w:rFonts w:cs="Arial"/>
          <w:sz w:val="24"/>
          <w:szCs w:val="24"/>
        </w:rPr>
      </w:pPr>
      <w:r>
        <w:rPr>
          <w:rFonts w:hint="eastAsia" w:cs="Arial"/>
          <w:sz w:val="24"/>
          <w:szCs w:val="24"/>
        </w:rPr>
        <w:t>4.2  投标文件的递交</w:t>
      </w:r>
    </w:p>
    <w:p w14:paraId="064142F4">
      <w:pPr>
        <w:pStyle w:val="49"/>
        <w:spacing w:line="360" w:lineRule="auto"/>
        <w:ind w:firstLine="480" w:firstLineChars="200"/>
        <w:rPr>
          <w:rFonts w:cs="Arial"/>
          <w:sz w:val="24"/>
          <w:szCs w:val="24"/>
        </w:rPr>
      </w:pPr>
      <w:r>
        <w:rPr>
          <w:rFonts w:hint="eastAsia" w:cs="Arial"/>
          <w:sz w:val="24"/>
          <w:szCs w:val="24"/>
        </w:rPr>
        <w:t>4.2.1 投标人应在投标人须知前附表规定的投标截止时间前在线递交经投标人数字证书加密的数据电文形式投标文件。</w:t>
      </w:r>
    </w:p>
    <w:p w14:paraId="5BE785A1">
      <w:pPr>
        <w:pStyle w:val="49"/>
        <w:spacing w:line="360" w:lineRule="auto"/>
        <w:ind w:firstLine="480" w:firstLineChars="200"/>
        <w:rPr>
          <w:rFonts w:cs="Arial"/>
          <w:sz w:val="24"/>
          <w:szCs w:val="24"/>
        </w:rPr>
      </w:pPr>
      <w:r>
        <w:rPr>
          <w:rFonts w:hint="eastAsia" w:cs="Arial"/>
          <w:sz w:val="24"/>
          <w:szCs w:val="24"/>
        </w:rPr>
        <w:t>4.2.2 投标人递交投标文件的地点：见投标人须知前附表。</w:t>
      </w:r>
    </w:p>
    <w:p w14:paraId="0D706174">
      <w:pPr>
        <w:pStyle w:val="49"/>
        <w:spacing w:line="360" w:lineRule="auto"/>
        <w:ind w:firstLine="480" w:firstLineChars="200"/>
      </w:pPr>
      <w:r>
        <w:rPr>
          <w:rFonts w:hint="eastAsia" w:cs="Arial"/>
          <w:sz w:val="24"/>
          <w:szCs w:val="24"/>
        </w:rPr>
        <w:t>4.2.3 投标人所递交的投标文件不予退还。</w:t>
      </w:r>
    </w:p>
    <w:p w14:paraId="0130C517">
      <w:pPr>
        <w:pStyle w:val="49"/>
        <w:spacing w:line="360" w:lineRule="auto"/>
        <w:rPr>
          <w:rFonts w:cs="Arial"/>
          <w:sz w:val="24"/>
          <w:szCs w:val="24"/>
        </w:rPr>
      </w:pPr>
      <w:r>
        <w:rPr>
          <w:rFonts w:hint="eastAsia" w:cs="Arial"/>
          <w:sz w:val="24"/>
          <w:szCs w:val="24"/>
        </w:rPr>
        <w:t>4.3  投标文件的修改与撤回</w:t>
      </w:r>
    </w:p>
    <w:p w14:paraId="3D562FFC">
      <w:pPr>
        <w:pStyle w:val="49"/>
        <w:spacing w:line="360" w:lineRule="auto"/>
        <w:rPr>
          <w:rFonts w:cs="Arial"/>
          <w:sz w:val="24"/>
          <w:szCs w:val="24"/>
        </w:rPr>
      </w:pPr>
      <w:r>
        <w:rPr>
          <w:rFonts w:hint="eastAsia" w:cs="Arial"/>
          <w:sz w:val="24"/>
          <w:szCs w:val="24"/>
        </w:rPr>
        <w:t>在投标人须知前附表规定的投标截止时间前，投标人可以修改或撤回已递交的数据电文形式投标文件。</w:t>
      </w:r>
    </w:p>
    <w:p w14:paraId="345417E3">
      <w:pPr>
        <w:pStyle w:val="4"/>
        <w:numPr>
          <w:ilvl w:val="0"/>
          <w:numId w:val="1"/>
        </w:numPr>
        <w:spacing w:line="360" w:lineRule="auto"/>
        <w:rPr>
          <w:sz w:val="24"/>
          <w:szCs w:val="24"/>
        </w:rPr>
      </w:pPr>
      <w:bookmarkStart w:id="230" w:name="_Toc300834980"/>
      <w:bookmarkStart w:id="231" w:name="_Toc152045559"/>
      <w:bookmarkStart w:id="232" w:name="_Toc152042335"/>
      <w:bookmarkStart w:id="233" w:name="_Toc247527584"/>
      <w:bookmarkStart w:id="234" w:name="_Toc144974527"/>
      <w:bookmarkStart w:id="235" w:name="_Toc247513983"/>
      <w:r>
        <w:rPr>
          <w:rFonts w:hint="eastAsia"/>
          <w:sz w:val="24"/>
          <w:szCs w:val="24"/>
        </w:rPr>
        <w:t>开标</w:t>
      </w:r>
      <w:bookmarkEnd w:id="230"/>
      <w:bookmarkEnd w:id="231"/>
      <w:bookmarkEnd w:id="232"/>
      <w:bookmarkEnd w:id="233"/>
      <w:bookmarkEnd w:id="234"/>
      <w:bookmarkEnd w:id="235"/>
    </w:p>
    <w:p w14:paraId="2EA50122">
      <w:pPr>
        <w:pStyle w:val="49"/>
        <w:spacing w:line="360" w:lineRule="auto"/>
        <w:rPr>
          <w:rFonts w:cs="Arial"/>
          <w:sz w:val="24"/>
          <w:szCs w:val="24"/>
        </w:rPr>
      </w:pPr>
      <w:r>
        <w:rPr>
          <w:rFonts w:hint="eastAsia" w:cs="Arial"/>
          <w:sz w:val="24"/>
          <w:szCs w:val="24"/>
        </w:rPr>
        <w:t>5.1  开标时间和地点</w:t>
      </w:r>
    </w:p>
    <w:p w14:paraId="37691EA2">
      <w:pPr>
        <w:pStyle w:val="49"/>
        <w:spacing w:line="360" w:lineRule="auto"/>
        <w:ind w:firstLine="480" w:firstLineChars="200"/>
        <w:rPr>
          <w:rFonts w:cs="Arial"/>
          <w:sz w:val="24"/>
          <w:szCs w:val="24"/>
        </w:rPr>
      </w:pPr>
      <w:r>
        <w:rPr>
          <w:rFonts w:hint="eastAsia" w:cs="Arial"/>
          <w:sz w:val="24"/>
          <w:szCs w:val="24"/>
        </w:rPr>
        <w:t>招标人在投标人须知前附表规定的投标截止时间（开标时间）和投标人须知前附表规定的地点公开开标。</w:t>
      </w:r>
    </w:p>
    <w:p w14:paraId="2DE161E8">
      <w:pPr>
        <w:pStyle w:val="49"/>
        <w:spacing w:line="360" w:lineRule="auto"/>
        <w:rPr>
          <w:rFonts w:cs="Arial"/>
          <w:sz w:val="24"/>
          <w:szCs w:val="24"/>
        </w:rPr>
      </w:pPr>
      <w:r>
        <w:rPr>
          <w:rFonts w:hint="eastAsia" w:cs="Arial"/>
          <w:sz w:val="24"/>
          <w:szCs w:val="24"/>
        </w:rPr>
        <w:t>5.2  开标程序</w:t>
      </w:r>
    </w:p>
    <w:p w14:paraId="0864842F">
      <w:pPr>
        <w:pStyle w:val="49"/>
        <w:spacing w:line="360" w:lineRule="auto"/>
        <w:ind w:firstLine="480" w:firstLineChars="200"/>
        <w:rPr>
          <w:rFonts w:cs="Arial"/>
          <w:sz w:val="24"/>
          <w:szCs w:val="24"/>
        </w:rPr>
      </w:pPr>
      <w:r>
        <w:rPr>
          <w:rFonts w:hint="eastAsia" w:cs="Arial"/>
          <w:sz w:val="24"/>
          <w:szCs w:val="24"/>
        </w:rPr>
        <w:t>按投标人须知前附表规定的程序进行开标。</w:t>
      </w:r>
    </w:p>
    <w:p w14:paraId="61D8A36C">
      <w:pPr>
        <w:pStyle w:val="4"/>
        <w:spacing w:line="360" w:lineRule="auto"/>
        <w:rPr>
          <w:sz w:val="24"/>
          <w:szCs w:val="24"/>
        </w:rPr>
      </w:pPr>
      <w:bookmarkStart w:id="236" w:name="_Toc247513986"/>
      <w:bookmarkStart w:id="237" w:name="_Toc144974530"/>
      <w:bookmarkStart w:id="238" w:name="_Toc247527587"/>
      <w:bookmarkStart w:id="239" w:name="_Toc152042338"/>
      <w:bookmarkStart w:id="240" w:name="_Toc300834984"/>
      <w:bookmarkStart w:id="241" w:name="_Toc152045562"/>
      <w:r>
        <w:rPr>
          <w:rFonts w:hint="eastAsia"/>
          <w:sz w:val="24"/>
          <w:szCs w:val="24"/>
        </w:rPr>
        <w:t>6. 评标</w:t>
      </w:r>
      <w:bookmarkEnd w:id="236"/>
      <w:bookmarkEnd w:id="237"/>
      <w:bookmarkEnd w:id="238"/>
      <w:bookmarkEnd w:id="239"/>
      <w:bookmarkEnd w:id="240"/>
      <w:bookmarkEnd w:id="241"/>
    </w:p>
    <w:p w14:paraId="7F46A44E">
      <w:pPr>
        <w:pStyle w:val="2"/>
        <w:spacing w:line="360" w:lineRule="auto"/>
        <w:ind w:firstLine="118"/>
        <w:rPr>
          <w:sz w:val="24"/>
          <w:szCs w:val="24"/>
        </w:rPr>
      </w:pPr>
      <w:bookmarkStart w:id="242" w:name="_Toc247513987"/>
      <w:bookmarkStart w:id="243" w:name="_Toc247527588"/>
      <w:bookmarkStart w:id="244" w:name="_Toc152042339"/>
      <w:bookmarkStart w:id="245" w:name="_Toc300834985"/>
      <w:bookmarkStart w:id="246" w:name="_Toc144974531"/>
      <w:bookmarkStart w:id="247" w:name="_Toc152045563"/>
      <w:r>
        <w:rPr>
          <w:rFonts w:hint="eastAsia" w:ascii="Times New Roman" w:hAnsi="Times New Roman"/>
          <w:sz w:val="24"/>
          <w:szCs w:val="24"/>
        </w:rPr>
        <w:t>6.1</w:t>
      </w:r>
      <w:r>
        <w:rPr>
          <w:rFonts w:hint="eastAsia"/>
          <w:sz w:val="24"/>
          <w:szCs w:val="24"/>
        </w:rPr>
        <w:t xml:space="preserve"> 评标委员会</w:t>
      </w:r>
      <w:bookmarkEnd w:id="242"/>
      <w:bookmarkEnd w:id="243"/>
      <w:bookmarkEnd w:id="244"/>
      <w:bookmarkEnd w:id="245"/>
      <w:bookmarkEnd w:id="246"/>
      <w:bookmarkEnd w:id="247"/>
    </w:p>
    <w:p w14:paraId="3C35711F">
      <w:pPr>
        <w:spacing w:line="360" w:lineRule="auto"/>
        <w:ind w:firstLine="480" w:firstLineChars="200"/>
        <w:rPr>
          <w:sz w:val="24"/>
        </w:rPr>
      </w:pPr>
      <w:r>
        <w:rPr>
          <w:rFonts w:hint="eastAsia"/>
          <w:sz w:val="24"/>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280A3CF">
      <w:pPr>
        <w:spacing w:line="360" w:lineRule="auto"/>
        <w:ind w:firstLine="480" w:firstLineChars="200"/>
        <w:rPr>
          <w:sz w:val="24"/>
        </w:rPr>
      </w:pPr>
      <w:r>
        <w:rPr>
          <w:rFonts w:hint="eastAsia"/>
          <w:sz w:val="24"/>
        </w:rPr>
        <w:t>6.1.2 评标委员会成员有下列情形之一的，应当回避：</w:t>
      </w:r>
    </w:p>
    <w:p w14:paraId="5887A962">
      <w:pPr>
        <w:spacing w:line="360" w:lineRule="auto"/>
        <w:ind w:firstLine="820" w:firstLineChars="342"/>
        <w:rPr>
          <w:sz w:val="24"/>
        </w:rPr>
      </w:pPr>
      <w:r>
        <w:rPr>
          <w:rFonts w:hint="eastAsia"/>
          <w:sz w:val="24"/>
        </w:rPr>
        <w:t>（1）投标人或投标人主要负责人的近亲属；</w:t>
      </w:r>
    </w:p>
    <w:p w14:paraId="5633ABBD">
      <w:pPr>
        <w:spacing w:line="360" w:lineRule="auto"/>
        <w:ind w:firstLine="820" w:firstLineChars="342"/>
        <w:rPr>
          <w:sz w:val="24"/>
        </w:rPr>
      </w:pPr>
      <w:r>
        <w:rPr>
          <w:rFonts w:hint="eastAsia"/>
          <w:sz w:val="24"/>
        </w:rPr>
        <w:t>（2）项目主管部门或者行政监督部门的人员；</w:t>
      </w:r>
    </w:p>
    <w:p w14:paraId="15D3EB8F">
      <w:pPr>
        <w:spacing w:line="360" w:lineRule="auto"/>
        <w:ind w:firstLine="820" w:firstLineChars="342"/>
        <w:rPr>
          <w:sz w:val="24"/>
        </w:rPr>
      </w:pPr>
      <w:r>
        <w:rPr>
          <w:rFonts w:hint="eastAsia"/>
          <w:sz w:val="24"/>
        </w:rPr>
        <w:t>（3）与投标人有经济利益关系，可能影响对投标公正评审的；</w:t>
      </w:r>
    </w:p>
    <w:p w14:paraId="164525B1">
      <w:pPr>
        <w:spacing w:line="360" w:lineRule="auto"/>
        <w:ind w:firstLine="820" w:firstLineChars="342"/>
        <w:rPr>
          <w:sz w:val="24"/>
        </w:rPr>
      </w:pPr>
      <w:r>
        <w:rPr>
          <w:rFonts w:hint="eastAsia"/>
          <w:sz w:val="24"/>
        </w:rPr>
        <w:t>（4）曾因在招标、评标以及其他与招标投标有关活动中从事违法行为而受过行政处罚或刑事处罚的；</w:t>
      </w:r>
    </w:p>
    <w:p w14:paraId="39857AF8">
      <w:pPr>
        <w:spacing w:line="360" w:lineRule="auto"/>
        <w:ind w:firstLine="820" w:firstLineChars="342"/>
        <w:rPr>
          <w:sz w:val="24"/>
        </w:rPr>
      </w:pPr>
      <w:r>
        <w:rPr>
          <w:rFonts w:hint="eastAsia"/>
          <w:sz w:val="24"/>
        </w:rPr>
        <w:t>（5）与投标人有其他利害关系。</w:t>
      </w:r>
    </w:p>
    <w:p w14:paraId="288F44FF">
      <w:pPr>
        <w:pStyle w:val="2"/>
        <w:spacing w:line="360" w:lineRule="auto"/>
        <w:ind w:firstLine="118"/>
        <w:rPr>
          <w:sz w:val="24"/>
          <w:szCs w:val="24"/>
        </w:rPr>
      </w:pPr>
      <w:bookmarkStart w:id="248" w:name="_Toc300834986"/>
      <w:bookmarkStart w:id="249" w:name="_Toc247527589"/>
      <w:bookmarkStart w:id="250" w:name="_Toc152045564"/>
      <w:bookmarkStart w:id="251" w:name="_Toc247513988"/>
      <w:bookmarkStart w:id="252" w:name="_Toc144974532"/>
      <w:bookmarkStart w:id="253" w:name="_Toc152042340"/>
      <w:r>
        <w:rPr>
          <w:rFonts w:hint="eastAsia" w:ascii="Times New Roman" w:hAnsi="Times New Roman"/>
          <w:sz w:val="24"/>
          <w:szCs w:val="24"/>
        </w:rPr>
        <w:t>6.2</w:t>
      </w:r>
      <w:r>
        <w:rPr>
          <w:rFonts w:hint="eastAsia"/>
          <w:sz w:val="24"/>
          <w:szCs w:val="24"/>
        </w:rPr>
        <w:t xml:space="preserve"> 评标原则</w:t>
      </w:r>
      <w:bookmarkEnd w:id="248"/>
      <w:bookmarkEnd w:id="249"/>
      <w:bookmarkEnd w:id="250"/>
      <w:bookmarkEnd w:id="251"/>
      <w:bookmarkEnd w:id="252"/>
      <w:bookmarkEnd w:id="253"/>
      <w:r>
        <w:rPr>
          <w:sz w:val="24"/>
          <w:szCs w:val="24"/>
        </w:rPr>
        <w:tab/>
      </w:r>
    </w:p>
    <w:p w14:paraId="254A08FB">
      <w:pPr>
        <w:spacing w:line="360" w:lineRule="auto"/>
        <w:ind w:firstLine="480" w:firstLineChars="200"/>
        <w:rPr>
          <w:sz w:val="24"/>
        </w:rPr>
      </w:pPr>
      <w:r>
        <w:rPr>
          <w:rFonts w:hint="eastAsia"/>
          <w:sz w:val="24"/>
        </w:rPr>
        <w:t>评标活动遵循公平、公正、科学和择优的原则。</w:t>
      </w:r>
    </w:p>
    <w:p w14:paraId="5D1EC6F5">
      <w:pPr>
        <w:pStyle w:val="2"/>
        <w:spacing w:line="360" w:lineRule="auto"/>
        <w:ind w:firstLine="118"/>
        <w:rPr>
          <w:sz w:val="24"/>
          <w:szCs w:val="24"/>
        </w:rPr>
      </w:pPr>
      <w:bookmarkStart w:id="254" w:name="_Toc152042341"/>
      <w:bookmarkStart w:id="255" w:name="_Toc300834987"/>
      <w:bookmarkStart w:id="256" w:name="_Toc152045565"/>
      <w:bookmarkStart w:id="257" w:name="_Toc247513989"/>
      <w:bookmarkStart w:id="258" w:name="_Toc144974533"/>
      <w:bookmarkStart w:id="259" w:name="_Toc247527590"/>
      <w:r>
        <w:rPr>
          <w:rFonts w:hint="eastAsia" w:ascii="Times New Roman" w:hAnsi="Times New Roman"/>
          <w:sz w:val="24"/>
          <w:szCs w:val="24"/>
        </w:rPr>
        <w:t>6.3</w:t>
      </w:r>
      <w:r>
        <w:rPr>
          <w:rFonts w:hint="eastAsia"/>
          <w:sz w:val="24"/>
          <w:szCs w:val="24"/>
        </w:rPr>
        <w:t xml:space="preserve"> 评标</w:t>
      </w:r>
      <w:bookmarkEnd w:id="254"/>
      <w:bookmarkEnd w:id="255"/>
      <w:bookmarkEnd w:id="256"/>
      <w:bookmarkEnd w:id="257"/>
      <w:bookmarkEnd w:id="258"/>
      <w:bookmarkEnd w:id="259"/>
    </w:p>
    <w:p w14:paraId="109E9405">
      <w:pPr>
        <w:spacing w:line="360" w:lineRule="auto"/>
        <w:ind w:firstLine="480" w:firstLineChars="200"/>
        <w:rPr>
          <w:sz w:val="24"/>
        </w:rPr>
      </w:pPr>
      <w:r>
        <w:rPr>
          <w:rFonts w:hint="eastAsia"/>
          <w:sz w:val="24"/>
        </w:rPr>
        <w:t>评标委员会按照第三章“评标办法”规定的方法、评审因素、标准和程序对投标文件进行评审。第三章“评标办法”没有规定的方法、评审因素和标准，不作为评标依据。</w:t>
      </w:r>
    </w:p>
    <w:p w14:paraId="243D6EFA">
      <w:pPr>
        <w:pStyle w:val="4"/>
        <w:spacing w:line="360" w:lineRule="auto"/>
        <w:rPr>
          <w:sz w:val="24"/>
          <w:szCs w:val="24"/>
        </w:rPr>
      </w:pPr>
      <w:bookmarkStart w:id="260" w:name="_Toc152045566"/>
      <w:bookmarkStart w:id="261" w:name="_Toc152042342"/>
      <w:bookmarkStart w:id="262" w:name="_Toc247527591"/>
      <w:bookmarkStart w:id="263" w:name="_Toc144974534"/>
      <w:bookmarkStart w:id="264" w:name="_Toc247513990"/>
      <w:bookmarkStart w:id="265" w:name="_Toc300834988"/>
      <w:r>
        <w:rPr>
          <w:rFonts w:hint="eastAsia"/>
          <w:sz w:val="24"/>
          <w:szCs w:val="24"/>
        </w:rPr>
        <w:t>7. 合同授予</w:t>
      </w:r>
      <w:bookmarkEnd w:id="260"/>
      <w:bookmarkEnd w:id="261"/>
      <w:bookmarkEnd w:id="262"/>
      <w:bookmarkEnd w:id="263"/>
      <w:bookmarkEnd w:id="264"/>
      <w:bookmarkEnd w:id="265"/>
    </w:p>
    <w:p w14:paraId="50320AAF">
      <w:pPr>
        <w:pStyle w:val="2"/>
        <w:spacing w:line="360" w:lineRule="auto"/>
        <w:ind w:firstLine="118"/>
        <w:rPr>
          <w:sz w:val="24"/>
          <w:szCs w:val="24"/>
        </w:rPr>
      </w:pPr>
      <w:bookmarkStart w:id="266" w:name="_Toc152045567"/>
      <w:bookmarkStart w:id="267" w:name="_Toc300834989"/>
      <w:bookmarkStart w:id="268" w:name="_Toc247527592"/>
      <w:bookmarkStart w:id="269" w:name="_Toc152042343"/>
      <w:bookmarkStart w:id="270" w:name="_Toc247513991"/>
      <w:bookmarkStart w:id="271" w:name="_Toc144974535"/>
      <w:r>
        <w:rPr>
          <w:rFonts w:hint="eastAsia" w:ascii="Times New Roman" w:hAnsi="Times New Roman"/>
          <w:sz w:val="24"/>
          <w:szCs w:val="24"/>
        </w:rPr>
        <w:t>7.1</w:t>
      </w:r>
      <w:r>
        <w:rPr>
          <w:rFonts w:hint="eastAsia"/>
          <w:sz w:val="24"/>
          <w:szCs w:val="24"/>
        </w:rPr>
        <w:t xml:space="preserve"> 定标方式</w:t>
      </w:r>
      <w:bookmarkEnd w:id="266"/>
      <w:bookmarkEnd w:id="267"/>
      <w:bookmarkEnd w:id="268"/>
      <w:bookmarkEnd w:id="269"/>
      <w:bookmarkEnd w:id="270"/>
      <w:bookmarkEnd w:id="271"/>
    </w:p>
    <w:p w14:paraId="3A3919FD">
      <w:pPr>
        <w:spacing w:line="360" w:lineRule="auto"/>
        <w:ind w:firstLine="480" w:firstLineChars="200"/>
        <w:rPr>
          <w:sz w:val="24"/>
        </w:rPr>
      </w:pPr>
      <w:r>
        <w:rPr>
          <w:rFonts w:hint="eastAsia"/>
          <w:sz w:val="24"/>
        </w:rPr>
        <w:t>除投标人须知前附表规定评标委员会直接确定中标人外，招标人依据评标委员会推荐的中标候选人确定中标人，评标委员会推荐中标候选人的人数见投标人须知前附表。</w:t>
      </w:r>
    </w:p>
    <w:p w14:paraId="6BB5109A">
      <w:pPr>
        <w:pStyle w:val="2"/>
        <w:spacing w:line="360" w:lineRule="auto"/>
        <w:ind w:firstLine="118"/>
        <w:rPr>
          <w:sz w:val="24"/>
          <w:szCs w:val="24"/>
        </w:rPr>
      </w:pPr>
      <w:bookmarkStart w:id="272" w:name="_Toc300834990"/>
      <w:r>
        <w:rPr>
          <w:rFonts w:hint="eastAsia" w:ascii="Times New Roman" w:hAnsi="Times New Roman"/>
          <w:sz w:val="24"/>
          <w:szCs w:val="24"/>
        </w:rPr>
        <w:t>7.2</w:t>
      </w:r>
      <w:r>
        <w:rPr>
          <w:rFonts w:hint="eastAsia"/>
          <w:sz w:val="24"/>
          <w:szCs w:val="24"/>
        </w:rPr>
        <w:t xml:space="preserve"> 中标候选人公示</w:t>
      </w:r>
      <w:bookmarkEnd w:id="272"/>
    </w:p>
    <w:p w14:paraId="6D2F3E9B">
      <w:pPr>
        <w:spacing w:line="360" w:lineRule="auto"/>
        <w:ind w:firstLine="480" w:firstLineChars="200"/>
        <w:rPr>
          <w:sz w:val="24"/>
        </w:rPr>
      </w:pPr>
      <w:r>
        <w:rPr>
          <w:rFonts w:hint="eastAsia"/>
          <w:sz w:val="24"/>
        </w:rPr>
        <w:t>招标人在投标人须知前附表规定的媒介公示中标候选人。</w:t>
      </w:r>
    </w:p>
    <w:p w14:paraId="09778CA8">
      <w:pPr>
        <w:pStyle w:val="2"/>
        <w:spacing w:line="360" w:lineRule="auto"/>
        <w:ind w:firstLine="118"/>
        <w:rPr>
          <w:sz w:val="24"/>
          <w:szCs w:val="24"/>
        </w:rPr>
      </w:pPr>
      <w:bookmarkStart w:id="273" w:name="_Toc144974536"/>
      <w:bookmarkStart w:id="274" w:name="_Toc152042344"/>
      <w:bookmarkStart w:id="275" w:name="_Toc300834991"/>
      <w:bookmarkStart w:id="276" w:name="_Toc247527593"/>
      <w:bookmarkStart w:id="277" w:name="_Toc152045568"/>
      <w:bookmarkStart w:id="278" w:name="_Toc247513992"/>
      <w:r>
        <w:rPr>
          <w:rFonts w:hint="eastAsia" w:ascii="Times New Roman" w:hAnsi="Times New Roman"/>
          <w:sz w:val="24"/>
          <w:szCs w:val="24"/>
        </w:rPr>
        <w:t>7.3</w:t>
      </w:r>
      <w:r>
        <w:rPr>
          <w:rFonts w:hint="eastAsia"/>
          <w:sz w:val="24"/>
          <w:szCs w:val="24"/>
        </w:rPr>
        <w:t xml:space="preserve"> 中标通知</w:t>
      </w:r>
      <w:bookmarkEnd w:id="273"/>
      <w:bookmarkEnd w:id="274"/>
      <w:bookmarkEnd w:id="275"/>
      <w:bookmarkEnd w:id="276"/>
      <w:bookmarkEnd w:id="277"/>
      <w:bookmarkEnd w:id="278"/>
    </w:p>
    <w:p w14:paraId="5975A2EB">
      <w:pPr>
        <w:spacing w:line="360" w:lineRule="auto"/>
        <w:ind w:firstLine="480" w:firstLineChars="200"/>
        <w:rPr>
          <w:sz w:val="24"/>
        </w:rPr>
      </w:pPr>
      <w:r>
        <w:rPr>
          <w:rFonts w:hint="eastAsia"/>
          <w:sz w:val="24"/>
        </w:rPr>
        <w:t>在本章第3.3款规定的投标有效期内，招标人以书面形式向中标人发出中标通知书，同时将中标结果通知未中标的投标人。中标通知书按本章附表格式填写。</w:t>
      </w:r>
    </w:p>
    <w:p w14:paraId="7F0D1649">
      <w:pPr>
        <w:pStyle w:val="2"/>
        <w:spacing w:line="360" w:lineRule="auto"/>
        <w:ind w:firstLine="118"/>
        <w:rPr>
          <w:sz w:val="24"/>
          <w:szCs w:val="24"/>
        </w:rPr>
      </w:pPr>
      <w:bookmarkStart w:id="279" w:name="_Toc300834992"/>
      <w:bookmarkStart w:id="280" w:name="_Toc152045569"/>
      <w:bookmarkStart w:id="281" w:name="_Toc152042345"/>
      <w:bookmarkStart w:id="282" w:name="_Toc247513993"/>
      <w:bookmarkStart w:id="283" w:name="_Toc247527594"/>
      <w:bookmarkStart w:id="284" w:name="_Toc144974537"/>
      <w:r>
        <w:rPr>
          <w:rFonts w:hint="eastAsia" w:ascii="Times New Roman" w:hAnsi="Times New Roman"/>
          <w:sz w:val="24"/>
          <w:szCs w:val="24"/>
        </w:rPr>
        <w:t>7.4</w:t>
      </w:r>
      <w:r>
        <w:rPr>
          <w:rFonts w:hint="eastAsia"/>
          <w:sz w:val="24"/>
          <w:szCs w:val="24"/>
        </w:rPr>
        <w:t xml:space="preserve"> 履约担保</w:t>
      </w:r>
      <w:bookmarkEnd w:id="279"/>
      <w:bookmarkEnd w:id="280"/>
      <w:bookmarkEnd w:id="281"/>
      <w:bookmarkEnd w:id="282"/>
      <w:bookmarkEnd w:id="283"/>
      <w:bookmarkEnd w:id="284"/>
    </w:p>
    <w:p w14:paraId="6E6CD038">
      <w:pPr>
        <w:spacing w:line="360" w:lineRule="auto"/>
        <w:ind w:firstLine="480" w:firstLineChars="200"/>
        <w:rPr>
          <w:sz w:val="24"/>
        </w:rPr>
      </w:pPr>
      <w:r>
        <w:rPr>
          <w:rFonts w:hint="eastAsia"/>
          <w:sz w:val="24"/>
        </w:rPr>
        <w:t>7.4.1 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联合体中标的，其履约担保由联合体各方或者联合体中牵头人的名义提交。</w:t>
      </w:r>
    </w:p>
    <w:p w14:paraId="727983FA">
      <w:pPr>
        <w:spacing w:line="360" w:lineRule="auto"/>
        <w:ind w:firstLine="480" w:firstLineChars="200"/>
        <w:rPr>
          <w:sz w:val="24"/>
        </w:rPr>
      </w:pPr>
      <w:r>
        <w:rPr>
          <w:rFonts w:hint="eastAsia"/>
          <w:sz w:val="24"/>
        </w:rPr>
        <w:t>7.4.2 中标人不能按本章第7.4.1项要求提交履约担保的，视为放弃中标，其投标保证金不予退还，给招标人造成的损失超过投标保证金数额的，中标人还应当对超过部分予以赔偿。</w:t>
      </w:r>
    </w:p>
    <w:p w14:paraId="36EDF06C">
      <w:pPr>
        <w:pStyle w:val="2"/>
        <w:spacing w:line="360" w:lineRule="auto"/>
        <w:ind w:firstLine="118"/>
        <w:rPr>
          <w:sz w:val="24"/>
          <w:szCs w:val="24"/>
        </w:rPr>
      </w:pPr>
      <w:bookmarkStart w:id="285" w:name="_Toc152042346"/>
      <w:bookmarkStart w:id="286" w:name="_Toc247513994"/>
      <w:bookmarkStart w:id="287" w:name="_Toc247527595"/>
      <w:bookmarkStart w:id="288" w:name="_Toc300834993"/>
      <w:bookmarkStart w:id="289" w:name="_Toc144974538"/>
      <w:bookmarkStart w:id="290" w:name="_Toc152045570"/>
      <w:r>
        <w:rPr>
          <w:rFonts w:hint="eastAsia" w:ascii="Times New Roman" w:hAnsi="Times New Roman"/>
          <w:sz w:val="24"/>
          <w:szCs w:val="24"/>
        </w:rPr>
        <w:t>7.5</w:t>
      </w:r>
      <w:r>
        <w:rPr>
          <w:rFonts w:hint="eastAsia"/>
          <w:sz w:val="24"/>
          <w:szCs w:val="24"/>
        </w:rPr>
        <w:t xml:space="preserve"> 签订合同</w:t>
      </w:r>
      <w:bookmarkEnd w:id="285"/>
      <w:bookmarkEnd w:id="286"/>
      <w:bookmarkEnd w:id="287"/>
      <w:bookmarkEnd w:id="288"/>
      <w:bookmarkEnd w:id="289"/>
      <w:bookmarkEnd w:id="290"/>
    </w:p>
    <w:p w14:paraId="0566CD28">
      <w:pPr>
        <w:spacing w:line="360" w:lineRule="auto"/>
        <w:ind w:firstLine="480" w:firstLineChars="200"/>
        <w:rPr>
          <w:sz w:val="24"/>
        </w:rPr>
      </w:pPr>
      <w:r>
        <w:rPr>
          <w:rFonts w:hint="eastAsia"/>
          <w:sz w:val="24"/>
        </w:rPr>
        <w:t xml:space="preserve">7.5.1 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14:paraId="02EF4065">
      <w:pPr>
        <w:spacing w:line="360" w:lineRule="auto"/>
        <w:ind w:firstLine="480" w:firstLineChars="200"/>
        <w:rPr>
          <w:sz w:val="24"/>
        </w:rPr>
      </w:pPr>
      <w:r>
        <w:rPr>
          <w:rFonts w:hint="eastAsia"/>
          <w:sz w:val="24"/>
        </w:rPr>
        <w:t xml:space="preserve">7.5.2 发出中标通知书后，招标人无正当理由拒签合同的，招标人向中标人退还投标保证金；给中标人造成损失的，还应当赔偿损失。 </w:t>
      </w:r>
    </w:p>
    <w:p w14:paraId="5AD37406">
      <w:pPr>
        <w:pStyle w:val="4"/>
        <w:spacing w:line="360" w:lineRule="auto"/>
        <w:rPr>
          <w:sz w:val="24"/>
          <w:szCs w:val="24"/>
        </w:rPr>
      </w:pPr>
      <w:bookmarkStart w:id="291" w:name="_Toc152045571"/>
      <w:bookmarkStart w:id="292" w:name="_Toc152042347"/>
      <w:bookmarkStart w:id="293" w:name="_Toc247527596"/>
      <w:bookmarkStart w:id="294" w:name="_Toc247513995"/>
      <w:bookmarkStart w:id="295" w:name="_Toc144974539"/>
      <w:bookmarkStart w:id="296" w:name="_Toc300834994"/>
      <w:r>
        <w:rPr>
          <w:rFonts w:hint="eastAsia"/>
          <w:sz w:val="24"/>
          <w:szCs w:val="24"/>
        </w:rPr>
        <w:t>8.</w:t>
      </w:r>
      <w:bookmarkEnd w:id="291"/>
      <w:bookmarkEnd w:id="292"/>
      <w:bookmarkEnd w:id="293"/>
      <w:bookmarkEnd w:id="294"/>
      <w:bookmarkEnd w:id="295"/>
      <w:bookmarkStart w:id="297" w:name="_Toc152045574"/>
      <w:bookmarkStart w:id="298" w:name="_Toc247527599"/>
      <w:bookmarkStart w:id="299" w:name="_Toc152042350"/>
      <w:bookmarkStart w:id="300" w:name="_Toc144974542"/>
      <w:bookmarkStart w:id="301" w:name="_Toc247513998"/>
      <w:r>
        <w:rPr>
          <w:rFonts w:hint="eastAsia"/>
          <w:sz w:val="24"/>
          <w:szCs w:val="24"/>
        </w:rPr>
        <w:t xml:space="preserve"> 纪律和监督</w:t>
      </w:r>
      <w:bookmarkEnd w:id="296"/>
      <w:bookmarkEnd w:id="297"/>
      <w:bookmarkEnd w:id="298"/>
      <w:bookmarkEnd w:id="299"/>
      <w:bookmarkEnd w:id="300"/>
      <w:bookmarkEnd w:id="301"/>
    </w:p>
    <w:p w14:paraId="32238189">
      <w:pPr>
        <w:pStyle w:val="2"/>
        <w:spacing w:line="360" w:lineRule="auto"/>
        <w:ind w:firstLine="118"/>
        <w:rPr>
          <w:sz w:val="24"/>
          <w:szCs w:val="24"/>
        </w:rPr>
      </w:pPr>
      <w:bookmarkStart w:id="302" w:name="_Toc152045575"/>
      <w:bookmarkStart w:id="303" w:name="_Toc300834995"/>
      <w:bookmarkStart w:id="304" w:name="_Toc144974543"/>
      <w:bookmarkStart w:id="305" w:name="_Toc247513999"/>
      <w:bookmarkStart w:id="306" w:name="_Toc152042351"/>
      <w:bookmarkStart w:id="307" w:name="_Toc247527600"/>
      <w:r>
        <w:rPr>
          <w:rFonts w:hint="eastAsia" w:ascii="Times New Roman" w:hAnsi="Times New Roman"/>
          <w:sz w:val="24"/>
          <w:szCs w:val="24"/>
        </w:rPr>
        <w:t>8.1</w:t>
      </w:r>
      <w:r>
        <w:rPr>
          <w:rFonts w:hint="eastAsia"/>
          <w:sz w:val="24"/>
          <w:szCs w:val="24"/>
        </w:rPr>
        <w:t xml:space="preserve"> 对招标人的纪律要求</w:t>
      </w:r>
      <w:bookmarkEnd w:id="302"/>
      <w:bookmarkEnd w:id="303"/>
      <w:bookmarkEnd w:id="304"/>
      <w:bookmarkEnd w:id="305"/>
      <w:bookmarkEnd w:id="306"/>
      <w:bookmarkEnd w:id="307"/>
    </w:p>
    <w:p w14:paraId="0018E48A">
      <w:pPr>
        <w:spacing w:line="360" w:lineRule="auto"/>
        <w:ind w:firstLine="480" w:firstLineChars="200"/>
        <w:rPr>
          <w:sz w:val="24"/>
        </w:rPr>
      </w:pPr>
      <w:r>
        <w:rPr>
          <w:rFonts w:hint="eastAsia"/>
          <w:sz w:val="24"/>
        </w:rPr>
        <w:t>招标人不得泄漏招标投标活动中应当保密的情况和资料，不得与投标人串通损害国家利益、社会公共利益或者他人合法权益。</w:t>
      </w:r>
    </w:p>
    <w:p w14:paraId="5D95B07F">
      <w:pPr>
        <w:pStyle w:val="2"/>
        <w:spacing w:line="360" w:lineRule="auto"/>
        <w:ind w:firstLine="118"/>
        <w:rPr>
          <w:sz w:val="24"/>
          <w:szCs w:val="24"/>
        </w:rPr>
      </w:pPr>
      <w:bookmarkStart w:id="308" w:name="_Toc152045576"/>
      <w:bookmarkStart w:id="309" w:name="_Toc247527601"/>
      <w:bookmarkStart w:id="310" w:name="_Toc247514000"/>
      <w:bookmarkStart w:id="311" w:name="_Toc300834996"/>
      <w:bookmarkStart w:id="312" w:name="_Toc144974544"/>
      <w:bookmarkStart w:id="313" w:name="_Toc152042352"/>
      <w:r>
        <w:rPr>
          <w:rFonts w:hint="eastAsia" w:ascii="Times New Roman" w:hAnsi="Times New Roman"/>
          <w:sz w:val="24"/>
          <w:szCs w:val="24"/>
        </w:rPr>
        <w:t>8.2</w:t>
      </w:r>
      <w:r>
        <w:rPr>
          <w:rFonts w:hint="eastAsia"/>
          <w:sz w:val="24"/>
          <w:szCs w:val="24"/>
        </w:rPr>
        <w:t xml:space="preserve"> 对投标人的纪律要求</w:t>
      </w:r>
      <w:bookmarkEnd w:id="308"/>
      <w:bookmarkEnd w:id="309"/>
      <w:bookmarkEnd w:id="310"/>
      <w:bookmarkEnd w:id="311"/>
      <w:bookmarkEnd w:id="312"/>
      <w:bookmarkEnd w:id="313"/>
    </w:p>
    <w:p w14:paraId="4A19B42C">
      <w:pPr>
        <w:spacing w:line="360" w:lineRule="auto"/>
        <w:ind w:firstLine="480" w:firstLineChars="200"/>
        <w:rPr>
          <w:sz w:val="24"/>
        </w:rPr>
      </w:pPr>
      <w:r>
        <w:rPr>
          <w:rFonts w:hint="eastAsia"/>
          <w:sz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82CE83F">
      <w:pPr>
        <w:pStyle w:val="2"/>
        <w:spacing w:line="360" w:lineRule="auto"/>
        <w:ind w:firstLine="118"/>
        <w:rPr>
          <w:sz w:val="24"/>
          <w:szCs w:val="24"/>
        </w:rPr>
      </w:pPr>
      <w:bookmarkStart w:id="314" w:name="_Toc247527602"/>
      <w:bookmarkStart w:id="315" w:name="_Toc300834997"/>
      <w:bookmarkStart w:id="316" w:name="_Toc152042353"/>
      <w:bookmarkStart w:id="317" w:name="_Toc144974545"/>
      <w:bookmarkStart w:id="318" w:name="_Toc152045577"/>
      <w:bookmarkStart w:id="319" w:name="_Toc247514001"/>
      <w:r>
        <w:rPr>
          <w:rFonts w:hint="eastAsia" w:ascii="Times New Roman" w:hAnsi="Times New Roman"/>
          <w:sz w:val="24"/>
          <w:szCs w:val="24"/>
        </w:rPr>
        <w:t>8.3</w:t>
      </w:r>
      <w:r>
        <w:rPr>
          <w:rFonts w:hint="eastAsia"/>
          <w:sz w:val="24"/>
          <w:szCs w:val="24"/>
        </w:rPr>
        <w:t xml:space="preserve"> 对评标委员会成员的纪律要求</w:t>
      </w:r>
      <w:bookmarkEnd w:id="314"/>
      <w:bookmarkEnd w:id="315"/>
      <w:bookmarkEnd w:id="316"/>
      <w:bookmarkEnd w:id="317"/>
      <w:bookmarkEnd w:id="318"/>
      <w:bookmarkEnd w:id="319"/>
    </w:p>
    <w:p w14:paraId="43CAAF74">
      <w:pPr>
        <w:spacing w:line="360" w:lineRule="auto"/>
        <w:ind w:firstLine="480" w:firstLineChars="200"/>
        <w:rPr>
          <w:sz w:val="24"/>
        </w:rPr>
      </w:pPr>
      <w:r>
        <w:rPr>
          <w:rFonts w:hint="eastAsia"/>
          <w:sz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AACF289">
      <w:pPr>
        <w:pStyle w:val="2"/>
        <w:spacing w:line="360" w:lineRule="auto"/>
        <w:ind w:firstLine="118"/>
        <w:rPr>
          <w:sz w:val="24"/>
          <w:szCs w:val="24"/>
        </w:rPr>
      </w:pPr>
      <w:bookmarkStart w:id="320" w:name="_Toc247527603"/>
      <w:bookmarkStart w:id="321" w:name="_Toc247514002"/>
      <w:bookmarkStart w:id="322" w:name="_Toc300834998"/>
      <w:bookmarkStart w:id="323" w:name="_Toc152045578"/>
      <w:bookmarkStart w:id="324" w:name="_Toc152042354"/>
      <w:bookmarkStart w:id="325" w:name="_Toc144974546"/>
      <w:r>
        <w:rPr>
          <w:rFonts w:hint="eastAsia" w:ascii="Times New Roman" w:hAnsi="Times New Roman"/>
          <w:sz w:val="24"/>
          <w:szCs w:val="24"/>
        </w:rPr>
        <w:t>8.4</w:t>
      </w:r>
      <w:r>
        <w:rPr>
          <w:rFonts w:hint="eastAsia"/>
          <w:sz w:val="24"/>
          <w:szCs w:val="24"/>
        </w:rPr>
        <w:t xml:space="preserve"> 对与评标活动有关的工作人员的纪律要求</w:t>
      </w:r>
      <w:bookmarkEnd w:id="320"/>
      <w:bookmarkEnd w:id="321"/>
      <w:bookmarkEnd w:id="322"/>
      <w:bookmarkEnd w:id="323"/>
      <w:bookmarkEnd w:id="324"/>
    </w:p>
    <w:p w14:paraId="69B31872">
      <w:pPr>
        <w:spacing w:line="360" w:lineRule="auto"/>
        <w:ind w:firstLine="480" w:firstLineChars="200"/>
        <w:rPr>
          <w:sz w:val="24"/>
        </w:rPr>
      </w:pPr>
      <w:bookmarkStart w:id="326" w:name="_Toc152042355"/>
      <w:r>
        <w:rPr>
          <w:rFonts w:hint="eastAsia"/>
          <w:sz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26"/>
    </w:p>
    <w:p w14:paraId="51B97F62">
      <w:pPr>
        <w:pStyle w:val="2"/>
        <w:spacing w:line="360" w:lineRule="auto"/>
        <w:ind w:firstLine="118"/>
        <w:rPr>
          <w:sz w:val="24"/>
          <w:szCs w:val="24"/>
        </w:rPr>
      </w:pPr>
      <w:bookmarkStart w:id="327" w:name="_Toc300834999"/>
      <w:bookmarkStart w:id="328" w:name="_Toc247527604"/>
      <w:bookmarkStart w:id="329" w:name="_Toc152045579"/>
      <w:bookmarkStart w:id="330" w:name="_Toc247514003"/>
      <w:bookmarkStart w:id="331" w:name="_Toc152042356"/>
      <w:r>
        <w:rPr>
          <w:rFonts w:hint="eastAsia" w:ascii="Times New Roman" w:hAnsi="Times New Roman"/>
          <w:sz w:val="24"/>
          <w:szCs w:val="24"/>
        </w:rPr>
        <w:t>8.5</w:t>
      </w:r>
      <w:r>
        <w:rPr>
          <w:rFonts w:hint="eastAsia"/>
          <w:sz w:val="24"/>
          <w:szCs w:val="24"/>
        </w:rPr>
        <w:t xml:space="preserve"> 投诉</w:t>
      </w:r>
      <w:bookmarkEnd w:id="325"/>
      <w:bookmarkEnd w:id="327"/>
      <w:bookmarkEnd w:id="328"/>
      <w:bookmarkEnd w:id="329"/>
      <w:bookmarkEnd w:id="330"/>
      <w:bookmarkEnd w:id="331"/>
    </w:p>
    <w:p w14:paraId="40F3FB10">
      <w:pPr>
        <w:spacing w:line="360" w:lineRule="auto"/>
        <w:ind w:firstLine="480" w:firstLineChars="200"/>
        <w:rPr>
          <w:sz w:val="24"/>
        </w:rPr>
      </w:pPr>
      <w:r>
        <w:rPr>
          <w:rFonts w:hint="eastAsia"/>
          <w:sz w:val="24"/>
        </w:rPr>
        <w:t>投标人和其他利害关系人认为本次招标活动违反法律、法规和规章规定的，有权向有关行政监督部门投诉。</w:t>
      </w:r>
    </w:p>
    <w:p w14:paraId="1AF8E9E5">
      <w:pPr>
        <w:pStyle w:val="4"/>
        <w:spacing w:line="360" w:lineRule="auto"/>
        <w:rPr>
          <w:sz w:val="24"/>
          <w:szCs w:val="24"/>
        </w:rPr>
      </w:pPr>
      <w:bookmarkStart w:id="332" w:name="_Toc152042357"/>
      <w:bookmarkStart w:id="333" w:name="_Toc144974547"/>
      <w:bookmarkStart w:id="334" w:name="_Toc247514004"/>
      <w:bookmarkStart w:id="335" w:name="_Toc247527605"/>
      <w:bookmarkStart w:id="336" w:name="_Toc300835000"/>
      <w:bookmarkStart w:id="337" w:name="_Toc152045580"/>
      <w:r>
        <w:rPr>
          <w:rFonts w:hint="eastAsia"/>
          <w:sz w:val="24"/>
          <w:szCs w:val="24"/>
        </w:rPr>
        <w:t>9. 需要补充的其他内容</w:t>
      </w:r>
      <w:bookmarkEnd w:id="332"/>
      <w:bookmarkEnd w:id="333"/>
      <w:bookmarkEnd w:id="334"/>
      <w:bookmarkEnd w:id="335"/>
      <w:bookmarkEnd w:id="336"/>
      <w:bookmarkEnd w:id="337"/>
    </w:p>
    <w:p w14:paraId="71213748">
      <w:pPr>
        <w:spacing w:line="360" w:lineRule="auto"/>
        <w:ind w:firstLine="480" w:firstLineChars="200"/>
        <w:rPr>
          <w:sz w:val="24"/>
        </w:rPr>
      </w:pPr>
      <w:r>
        <w:rPr>
          <w:rFonts w:hint="eastAsia"/>
          <w:sz w:val="24"/>
        </w:rPr>
        <w:t>需要补充的其他内容：见投标人须知前附表。</w:t>
      </w:r>
    </w:p>
    <w:p w14:paraId="16C9C417">
      <w:pPr>
        <w:spacing w:line="360" w:lineRule="auto"/>
        <w:ind w:firstLine="480" w:firstLineChars="200"/>
      </w:pPr>
      <w:r>
        <w:rPr>
          <w:sz w:val="24"/>
        </w:rPr>
        <w:br w:type="page"/>
      </w:r>
    </w:p>
    <w:p w14:paraId="36B1D65C">
      <w:pPr>
        <w:pStyle w:val="4"/>
        <w:spacing w:line="360" w:lineRule="auto"/>
        <w:rPr>
          <w:rFonts w:ascii="宋体" w:hAnsi="宋体" w:eastAsia="宋体"/>
          <w:sz w:val="24"/>
          <w:szCs w:val="24"/>
        </w:rPr>
      </w:pPr>
      <w:bookmarkStart w:id="338" w:name="_Toc247527606"/>
      <w:bookmarkStart w:id="339" w:name="_Toc144974548"/>
      <w:bookmarkStart w:id="340" w:name="_Toc247514005"/>
      <w:bookmarkStart w:id="341" w:name="_Toc152045581"/>
      <w:bookmarkStart w:id="342" w:name="_Toc300835002"/>
      <w:bookmarkStart w:id="343" w:name="_Toc152042358"/>
      <w:r>
        <w:rPr>
          <w:rFonts w:hint="eastAsia" w:ascii="宋体" w:hAnsi="宋体" w:eastAsia="宋体"/>
          <w:sz w:val="24"/>
          <w:szCs w:val="24"/>
        </w:rPr>
        <w:t>附件一：开标记录表</w:t>
      </w:r>
      <w:bookmarkEnd w:id="338"/>
      <w:bookmarkEnd w:id="339"/>
      <w:bookmarkEnd w:id="340"/>
      <w:bookmarkEnd w:id="341"/>
      <w:bookmarkEnd w:id="342"/>
      <w:bookmarkEnd w:id="343"/>
    </w:p>
    <w:p w14:paraId="5287EACF">
      <w:pPr>
        <w:spacing w:line="400" w:lineRule="exact"/>
      </w:pPr>
      <w:r>
        <w:t xml:space="preserve">              </w:t>
      </w:r>
    </w:p>
    <w:p w14:paraId="73A182C5">
      <w:pPr>
        <w:spacing w:line="360" w:lineRule="auto"/>
        <w:jc w:val="center"/>
        <w:rPr>
          <w:rFonts w:ascii="宋体" w:hAnsi="宋体"/>
          <w:b/>
          <w:sz w:val="24"/>
        </w:rPr>
      </w:pPr>
      <w:r>
        <w:rPr>
          <w:rFonts w:hint="eastAsia" w:ascii="宋体" w:hAnsi="宋体"/>
          <w:b/>
          <w:sz w:val="24"/>
          <w:u w:val="single"/>
        </w:rPr>
        <w:t xml:space="preserve">     （项目名称）</w:t>
      </w:r>
      <w:r>
        <w:rPr>
          <w:rFonts w:hint="eastAsia" w:ascii="宋体" w:hAnsi="宋体"/>
          <w:b/>
          <w:sz w:val="24"/>
        </w:rPr>
        <w:t>设计施工总承包</w:t>
      </w:r>
      <w:r>
        <w:rPr>
          <w:rFonts w:hint="eastAsia" w:ascii="宋体" w:hAnsi="宋体"/>
          <w:b/>
          <w:sz w:val="24"/>
          <w:u w:val="single"/>
        </w:rPr>
        <w:t xml:space="preserve">    </w:t>
      </w:r>
      <w:r>
        <w:rPr>
          <w:rFonts w:hint="eastAsia" w:ascii="宋体" w:hAnsi="宋体"/>
          <w:b/>
          <w:sz w:val="24"/>
        </w:rPr>
        <w:t>标段招标开标记录表</w:t>
      </w:r>
    </w:p>
    <w:p w14:paraId="40D1DECF">
      <w:pPr>
        <w:spacing w:line="400" w:lineRule="exact"/>
      </w:pPr>
    </w:p>
    <w:p w14:paraId="0CC0493F">
      <w:pPr>
        <w:spacing w:line="400" w:lineRule="exact"/>
        <w:ind w:right="420" w:firstLine="3600" w:firstLineChars="1500"/>
        <w:rPr>
          <w:rFonts w:ascii="宋体" w:hAnsi="宋体" w:cs="宋体"/>
          <w:sz w:val="24"/>
        </w:rPr>
      </w:pPr>
      <w:r>
        <w:rPr>
          <w:rFonts w:hint="eastAsia" w:ascii="宋体" w:hAnsi="宋体" w:cs="宋体"/>
          <w:sz w:val="24"/>
        </w:rPr>
        <w:t>开标时间：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r>
        <w:rPr>
          <w:rFonts w:hint="eastAsia" w:ascii="宋体" w:hAnsi="宋体" w:cs="宋体"/>
          <w:sz w:val="24"/>
        </w:rPr>
        <w:t>时</w:t>
      </w:r>
      <w:r>
        <w:rPr>
          <w:rFonts w:hint="eastAsia" w:ascii="宋体" w:hAnsi="宋体" w:cs="宋体"/>
          <w:sz w:val="24"/>
          <w:u w:val="single"/>
        </w:rPr>
        <w:t xml:space="preserve">      </w:t>
      </w:r>
      <w:r>
        <w:rPr>
          <w:rFonts w:hint="eastAsia" w:ascii="宋体" w:hAnsi="宋体" w:cs="宋体"/>
          <w:sz w:val="24"/>
        </w:rPr>
        <w:t>分</w:t>
      </w:r>
    </w:p>
    <w:p w14:paraId="6F620F27">
      <w:pPr>
        <w:spacing w:line="400" w:lineRule="exact"/>
        <w:ind w:right="420" w:firstLine="5160" w:firstLineChars="2150"/>
        <w:rPr>
          <w:rFonts w:ascii="宋体" w:hAnsi="宋体" w:cs="宋体"/>
          <w:sz w:val="24"/>
        </w:rPr>
      </w:pPr>
    </w:p>
    <w:tbl>
      <w:tblPr>
        <w:tblStyle w:val="23"/>
        <w:tblW w:w="0" w:type="auto"/>
        <w:tblInd w:w="0" w:type="dxa"/>
        <w:tblLayout w:type="fixed"/>
        <w:tblCellMar>
          <w:top w:w="0" w:type="dxa"/>
          <w:left w:w="108" w:type="dxa"/>
          <w:bottom w:w="0" w:type="dxa"/>
          <w:right w:w="108" w:type="dxa"/>
        </w:tblCellMar>
      </w:tblPr>
      <w:tblGrid>
        <w:gridCol w:w="649"/>
        <w:gridCol w:w="945"/>
        <w:gridCol w:w="1419"/>
        <w:gridCol w:w="1206"/>
        <w:gridCol w:w="1667"/>
        <w:gridCol w:w="1758"/>
        <w:gridCol w:w="700"/>
        <w:gridCol w:w="763"/>
      </w:tblGrid>
      <w:tr w14:paraId="47A609B4">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vAlign w:val="center"/>
          </w:tcPr>
          <w:p w14:paraId="345AAAED">
            <w:pPr>
              <w:spacing w:line="500" w:lineRule="exact"/>
              <w:jc w:val="center"/>
              <w:rPr>
                <w:rFonts w:ascii="宋体" w:hAnsi="宋体" w:cs="宋体"/>
                <w:sz w:val="24"/>
              </w:rPr>
            </w:pPr>
            <w:r>
              <w:rPr>
                <w:rFonts w:hint="eastAsia" w:ascii="宋体" w:hAnsi="宋体" w:cs="宋体"/>
                <w:sz w:val="24"/>
              </w:rPr>
              <w:t>序号</w:t>
            </w:r>
          </w:p>
        </w:tc>
        <w:tc>
          <w:tcPr>
            <w:tcW w:w="945" w:type="dxa"/>
            <w:tcBorders>
              <w:top w:val="single" w:color="auto" w:sz="4" w:space="0"/>
              <w:left w:val="single" w:color="auto" w:sz="4" w:space="0"/>
              <w:bottom w:val="single" w:color="auto" w:sz="4" w:space="0"/>
              <w:right w:val="single" w:color="auto" w:sz="4" w:space="0"/>
            </w:tcBorders>
            <w:vAlign w:val="center"/>
          </w:tcPr>
          <w:p w14:paraId="14A3A39B">
            <w:pPr>
              <w:spacing w:line="500" w:lineRule="exact"/>
              <w:jc w:val="center"/>
              <w:rPr>
                <w:rFonts w:ascii="宋体" w:hAnsi="宋体" w:cs="宋体"/>
                <w:sz w:val="24"/>
              </w:rPr>
            </w:pPr>
            <w:r>
              <w:rPr>
                <w:rFonts w:hint="eastAsia" w:ascii="宋体" w:hAnsi="宋体" w:cs="宋体"/>
                <w:sz w:val="24"/>
              </w:rPr>
              <w:t>投标人</w:t>
            </w:r>
          </w:p>
        </w:tc>
        <w:tc>
          <w:tcPr>
            <w:tcW w:w="1419" w:type="dxa"/>
            <w:tcBorders>
              <w:top w:val="single" w:color="auto" w:sz="4" w:space="0"/>
              <w:left w:val="single" w:color="auto" w:sz="4" w:space="0"/>
              <w:bottom w:val="single" w:color="auto" w:sz="4" w:space="0"/>
              <w:right w:val="single" w:color="auto" w:sz="4" w:space="0"/>
            </w:tcBorders>
            <w:vAlign w:val="center"/>
          </w:tcPr>
          <w:p w14:paraId="76752F4E">
            <w:pPr>
              <w:spacing w:line="500" w:lineRule="exact"/>
              <w:jc w:val="center"/>
              <w:rPr>
                <w:rFonts w:ascii="宋体" w:hAnsi="宋体" w:cs="宋体"/>
                <w:sz w:val="24"/>
              </w:rPr>
            </w:pPr>
            <w:r>
              <w:rPr>
                <w:rFonts w:hint="eastAsia" w:ascii="宋体" w:hAnsi="宋体" w:cs="宋体"/>
                <w:sz w:val="24"/>
              </w:rPr>
              <w:t>是否提交投标保证金</w:t>
            </w:r>
          </w:p>
        </w:tc>
        <w:tc>
          <w:tcPr>
            <w:tcW w:w="1206" w:type="dxa"/>
            <w:tcBorders>
              <w:top w:val="single" w:color="auto" w:sz="4" w:space="0"/>
              <w:left w:val="single" w:color="auto" w:sz="4" w:space="0"/>
              <w:bottom w:val="single" w:color="auto" w:sz="4" w:space="0"/>
              <w:right w:val="single" w:color="auto" w:sz="4" w:space="0"/>
            </w:tcBorders>
            <w:vAlign w:val="center"/>
          </w:tcPr>
          <w:p w14:paraId="2B5E0491">
            <w:pPr>
              <w:spacing w:line="500" w:lineRule="exact"/>
              <w:jc w:val="center"/>
              <w:rPr>
                <w:rFonts w:ascii="宋体" w:hAnsi="宋体" w:cs="宋体"/>
                <w:sz w:val="24"/>
              </w:rPr>
            </w:pPr>
            <w:r>
              <w:rPr>
                <w:rFonts w:hint="eastAsia" w:ascii="宋体" w:hAnsi="宋体" w:cs="宋体"/>
                <w:sz w:val="24"/>
              </w:rPr>
              <w:t>投标报价</w:t>
            </w:r>
          </w:p>
        </w:tc>
        <w:tc>
          <w:tcPr>
            <w:tcW w:w="1667" w:type="dxa"/>
            <w:tcBorders>
              <w:top w:val="single" w:color="auto" w:sz="4" w:space="0"/>
              <w:left w:val="single" w:color="auto" w:sz="4" w:space="0"/>
              <w:bottom w:val="single" w:color="auto" w:sz="4" w:space="0"/>
              <w:right w:val="single" w:color="auto" w:sz="4" w:space="0"/>
            </w:tcBorders>
            <w:vAlign w:val="center"/>
          </w:tcPr>
          <w:p w14:paraId="2521CAFE">
            <w:pPr>
              <w:spacing w:line="500" w:lineRule="exact"/>
              <w:jc w:val="center"/>
              <w:rPr>
                <w:rFonts w:ascii="宋体" w:hAnsi="宋体" w:cs="宋体"/>
                <w:sz w:val="24"/>
              </w:rPr>
            </w:pPr>
            <w:r>
              <w:rPr>
                <w:rFonts w:hint="eastAsia" w:ascii="宋体" w:hAnsi="宋体" w:cs="宋体"/>
                <w:sz w:val="24"/>
              </w:rPr>
              <w:t>设计质量标准</w:t>
            </w:r>
          </w:p>
        </w:tc>
        <w:tc>
          <w:tcPr>
            <w:tcW w:w="1758" w:type="dxa"/>
            <w:tcBorders>
              <w:top w:val="single" w:color="auto" w:sz="4" w:space="0"/>
              <w:left w:val="single" w:color="auto" w:sz="4" w:space="0"/>
              <w:bottom w:val="single" w:color="auto" w:sz="4" w:space="0"/>
              <w:right w:val="single" w:color="auto" w:sz="4" w:space="0"/>
            </w:tcBorders>
            <w:vAlign w:val="center"/>
          </w:tcPr>
          <w:p w14:paraId="28012499">
            <w:pPr>
              <w:spacing w:line="500" w:lineRule="exact"/>
              <w:jc w:val="center"/>
              <w:rPr>
                <w:rFonts w:ascii="宋体" w:hAnsi="宋体" w:cs="宋体"/>
                <w:sz w:val="24"/>
              </w:rPr>
            </w:pPr>
            <w:r>
              <w:rPr>
                <w:rFonts w:hint="eastAsia" w:ascii="宋体" w:hAnsi="宋体" w:cs="宋体"/>
                <w:sz w:val="24"/>
              </w:rPr>
              <w:t>施工质量标准</w:t>
            </w:r>
          </w:p>
        </w:tc>
        <w:tc>
          <w:tcPr>
            <w:tcW w:w="700" w:type="dxa"/>
            <w:tcBorders>
              <w:top w:val="single" w:color="auto" w:sz="4" w:space="0"/>
              <w:left w:val="single" w:color="auto" w:sz="4" w:space="0"/>
              <w:bottom w:val="single" w:color="auto" w:sz="4" w:space="0"/>
              <w:right w:val="single" w:color="auto" w:sz="4" w:space="0"/>
            </w:tcBorders>
            <w:vAlign w:val="center"/>
          </w:tcPr>
          <w:p w14:paraId="7DEE660F">
            <w:pPr>
              <w:spacing w:line="500" w:lineRule="exact"/>
              <w:jc w:val="center"/>
              <w:rPr>
                <w:rFonts w:ascii="宋体" w:hAnsi="宋体" w:cs="宋体"/>
                <w:sz w:val="24"/>
              </w:rPr>
            </w:pPr>
            <w:r>
              <w:rPr>
                <w:rFonts w:hint="eastAsia" w:ascii="宋体" w:hAnsi="宋体" w:cs="宋体"/>
                <w:sz w:val="24"/>
              </w:rPr>
              <w:t>工期</w:t>
            </w:r>
          </w:p>
        </w:tc>
        <w:tc>
          <w:tcPr>
            <w:tcW w:w="763" w:type="dxa"/>
            <w:tcBorders>
              <w:top w:val="single" w:color="auto" w:sz="4" w:space="0"/>
              <w:left w:val="single" w:color="auto" w:sz="4" w:space="0"/>
              <w:bottom w:val="single" w:color="auto" w:sz="4" w:space="0"/>
              <w:right w:val="single" w:color="auto" w:sz="4" w:space="0"/>
            </w:tcBorders>
            <w:vAlign w:val="center"/>
          </w:tcPr>
          <w:p w14:paraId="41C13F3C">
            <w:pPr>
              <w:spacing w:line="500" w:lineRule="exact"/>
              <w:jc w:val="center"/>
              <w:rPr>
                <w:rFonts w:ascii="宋体" w:hAnsi="宋体" w:cs="宋体"/>
                <w:sz w:val="24"/>
              </w:rPr>
            </w:pPr>
            <w:r>
              <w:rPr>
                <w:rFonts w:hint="eastAsia" w:ascii="宋体" w:hAnsi="宋体" w:cs="宋体"/>
                <w:sz w:val="24"/>
              </w:rPr>
              <w:t>备注</w:t>
            </w:r>
          </w:p>
        </w:tc>
      </w:tr>
      <w:tr w14:paraId="0B17F0D6">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3E20CDB4">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747548A9">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7E648924">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787C5416">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01B694DB">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1D1158D8">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4A4A2AB1">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0FA976BB">
            <w:pPr>
              <w:spacing w:line="500" w:lineRule="exact"/>
              <w:jc w:val="left"/>
              <w:rPr>
                <w:rFonts w:ascii="宋体" w:hAnsi="宋体" w:cs="宋体"/>
                <w:szCs w:val="21"/>
              </w:rPr>
            </w:pPr>
          </w:p>
        </w:tc>
      </w:tr>
      <w:tr w14:paraId="08070041">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3124C420">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505C80AE">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4C8DFAAB">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5D48CB04">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15ABD62D">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2399C50A">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6D0BE819">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3E05177B">
            <w:pPr>
              <w:spacing w:line="500" w:lineRule="exact"/>
              <w:jc w:val="left"/>
              <w:rPr>
                <w:rFonts w:ascii="宋体" w:hAnsi="宋体" w:cs="宋体"/>
                <w:szCs w:val="21"/>
              </w:rPr>
            </w:pPr>
          </w:p>
        </w:tc>
      </w:tr>
      <w:tr w14:paraId="4E2F4184">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23C7F3D3">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1DB69B34">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62D242F6">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05F88CEA">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0739E0A3">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68E7FAE9">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23422C46">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0C3F20EE">
            <w:pPr>
              <w:spacing w:line="500" w:lineRule="exact"/>
              <w:jc w:val="left"/>
              <w:rPr>
                <w:rFonts w:ascii="宋体" w:hAnsi="宋体" w:cs="宋体"/>
                <w:szCs w:val="21"/>
              </w:rPr>
            </w:pPr>
          </w:p>
        </w:tc>
      </w:tr>
      <w:tr w14:paraId="3AC09760">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7ADD7969">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09A96420">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6B70642F">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1C42E513">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135824B6">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09A6E5EA">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1A318D7A">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09F58A14">
            <w:pPr>
              <w:spacing w:line="500" w:lineRule="exact"/>
              <w:jc w:val="left"/>
              <w:rPr>
                <w:rFonts w:ascii="宋体" w:hAnsi="宋体" w:cs="宋体"/>
                <w:szCs w:val="21"/>
              </w:rPr>
            </w:pPr>
          </w:p>
        </w:tc>
      </w:tr>
      <w:tr w14:paraId="0FDD3529">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1D07B68E">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4C0429B5">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76B9869E">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2495732E">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71DBD882">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445F0790">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7F2E1C46">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5494E2D6">
            <w:pPr>
              <w:spacing w:line="500" w:lineRule="exact"/>
              <w:jc w:val="left"/>
              <w:rPr>
                <w:rFonts w:ascii="宋体" w:hAnsi="宋体" w:cs="宋体"/>
                <w:szCs w:val="21"/>
              </w:rPr>
            </w:pPr>
          </w:p>
        </w:tc>
      </w:tr>
      <w:tr w14:paraId="5F951E92">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4AC6D54B">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2C77BEBA">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60E6ED92">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5EEADCB4">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3DC21AD1">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1AF4D091">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39F3A1F9">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08AC844E">
            <w:pPr>
              <w:spacing w:line="500" w:lineRule="exact"/>
              <w:jc w:val="left"/>
              <w:rPr>
                <w:rFonts w:ascii="宋体" w:hAnsi="宋体" w:cs="宋体"/>
                <w:szCs w:val="21"/>
              </w:rPr>
            </w:pPr>
          </w:p>
        </w:tc>
      </w:tr>
      <w:tr w14:paraId="4E70F9BE">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4BB51918">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60F4BB4F">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423A21F4">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72AF8861">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600D588A">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3ACE7336">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25EF6219">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13C6A702">
            <w:pPr>
              <w:spacing w:line="500" w:lineRule="exact"/>
              <w:jc w:val="left"/>
              <w:rPr>
                <w:rFonts w:ascii="宋体" w:hAnsi="宋体" w:cs="宋体"/>
                <w:szCs w:val="21"/>
              </w:rPr>
            </w:pPr>
          </w:p>
        </w:tc>
      </w:tr>
      <w:tr w14:paraId="5366E864">
        <w:tblPrEx>
          <w:tblCellMar>
            <w:top w:w="0" w:type="dxa"/>
            <w:left w:w="108" w:type="dxa"/>
            <w:bottom w:w="0" w:type="dxa"/>
            <w:right w:w="108" w:type="dxa"/>
          </w:tblCellMar>
        </w:tblPrEx>
        <w:tc>
          <w:tcPr>
            <w:tcW w:w="649" w:type="dxa"/>
            <w:tcBorders>
              <w:top w:val="single" w:color="auto" w:sz="4" w:space="0"/>
              <w:left w:val="single" w:color="auto" w:sz="4" w:space="0"/>
              <w:bottom w:val="single" w:color="auto" w:sz="4" w:space="0"/>
              <w:right w:val="single" w:color="auto" w:sz="4" w:space="0"/>
            </w:tcBorders>
          </w:tcPr>
          <w:p w14:paraId="3C29AA43">
            <w:pPr>
              <w:spacing w:line="500" w:lineRule="exact"/>
              <w:jc w:val="left"/>
              <w:rPr>
                <w:rFonts w:ascii="宋体" w:hAnsi="宋体" w:cs="宋体"/>
                <w:szCs w:val="21"/>
              </w:rPr>
            </w:pPr>
          </w:p>
        </w:tc>
        <w:tc>
          <w:tcPr>
            <w:tcW w:w="945" w:type="dxa"/>
            <w:tcBorders>
              <w:top w:val="single" w:color="auto" w:sz="4" w:space="0"/>
              <w:left w:val="single" w:color="auto" w:sz="4" w:space="0"/>
              <w:bottom w:val="single" w:color="auto" w:sz="4" w:space="0"/>
              <w:right w:val="single" w:color="auto" w:sz="4" w:space="0"/>
            </w:tcBorders>
          </w:tcPr>
          <w:p w14:paraId="56C592D6">
            <w:pPr>
              <w:spacing w:line="500" w:lineRule="exact"/>
              <w:jc w:val="left"/>
              <w:rPr>
                <w:rFonts w:ascii="宋体" w:hAnsi="宋体" w:cs="宋体"/>
                <w:szCs w:val="21"/>
              </w:rPr>
            </w:pPr>
          </w:p>
        </w:tc>
        <w:tc>
          <w:tcPr>
            <w:tcW w:w="1419" w:type="dxa"/>
            <w:tcBorders>
              <w:top w:val="single" w:color="auto" w:sz="4" w:space="0"/>
              <w:left w:val="single" w:color="auto" w:sz="4" w:space="0"/>
              <w:bottom w:val="single" w:color="auto" w:sz="4" w:space="0"/>
              <w:right w:val="single" w:color="auto" w:sz="4" w:space="0"/>
            </w:tcBorders>
          </w:tcPr>
          <w:p w14:paraId="74DEE482">
            <w:pPr>
              <w:spacing w:line="500" w:lineRule="exact"/>
              <w:jc w:val="left"/>
              <w:rPr>
                <w:rFonts w:ascii="宋体" w:hAnsi="宋体" w:cs="宋体"/>
                <w:szCs w:val="21"/>
              </w:rPr>
            </w:pPr>
          </w:p>
        </w:tc>
        <w:tc>
          <w:tcPr>
            <w:tcW w:w="1206" w:type="dxa"/>
            <w:tcBorders>
              <w:top w:val="single" w:color="auto" w:sz="4" w:space="0"/>
              <w:left w:val="single" w:color="auto" w:sz="4" w:space="0"/>
              <w:bottom w:val="single" w:color="auto" w:sz="4" w:space="0"/>
              <w:right w:val="single" w:color="auto" w:sz="4" w:space="0"/>
            </w:tcBorders>
          </w:tcPr>
          <w:p w14:paraId="33DC5CC1">
            <w:pPr>
              <w:spacing w:line="500" w:lineRule="exact"/>
              <w:jc w:val="left"/>
              <w:rPr>
                <w:rFonts w:ascii="宋体" w:hAnsi="宋体" w:cs="宋体"/>
                <w:szCs w:val="21"/>
              </w:rPr>
            </w:pPr>
          </w:p>
        </w:tc>
        <w:tc>
          <w:tcPr>
            <w:tcW w:w="1667" w:type="dxa"/>
            <w:tcBorders>
              <w:top w:val="single" w:color="auto" w:sz="4" w:space="0"/>
              <w:left w:val="single" w:color="auto" w:sz="4" w:space="0"/>
              <w:bottom w:val="single" w:color="auto" w:sz="4" w:space="0"/>
              <w:right w:val="single" w:color="auto" w:sz="4" w:space="0"/>
            </w:tcBorders>
          </w:tcPr>
          <w:p w14:paraId="2651DA31">
            <w:pPr>
              <w:spacing w:line="500" w:lineRule="exact"/>
              <w:jc w:val="left"/>
              <w:rPr>
                <w:rFonts w:ascii="宋体" w:hAnsi="宋体" w:cs="宋体"/>
                <w:szCs w:val="21"/>
              </w:rPr>
            </w:pPr>
          </w:p>
        </w:tc>
        <w:tc>
          <w:tcPr>
            <w:tcW w:w="1758" w:type="dxa"/>
            <w:tcBorders>
              <w:top w:val="single" w:color="auto" w:sz="4" w:space="0"/>
              <w:left w:val="single" w:color="auto" w:sz="4" w:space="0"/>
              <w:bottom w:val="single" w:color="auto" w:sz="4" w:space="0"/>
              <w:right w:val="single" w:color="auto" w:sz="4" w:space="0"/>
            </w:tcBorders>
          </w:tcPr>
          <w:p w14:paraId="415FB7DD">
            <w:pPr>
              <w:spacing w:line="500" w:lineRule="exact"/>
              <w:jc w:val="left"/>
              <w:rPr>
                <w:rFonts w:ascii="宋体" w:hAnsi="宋体" w:cs="宋体"/>
                <w:szCs w:val="21"/>
              </w:rPr>
            </w:pPr>
          </w:p>
        </w:tc>
        <w:tc>
          <w:tcPr>
            <w:tcW w:w="700" w:type="dxa"/>
            <w:tcBorders>
              <w:top w:val="single" w:color="auto" w:sz="4" w:space="0"/>
              <w:left w:val="single" w:color="auto" w:sz="4" w:space="0"/>
              <w:bottom w:val="single" w:color="auto" w:sz="4" w:space="0"/>
              <w:right w:val="single" w:color="auto" w:sz="4" w:space="0"/>
            </w:tcBorders>
          </w:tcPr>
          <w:p w14:paraId="504177DB">
            <w:pPr>
              <w:spacing w:line="500" w:lineRule="exact"/>
              <w:jc w:val="left"/>
              <w:rPr>
                <w:rFonts w:ascii="宋体" w:hAnsi="宋体" w:cs="宋体"/>
                <w:szCs w:val="21"/>
              </w:rPr>
            </w:pPr>
          </w:p>
        </w:tc>
        <w:tc>
          <w:tcPr>
            <w:tcW w:w="763" w:type="dxa"/>
            <w:tcBorders>
              <w:top w:val="single" w:color="auto" w:sz="4" w:space="0"/>
              <w:left w:val="single" w:color="auto" w:sz="4" w:space="0"/>
              <w:bottom w:val="single" w:color="auto" w:sz="4" w:space="0"/>
              <w:right w:val="single" w:color="auto" w:sz="4" w:space="0"/>
            </w:tcBorders>
          </w:tcPr>
          <w:p w14:paraId="39611B15">
            <w:pPr>
              <w:spacing w:line="500" w:lineRule="exact"/>
              <w:jc w:val="left"/>
              <w:rPr>
                <w:rFonts w:ascii="宋体" w:hAnsi="宋体" w:cs="宋体"/>
                <w:szCs w:val="21"/>
              </w:rPr>
            </w:pPr>
          </w:p>
        </w:tc>
      </w:tr>
      <w:tr w14:paraId="768EC6A6">
        <w:tblPrEx>
          <w:tblCellMar>
            <w:top w:w="0" w:type="dxa"/>
            <w:left w:w="108" w:type="dxa"/>
            <w:bottom w:w="0" w:type="dxa"/>
            <w:right w:w="108" w:type="dxa"/>
          </w:tblCellMar>
        </w:tblPrEx>
        <w:tc>
          <w:tcPr>
            <w:tcW w:w="3013" w:type="dxa"/>
            <w:gridSpan w:val="3"/>
            <w:tcBorders>
              <w:top w:val="single" w:color="auto" w:sz="4" w:space="0"/>
              <w:left w:val="single" w:color="auto" w:sz="4" w:space="0"/>
              <w:bottom w:val="single" w:color="auto" w:sz="4" w:space="0"/>
              <w:right w:val="single" w:color="auto" w:sz="4" w:space="0"/>
            </w:tcBorders>
          </w:tcPr>
          <w:p w14:paraId="13AF559A">
            <w:pPr>
              <w:spacing w:line="500" w:lineRule="exact"/>
              <w:jc w:val="left"/>
              <w:rPr>
                <w:rFonts w:ascii="宋体" w:hAnsi="宋体" w:cs="宋体"/>
                <w:szCs w:val="21"/>
              </w:rPr>
            </w:pPr>
            <w:r>
              <w:rPr>
                <w:rFonts w:hint="eastAsia" w:ascii="宋体" w:hAnsi="宋体" w:cs="宋体"/>
                <w:szCs w:val="21"/>
              </w:rPr>
              <w:t>最高限价</w:t>
            </w:r>
          </w:p>
        </w:tc>
        <w:tc>
          <w:tcPr>
            <w:tcW w:w="6094" w:type="dxa"/>
            <w:gridSpan w:val="5"/>
            <w:tcBorders>
              <w:top w:val="single" w:color="auto" w:sz="4" w:space="0"/>
              <w:left w:val="single" w:color="auto" w:sz="4" w:space="0"/>
              <w:bottom w:val="single" w:color="auto" w:sz="4" w:space="0"/>
              <w:right w:val="single" w:color="auto" w:sz="4" w:space="0"/>
            </w:tcBorders>
          </w:tcPr>
          <w:p w14:paraId="51F3B711">
            <w:pPr>
              <w:spacing w:line="500" w:lineRule="exact"/>
              <w:jc w:val="left"/>
              <w:rPr>
                <w:rFonts w:ascii="宋体" w:hAnsi="宋体" w:cs="宋体"/>
                <w:szCs w:val="21"/>
              </w:rPr>
            </w:pPr>
          </w:p>
        </w:tc>
      </w:tr>
    </w:tbl>
    <w:p w14:paraId="7CCEAF2B">
      <w:pPr>
        <w:spacing w:line="440" w:lineRule="exact"/>
        <w:rPr>
          <w:rFonts w:ascii="宋体" w:hAnsi="宋体" w:cs="宋体"/>
          <w:szCs w:val="21"/>
        </w:rPr>
      </w:pPr>
      <w:r>
        <w:rPr>
          <w:rFonts w:hint="eastAsia" w:ascii="宋体" w:hAnsi="宋体" w:cs="宋体"/>
        </w:rPr>
        <w:t>　　</w:t>
      </w:r>
      <w:r>
        <w:rPr>
          <w:rFonts w:hint="eastAsia" w:ascii="宋体" w:hAnsi="宋体" w:cs="宋体"/>
          <w:szCs w:val="21"/>
        </w:rPr>
        <w:t>　</w:t>
      </w:r>
    </w:p>
    <w:p w14:paraId="327F73FB">
      <w:pPr>
        <w:spacing w:line="360" w:lineRule="auto"/>
        <w:rPr>
          <w:rFonts w:ascii="宋体" w:hAnsi="宋体"/>
          <w:sz w:val="24"/>
          <w:u w:val="single"/>
        </w:rPr>
      </w:pPr>
      <w:r>
        <w:rPr>
          <w:rFonts w:hint="eastAsia" w:ascii="宋体" w:hAnsi="宋体"/>
          <w:sz w:val="24"/>
        </w:rPr>
        <w:t>招标人代表：</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监督</w:t>
      </w:r>
      <w:r>
        <w:rPr>
          <w:rFonts w:ascii="宋体" w:hAnsi="宋体"/>
          <w:sz w:val="24"/>
        </w:rPr>
        <w:t>人：</w:t>
      </w:r>
      <w:r>
        <w:rPr>
          <w:rFonts w:hint="eastAsia" w:ascii="宋体" w:hAnsi="宋体"/>
          <w:sz w:val="24"/>
          <w:u w:val="single"/>
        </w:rPr>
        <w:t xml:space="preserve">              </w:t>
      </w:r>
    </w:p>
    <w:p w14:paraId="7A0E4AF4">
      <w:pPr>
        <w:spacing w:line="360" w:lineRule="auto"/>
        <w:rPr>
          <w:rFonts w:ascii="宋体" w:hAnsi="宋体"/>
          <w:sz w:val="24"/>
          <w:u w:val="single"/>
        </w:rPr>
      </w:pPr>
      <w:r>
        <w:rPr>
          <w:rFonts w:hint="eastAsia" w:ascii="宋体" w:hAnsi="宋体"/>
          <w:sz w:val="24"/>
        </w:rPr>
        <w:t>招标代理机构代表：</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记录人</w:t>
      </w:r>
      <w:r>
        <w:rPr>
          <w:rFonts w:ascii="宋体" w:hAnsi="宋体"/>
          <w:sz w:val="24"/>
        </w:rPr>
        <w:t>：</w:t>
      </w:r>
      <w:r>
        <w:rPr>
          <w:rFonts w:hint="eastAsia" w:ascii="宋体" w:hAnsi="宋体"/>
          <w:sz w:val="24"/>
          <w:u w:val="single"/>
        </w:rPr>
        <w:t xml:space="preserve">              </w:t>
      </w:r>
    </w:p>
    <w:p w14:paraId="464683C8">
      <w:pPr>
        <w:spacing w:line="360" w:lineRule="auto"/>
        <w:rPr>
          <w:rFonts w:ascii="宋体" w:hAnsi="宋体"/>
          <w:sz w:val="24"/>
        </w:rPr>
      </w:pPr>
    </w:p>
    <w:p w14:paraId="3354FFD7">
      <w:pPr>
        <w:spacing w:line="360" w:lineRule="auto"/>
        <w:jc w:val="center"/>
        <w:rPr>
          <w:rFonts w:ascii="宋体" w:hAnsi="宋体"/>
          <w:sz w:val="24"/>
        </w:rPr>
      </w:pPr>
      <w:r>
        <w:rPr>
          <w:rFonts w:hint="eastAsia" w:ascii="宋体" w:hAnsi="宋体"/>
          <w:sz w:val="24"/>
        </w:rPr>
        <w:t xml:space="preserve">                                        年  月  日</w:t>
      </w:r>
    </w:p>
    <w:p w14:paraId="69DBA98C">
      <w:pPr>
        <w:pStyle w:val="4"/>
        <w:spacing w:line="360" w:lineRule="auto"/>
        <w:rPr>
          <w:rFonts w:ascii="宋体" w:hAnsi="宋体" w:eastAsia="宋体"/>
          <w:sz w:val="24"/>
          <w:szCs w:val="24"/>
        </w:rPr>
      </w:pPr>
      <w:bookmarkStart w:id="344" w:name="_Toc152045582"/>
      <w:bookmarkStart w:id="345" w:name="_Toc247527607"/>
      <w:bookmarkStart w:id="346" w:name="_Toc144974549"/>
      <w:bookmarkStart w:id="347" w:name="_Toc247514006"/>
      <w:bookmarkStart w:id="348" w:name="_Toc300835003"/>
      <w:bookmarkStart w:id="349" w:name="_Toc152042359"/>
      <w:r>
        <w:rPr>
          <w:rFonts w:hint="eastAsia" w:ascii="宋体" w:hAnsi="宋体" w:eastAsia="宋体"/>
          <w:sz w:val="24"/>
          <w:szCs w:val="24"/>
        </w:rPr>
        <w:br w:type="page"/>
      </w:r>
      <w:r>
        <w:rPr>
          <w:rFonts w:hint="eastAsia" w:ascii="宋体" w:hAnsi="宋体" w:eastAsia="宋体"/>
          <w:sz w:val="24"/>
          <w:szCs w:val="24"/>
        </w:rPr>
        <w:t>附件二：问题澄清通知</w:t>
      </w:r>
      <w:bookmarkEnd w:id="344"/>
      <w:bookmarkEnd w:id="345"/>
      <w:bookmarkEnd w:id="346"/>
      <w:bookmarkEnd w:id="347"/>
      <w:bookmarkEnd w:id="348"/>
      <w:bookmarkEnd w:id="349"/>
    </w:p>
    <w:p w14:paraId="314BF194">
      <w:pPr>
        <w:spacing w:line="440" w:lineRule="exact"/>
        <w:jc w:val="center"/>
        <w:rPr>
          <w:szCs w:val="21"/>
        </w:rPr>
      </w:pPr>
    </w:p>
    <w:p w14:paraId="2C0BCBC0">
      <w:pPr>
        <w:spacing w:line="360" w:lineRule="auto"/>
        <w:jc w:val="center"/>
        <w:rPr>
          <w:rFonts w:ascii="宋体" w:hAnsi="宋体"/>
          <w:b/>
          <w:sz w:val="24"/>
        </w:rPr>
      </w:pPr>
      <w:r>
        <w:rPr>
          <w:rFonts w:hint="eastAsia" w:ascii="宋体" w:hAnsi="宋体"/>
          <w:b/>
          <w:sz w:val="24"/>
        </w:rPr>
        <w:t>问题澄清通知</w:t>
      </w:r>
    </w:p>
    <w:p w14:paraId="460FC46A">
      <w:pPr>
        <w:spacing w:line="440" w:lineRule="exact"/>
        <w:rPr>
          <w:szCs w:val="21"/>
        </w:rPr>
      </w:pPr>
      <w:r>
        <w:rPr>
          <w:szCs w:val="21"/>
        </w:rPr>
        <w:t xml:space="preserve">                               </w:t>
      </w:r>
      <w:r>
        <w:rPr>
          <w:rFonts w:hint="eastAsia"/>
          <w:szCs w:val="21"/>
        </w:rPr>
        <w:t xml:space="preserve">                                         </w:t>
      </w:r>
      <w:r>
        <w:rPr>
          <w:szCs w:val="21"/>
        </w:rPr>
        <w:t>编号：</w:t>
      </w:r>
    </w:p>
    <w:p w14:paraId="13CA8E9D">
      <w:pPr>
        <w:spacing w:line="440" w:lineRule="exact"/>
        <w:rPr>
          <w:szCs w:val="21"/>
        </w:rPr>
      </w:pPr>
    </w:p>
    <w:p w14:paraId="07DA5C7B">
      <w:pPr>
        <w:widowControl/>
        <w:spacing w:line="360" w:lineRule="auto"/>
        <w:jc w:val="left"/>
        <w:rPr>
          <w:rFonts w:ascii="宋体" w:hAnsi="宋体" w:cs="Arial"/>
          <w:kern w:val="0"/>
          <w:sz w:val="24"/>
        </w:rPr>
      </w:pPr>
      <w:r>
        <w:rPr>
          <w:szCs w:val="21"/>
        </w:rPr>
        <w:t xml:space="preserve">  </w:t>
      </w:r>
      <w:r>
        <w:rPr>
          <w:rFonts w:hint="eastAsia" w:ascii="Calibri" w:hAnsi="Calibri" w:cs="Arial"/>
          <w:kern w:val="0"/>
          <w:sz w:val="24"/>
          <w:u w:val="single"/>
        </w:rPr>
        <w:t xml:space="preserve">                    </w:t>
      </w:r>
      <w:r>
        <w:rPr>
          <w:rFonts w:hint="eastAsia" w:ascii="Calibri" w:hAnsi="Calibri" w:cs="Arial"/>
          <w:kern w:val="0"/>
          <w:sz w:val="24"/>
        </w:rPr>
        <w:t>（投标人名称）：</w:t>
      </w:r>
    </w:p>
    <w:p w14:paraId="4A889AC4">
      <w:pPr>
        <w:widowControl/>
        <w:spacing w:line="360" w:lineRule="auto"/>
        <w:jc w:val="left"/>
        <w:rPr>
          <w:rFonts w:ascii="Calibri" w:hAnsi="Calibri" w:cs="Arial"/>
          <w:kern w:val="0"/>
          <w:sz w:val="24"/>
          <w:u w:val="single"/>
        </w:rPr>
      </w:pPr>
      <w:r>
        <w:rPr>
          <w:rFonts w:ascii="Calibri" w:hAnsi="Calibri" w:eastAsia="Calibri" w:cs="Arial"/>
          <w:kern w:val="0"/>
          <w:sz w:val="24"/>
        </w:rPr>
        <w:t xml:space="preserve">   </w:t>
      </w:r>
      <w:r>
        <w:rPr>
          <w:rFonts w:hint="eastAsia" w:ascii="Calibri" w:hAnsi="Calibri" w:cs="Arial"/>
          <w:kern w:val="0"/>
          <w:sz w:val="24"/>
        </w:rPr>
        <w:t xml:space="preserve">  </w:t>
      </w:r>
      <w:r>
        <w:rPr>
          <w:rFonts w:hint="eastAsia" w:ascii="Calibri" w:hAnsi="Calibri" w:cs="Arial"/>
          <w:kern w:val="0"/>
          <w:sz w:val="24"/>
          <w:u w:val="single"/>
        </w:rPr>
        <w:t xml:space="preserve">          </w:t>
      </w:r>
      <w:r>
        <w:rPr>
          <w:rFonts w:hint="eastAsia" w:ascii="宋体" w:hAnsi="宋体" w:cs="Arial"/>
          <w:kern w:val="0"/>
          <w:sz w:val="24"/>
          <w:u w:val="single"/>
        </w:rPr>
        <w:t>（项目名称）</w:t>
      </w:r>
      <w:r>
        <w:rPr>
          <w:rFonts w:hint="eastAsia" w:ascii="宋体" w:hAnsi="宋体" w:cs="Arial"/>
          <w:kern w:val="0"/>
          <w:sz w:val="24"/>
        </w:rPr>
        <w:t>设计施工总承包_______标段招标的评标委员会，对你方的投标文件进行了仔细的审查，现需你方对下列问题以书面形式予以澄清、说明或补正：</w:t>
      </w:r>
      <w:r>
        <w:rPr>
          <w:rFonts w:hint="eastAsia" w:ascii="Calibri" w:hAnsi="Calibri" w:cs="Arial"/>
          <w:kern w:val="0"/>
          <w:sz w:val="24"/>
          <w:u w:val="single"/>
        </w:rPr>
        <w:t xml:space="preserve">                                                </w:t>
      </w:r>
    </w:p>
    <w:p w14:paraId="478FE867">
      <w:pPr>
        <w:widowControl/>
        <w:spacing w:line="360" w:lineRule="auto"/>
        <w:jc w:val="left"/>
        <w:rPr>
          <w:rFonts w:ascii="Calibri" w:hAnsi="Calibri" w:cs="Arial"/>
          <w:kern w:val="0"/>
          <w:sz w:val="24"/>
          <w:u w:val="single"/>
        </w:rPr>
      </w:pPr>
    </w:p>
    <w:p w14:paraId="075B6BFE">
      <w:pPr>
        <w:widowControl/>
        <w:spacing w:line="360" w:lineRule="auto"/>
        <w:jc w:val="left"/>
        <w:rPr>
          <w:rFonts w:ascii="Calibri" w:hAnsi="Calibri" w:cs="Arial"/>
          <w:kern w:val="0"/>
          <w:sz w:val="24"/>
        </w:rPr>
      </w:pPr>
    </w:p>
    <w:p w14:paraId="6903CBC2">
      <w:pPr>
        <w:widowControl/>
        <w:spacing w:line="360" w:lineRule="auto"/>
        <w:jc w:val="left"/>
        <w:rPr>
          <w:rFonts w:ascii="Calibri" w:hAnsi="Calibri" w:cs="Arial"/>
          <w:kern w:val="0"/>
          <w:sz w:val="24"/>
        </w:rPr>
      </w:pPr>
    </w:p>
    <w:p w14:paraId="72B7D1B8">
      <w:pPr>
        <w:widowControl/>
        <w:spacing w:line="360" w:lineRule="auto"/>
        <w:jc w:val="left"/>
        <w:rPr>
          <w:rFonts w:ascii="Calibri" w:hAnsi="Calibri" w:eastAsia="Calibri" w:cs="Arial"/>
          <w:kern w:val="0"/>
          <w:sz w:val="24"/>
        </w:rPr>
      </w:pPr>
    </w:p>
    <w:p w14:paraId="629B604B">
      <w:pPr>
        <w:widowControl/>
        <w:spacing w:line="360" w:lineRule="auto"/>
        <w:jc w:val="left"/>
        <w:rPr>
          <w:rFonts w:ascii="宋体" w:hAnsi="宋体" w:cs="Arial"/>
          <w:kern w:val="0"/>
          <w:sz w:val="24"/>
        </w:rPr>
      </w:pPr>
    </w:p>
    <w:p w14:paraId="1C47E1AB">
      <w:pPr>
        <w:widowControl/>
        <w:spacing w:line="360" w:lineRule="auto"/>
        <w:jc w:val="left"/>
        <w:rPr>
          <w:rFonts w:ascii="宋体" w:hAnsi="宋体" w:cs="Arial"/>
          <w:kern w:val="0"/>
          <w:sz w:val="24"/>
        </w:rPr>
      </w:pPr>
    </w:p>
    <w:p w14:paraId="2AA847F5">
      <w:pPr>
        <w:widowControl/>
        <w:spacing w:line="360" w:lineRule="auto"/>
        <w:ind w:firstLine="480"/>
        <w:jc w:val="left"/>
        <w:rPr>
          <w:rFonts w:ascii="宋体" w:hAnsi="宋体" w:cs="Arial"/>
          <w:kern w:val="0"/>
          <w:sz w:val="24"/>
        </w:rPr>
      </w:pPr>
      <w:r>
        <w:rPr>
          <w:rFonts w:hint="eastAsia" w:ascii="宋体" w:hAnsi="宋体" w:cs="Arial"/>
          <w:kern w:val="0"/>
          <w:sz w:val="24"/>
        </w:rPr>
        <w:t>请将上述问题的澄清、说明或补正于接到通知</w:t>
      </w:r>
      <w:r>
        <w:rPr>
          <w:rFonts w:hint="eastAsia" w:ascii="宋体" w:hAnsi="宋体" w:cs="Arial"/>
          <w:kern w:val="0"/>
          <w:sz w:val="24"/>
          <w:u w:val="single"/>
        </w:rPr>
        <w:t xml:space="preserve">    </w:t>
      </w:r>
      <w:r>
        <w:rPr>
          <w:rFonts w:hint="eastAsia" w:ascii="宋体" w:hAnsi="宋体" w:cs="Arial"/>
          <w:kern w:val="0"/>
          <w:sz w:val="24"/>
        </w:rPr>
        <w:t>分钟内通过在线形式递交至评标委员会。</w:t>
      </w:r>
    </w:p>
    <w:p w14:paraId="228FABB7">
      <w:pPr>
        <w:widowControl/>
        <w:spacing w:line="360" w:lineRule="auto"/>
        <w:jc w:val="left"/>
        <w:rPr>
          <w:rFonts w:ascii="宋体" w:hAnsi="宋体" w:cs="Arial"/>
          <w:kern w:val="0"/>
          <w:sz w:val="24"/>
        </w:rPr>
      </w:pPr>
      <w:r>
        <w:rPr>
          <w:rFonts w:hint="eastAsia" w:ascii="宋体" w:hAnsi="宋体" w:cs="Arial"/>
          <w:kern w:val="0"/>
          <w:sz w:val="24"/>
        </w:rPr>
        <w:t>评标委员会成员签字：</w:t>
      </w:r>
      <w:r>
        <w:rPr>
          <w:rFonts w:hint="eastAsia" w:ascii="宋体" w:hAnsi="宋体" w:cs="Arial"/>
          <w:kern w:val="0"/>
          <w:sz w:val="24"/>
          <w:u w:val="single"/>
        </w:rPr>
        <w:t xml:space="preserve">                         </w:t>
      </w:r>
    </w:p>
    <w:p w14:paraId="1CFD4DFA">
      <w:pPr>
        <w:widowControl/>
        <w:spacing w:line="360" w:lineRule="auto"/>
        <w:jc w:val="center"/>
        <w:rPr>
          <w:rFonts w:ascii="Calibri" w:hAnsi="Calibri" w:eastAsia="Calibri" w:cs="Arial"/>
          <w:kern w:val="0"/>
          <w:sz w:val="24"/>
        </w:rPr>
      </w:pPr>
    </w:p>
    <w:p w14:paraId="0440E20D">
      <w:pPr>
        <w:widowControl/>
        <w:spacing w:line="360" w:lineRule="auto"/>
        <w:jc w:val="center"/>
        <w:rPr>
          <w:rFonts w:ascii="宋体" w:hAnsi="宋体" w:cs="Arial"/>
          <w:kern w:val="0"/>
          <w:sz w:val="24"/>
        </w:rPr>
      </w:pPr>
      <w:r>
        <w:rPr>
          <w:rFonts w:ascii="Calibri" w:hAnsi="Calibri" w:eastAsia="Calibri" w:cs="Arial"/>
          <w:kern w:val="0"/>
          <w:sz w:val="24"/>
        </w:rPr>
        <w:t xml:space="preserve">  </w:t>
      </w:r>
      <w:r>
        <w:rPr>
          <w:rFonts w:hint="eastAsia" w:ascii="Calibri" w:hAnsi="Calibri" w:cs="Arial"/>
          <w:kern w:val="0"/>
          <w:sz w:val="24"/>
        </w:rPr>
        <w:t xml:space="preserve">          </w:t>
      </w:r>
      <w:r>
        <w:rPr>
          <w:rFonts w:ascii="Calibri" w:hAnsi="Calibri" w:eastAsia="Calibri" w:cs="Arial"/>
          <w:kern w:val="0"/>
          <w:sz w:val="24"/>
        </w:rPr>
        <w:t xml:space="preserve">     </w:t>
      </w:r>
      <w:r>
        <w:rPr>
          <w:rFonts w:hint="eastAsia" w:ascii="宋体" w:hAnsi="宋体" w:cs="Arial"/>
          <w:kern w:val="0"/>
          <w:sz w:val="24"/>
        </w:rPr>
        <w:t>_______年_______月_______日</w:t>
      </w:r>
    </w:p>
    <w:p w14:paraId="6B2D554D">
      <w:pPr>
        <w:spacing w:line="400" w:lineRule="exact"/>
      </w:pPr>
    </w:p>
    <w:p w14:paraId="1F76D631">
      <w:pPr>
        <w:spacing w:line="360" w:lineRule="auto"/>
        <w:rPr>
          <w:rFonts w:ascii="宋体" w:hAnsi="宋体"/>
          <w:sz w:val="24"/>
        </w:rPr>
      </w:pPr>
      <w:r>
        <w:rPr>
          <w:rFonts w:hint="eastAsia"/>
        </w:rPr>
        <w:t>注：</w:t>
      </w:r>
      <w:r>
        <w:rPr>
          <w:rFonts w:hint="eastAsia" w:ascii="宋体" w:hAnsi="宋体"/>
          <w:sz w:val="24"/>
        </w:rPr>
        <w:t>评标委员会在评标过程中，如要求投标人澄清或说明的，评标委员会要求投标人在线澄清或说明的时间距投标人收到评标委员会通知的时间不得少于 60分钟。</w:t>
      </w:r>
    </w:p>
    <w:p w14:paraId="45C2DCD0">
      <w:pPr>
        <w:spacing w:line="360" w:lineRule="auto"/>
        <w:rPr>
          <w:rFonts w:ascii="宋体" w:hAnsi="宋体"/>
          <w:sz w:val="24"/>
        </w:rPr>
      </w:pPr>
      <w:r>
        <w:t xml:space="preserve">    </w:t>
      </w:r>
      <w:r>
        <w:rPr>
          <w:rFonts w:hint="eastAsia" w:ascii="宋体" w:hAnsi="宋体"/>
          <w:sz w:val="24"/>
        </w:rPr>
        <w:t>评标委员会认为投标人的澄清或说明不够明确，应再次要求投标人对不明确的内容进行澄清或说明，评标委员会要求投标人再次在线澄清或说明的时间距投标人收到评标委员会通知的时间不得少于 30 分钟。</w:t>
      </w:r>
    </w:p>
    <w:p w14:paraId="3545B3B6">
      <w:pPr>
        <w:spacing w:line="400" w:lineRule="exact"/>
      </w:pPr>
      <w:r>
        <w:t xml:space="preserve">    </w:t>
      </w:r>
      <w:r>
        <w:rPr>
          <w:rFonts w:hint="eastAsia" w:ascii="宋体" w:hAnsi="宋体"/>
          <w:sz w:val="24"/>
        </w:rPr>
        <w:t>投标人未在规定时间内作出澄清或说明的，或者评标委员会成员认为该投标人的两次澄清或说明都不符合评标委员会要求的，作否决投标处理。</w:t>
      </w:r>
      <w:r>
        <w:br w:type="page"/>
      </w:r>
    </w:p>
    <w:p w14:paraId="2B2B5068">
      <w:pPr>
        <w:pStyle w:val="4"/>
        <w:spacing w:line="360" w:lineRule="auto"/>
        <w:rPr>
          <w:rFonts w:ascii="宋体" w:hAnsi="宋体" w:eastAsia="宋体"/>
          <w:sz w:val="24"/>
          <w:szCs w:val="24"/>
        </w:rPr>
      </w:pPr>
      <w:bookmarkStart w:id="350" w:name="_Toc300835004"/>
      <w:bookmarkStart w:id="351" w:name="_Toc144974550"/>
      <w:bookmarkStart w:id="352" w:name="_Toc152045583"/>
      <w:bookmarkStart w:id="353" w:name="_Toc247514007"/>
      <w:bookmarkStart w:id="354" w:name="_Toc152042360"/>
      <w:bookmarkStart w:id="355" w:name="_Toc247527608"/>
      <w:r>
        <w:rPr>
          <w:rFonts w:hint="eastAsia" w:ascii="宋体" w:hAnsi="宋体" w:eastAsia="宋体"/>
          <w:sz w:val="24"/>
          <w:szCs w:val="24"/>
        </w:rPr>
        <w:t>附件三：问题的澄清</w:t>
      </w:r>
      <w:bookmarkEnd w:id="350"/>
      <w:bookmarkEnd w:id="351"/>
      <w:bookmarkEnd w:id="352"/>
      <w:bookmarkEnd w:id="353"/>
      <w:bookmarkEnd w:id="354"/>
      <w:bookmarkEnd w:id="355"/>
    </w:p>
    <w:p w14:paraId="1E6B29C2">
      <w:pPr>
        <w:spacing w:line="400" w:lineRule="exact"/>
        <w:jc w:val="center"/>
        <w:rPr>
          <w:rFonts w:ascii="黑体" w:eastAsia="黑体"/>
          <w:sz w:val="28"/>
          <w:szCs w:val="28"/>
        </w:rPr>
      </w:pPr>
    </w:p>
    <w:p w14:paraId="2151E0A4">
      <w:pPr>
        <w:spacing w:line="360" w:lineRule="auto"/>
        <w:jc w:val="center"/>
        <w:rPr>
          <w:rFonts w:ascii="宋体" w:hAnsi="宋体"/>
          <w:b/>
          <w:sz w:val="24"/>
        </w:rPr>
      </w:pPr>
      <w:r>
        <w:rPr>
          <w:rFonts w:hint="eastAsia" w:ascii="宋体" w:hAnsi="宋体"/>
          <w:b/>
          <w:sz w:val="24"/>
        </w:rPr>
        <w:t>问题的澄清</w:t>
      </w:r>
    </w:p>
    <w:p w14:paraId="5EF46B50">
      <w:pPr>
        <w:spacing w:line="440" w:lineRule="exact"/>
        <w:ind w:firstLine="7140" w:firstLineChars="3400"/>
        <w:rPr>
          <w:szCs w:val="21"/>
        </w:rPr>
      </w:pPr>
      <w:r>
        <w:rPr>
          <w:rFonts w:hint="eastAsia"/>
          <w:szCs w:val="21"/>
        </w:rPr>
        <w:t xml:space="preserve">编号： </w:t>
      </w:r>
    </w:p>
    <w:p w14:paraId="69575924">
      <w:pPr>
        <w:spacing w:line="400" w:lineRule="exact"/>
        <w:rPr>
          <w:szCs w:val="21"/>
        </w:rPr>
      </w:pPr>
    </w:p>
    <w:p w14:paraId="7EE80847">
      <w:pPr>
        <w:spacing w:line="360" w:lineRule="auto"/>
        <w:rPr>
          <w:rFonts w:ascii="宋体" w:hAnsi="宋体"/>
          <w:sz w:val="24"/>
        </w:rPr>
      </w:pPr>
      <w:r>
        <w:rPr>
          <w:rFonts w:hint="eastAsia" w:ascii="宋体" w:hAnsi="宋体"/>
          <w:sz w:val="24"/>
        </w:rPr>
        <w:t>评标委员会：</w:t>
      </w:r>
    </w:p>
    <w:p w14:paraId="07966DE2">
      <w:pPr>
        <w:spacing w:line="360" w:lineRule="auto"/>
        <w:rPr>
          <w:sz w:val="24"/>
          <w:u w:val="single"/>
        </w:rPr>
      </w:pPr>
      <w:r>
        <w:rPr>
          <w:sz w:val="24"/>
        </w:rPr>
        <w:t xml:space="preserve">    </w:t>
      </w:r>
      <w:r>
        <w:rPr>
          <w:rFonts w:hint="eastAsia" w:ascii="宋体" w:hAnsi="宋体"/>
          <w:sz w:val="24"/>
        </w:rPr>
        <w:t>问题澄清通知（编号：_______）已收悉，现澄清、说明或补正如下：</w:t>
      </w:r>
      <w:r>
        <w:rPr>
          <w:sz w:val="24"/>
          <w:u w:val="single"/>
        </w:rPr>
        <w:t xml:space="preserve"> </w:t>
      </w:r>
      <w:r>
        <w:rPr>
          <w:rFonts w:hint="eastAsia"/>
          <w:sz w:val="24"/>
          <w:u w:val="single"/>
        </w:rPr>
        <w:t xml:space="preserve">                          </w:t>
      </w:r>
    </w:p>
    <w:p w14:paraId="1D86DD65">
      <w:pPr>
        <w:spacing w:line="360" w:lineRule="auto"/>
        <w:rPr>
          <w:sz w:val="24"/>
        </w:rPr>
      </w:pPr>
    </w:p>
    <w:p w14:paraId="25235699">
      <w:pPr>
        <w:spacing w:line="360" w:lineRule="auto"/>
        <w:rPr>
          <w:sz w:val="24"/>
        </w:rPr>
      </w:pPr>
    </w:p>
    <w:p w14:paraId="7F28E2BB">
      <w:pPr>
        <w:spacing w:line="360" w:lineRule="auto"/>
        <w:rPr>
          <w:sz w:val="24"/>
        </w:rPr>
      </w:pPr>
    </w:p>
    <w:p w14:paraId="68028CCE">
      <w:pPr>
        <w:spacing w:line="360" w:lineRule="auto"/>
        <w:rPr>
          <w:sz w:val="24"/>
        </w:rPr>
      </w:pPr>
    </w:p>
    <w:p w14:paraId="5A02E396">
      <w:pPr>
        <w:spacing w:line="360" w:lineRule="auto"/>
        <w:rPr>
          <w:sz w:val="24"/>
        </w:rPr>
      </w:pPr>
    </w:p>
    <w:p w14:paraId="413C68BB">
      <w:pPr>
        <w:spacing w:line="360" w:lineRule="auto"/>
        <w:rPr>
          <w:sz w:val="24"/>
        </w:rPr>
      </w:pPr>
    </w:p>
    <w:p w14:paraId="3CE70C38">
      <w:pPr>
        <w:spacing w:line="360" w:lineRule="auto"/>
        <w:rPr>
          <w:sz w:val="24"/>
        </w:rPr>
      </w:pPr>
    </w:p>
    <w:p w14:paraId="3E7E3952">
      <w:pPr>
        <w:spacing w:line="360" w:lineRule="auto"/>
        <w:rPr>
          <w:rFonts w:ascii="宋体" w:hAnsi="宋体"/>
          <w:sz w:val="24"/>
        </w:rPr>
      </w:pPr>
      <w:r>
        <w:rPr>
          <w:sz w:val="24"/>
        </w:rPr>
        <w:t xml:space="preserve">    </w:t>
      </w:r>
      <w:r>
        <w:rPr>
          <w:rFonts w:hint="eastAsia"/>
          <w:sz w:val="24"/>
        </w:rPr>
        <w:t>（投标人可另行附页）</w:t>
      </w:r>
    </w:p>
    <w:p w14:paraId="62B03AE7">
      <w:pPr>
        <w:spacing w:line="360" w:lineRule="auto"/>
        <w:ind w:firstLine="480"/>
        <w:rPr>
          <w:rFonts w:ascii="宋体" w:hAnsi="宋体"/>
          <w:sz w:val="24"/>
        </w:rPr>
      </w:pPr>
      <w:r>
        <w:rPr>
          <w:rFonts w:hint="eastAsia"/>
          <w:sz w:val="24"/>
        </w:rPr>
        <w:t>上述问题</w:t>
      </w:r>
      <w:r>
        <w:rPr>
          <w:rFonts w:hint="eastAsia" w:ascii="宋体" w:hAnsi="宋体"/>
          <w:sz w:val="24"/>
        </w:rPr>
        <w:t>澄清、说明或补正，不改变我方投标文件的实质性内容，构成我方投标文件的组成部分</w:t>
      </w:r>
    </w:p>
    <w:p w14:paraId="06DDF096">
      <w:pPr>
        <w:spacing w:line="360" w:lineRule="auto"/>
        <w:ind w:firstLine="480"/>
        <w:rPr>
          <w:rFonts w:ascii="宋体" w:hAnsi="宋体"/>
          <w:sz w:val="24"/>
        </w:rPr>
      </w:pPr>
    </w:p>
    <w:p w14:paraId="2DC0AD0B">
      <w:pPr>
        <w:spacing w:line="360" w:lineRule="auto"/>
        <w:ind w:firstLine="480"/>
        <w:jc w:val="center"/>
        <w:rPr>
          <w:rFonts w:ascii="宋体" w:hAnsi="宋体"/>
          <w:sz w:val="24"/>
          <w:u w:val="single"/>
        </w:rPr>
      </w:pPr>
      <w:r>
        <w:rPr>
          <w:rFonts w:hint="eastAsia" w:ascii="宋体" w:hAnsi="宋体"/>
          <w:sz w:val="24"/>
        </w:rPr>
        <w:t xml:space="preserve">  投标人名称：</w:t>
      </w:r>
      <w:r>
        <w:rPr>
          <w:rFonts w:hint="eastAsia" w:ascii="宋体" w:hAnsi="宋体"/>
          <w:sz w:val="24"/>
          <w:u w:val="single"/>
        </w:rPr>
        <w:t xml:space="preserve">                         </w:t>
      </w:r>
    </w:p>
    <w:p w14:paraId="1287B9DD">
      <w:pPr>
        <w:spacing w:line="360" w:lineRule="auto"/>
        <w:jc w:val="right"/>
        <w:rPr>
          <w:rFonts w:ascii="宋体" w:hAnsi="宋体"/>
          <w:sz w:val="24"/>
        </w:rPr>
      </w:pPr>
      <w:r>
        <w:rPr>
          <w:sz w:val="24"/>
        </w:rPr>
        <w:t xml:space="preserve">    </w:t>
      </w:r>
    </w:p>
    <w:p w14:paraId="0B351B2C">
      <w:pPr>
        <w:wordWrap w:val="0"/>
        <w:spacing w:line="360" w:lineRule="auto"/>
        <w:jc w:val="right"/>
        <w:rPr>
          <w:rFonts w:ascii="宋体" w:hAnsi="宋体"/>
          <w:sz w:val="24"/>
        </w:rPr>
      </w:pPr>
      <w:r>
        <w:rPr>
          <w:sz w:val="24"/>
        </w:rPr>
        <w:t xml:space="preserve">                          </w:t>
      </w:r>
      <w:r>
        <w:rPr>
          <w:rFonts w:hint="eastAsia" w:ascii="宋体" w:hAnsi="宋体"/>
          <w:sz w:val="24"/>
        </w:rPr>
        <w:t>_______年_______月_______日</w:t>
      </w:r>
      <w:r>
        <w:rPr>
          <w:rFonts w:hint="eastAsia" w:ascii="宋体" w:hAnsi="宋体"/>
          <w:sz w:val="24"/>
          <w:u w:val="single"/>
        </w:rPr>
        <w:t xml:space="preserve">     </w:t>
      </w:r>
      <w:r>
        <w:rPr>
          <w:rFonts w:hint="eastAsia" w:ascii="宋体" w:hAnsi="宋体"/>
          <w:sz w:val="24"/>
        </w:rPr>
        <w:t>时</w:t>
      </w:r>
      <w:r>
        <w:rPr>
          <w:rFonts w:hint="eastAsia" w:ascii="宋体" w:hAnsi="宋体"/>
          <w:sz w:val="24"/>
          <w:u w:val="single"/>
        </w:rPr>
        <w:t xml:space="preserve">    </w:t>
      </w:r>
      <w:r>
        <w:rPr>
          <w:rFonts w:hint="eastAsia" w:ascii="宋体" w:hAnsi="宋体"/>
          <w:sz w:val="24"/>
        </w:rPr>
        <w:t>分</w:t>
      </w:r>
    </w:p>
    <w:p w14:paraId="6989161E">
      <w:pPr>
        <w:spacing w:line="360" w:lineRule="auto"/>
        <w:ind w:firstLine="480"/>
        <w:rPr>
          <w:sz w:val="24"/>
        </w:rPr>
      </w:pPr>
    </w:p>
    <w:p w14:paraId="1FD689DF">
      <w:pPr>
        <w:spacing w:line="360" w:lineRule="auto"/>
        <w:ind w:firstLine="480"/>
        <w:rPr>
          <w:sz w:val="24"/>
        </w:rPr>
      </w:pPr>
    </w:p>
    <w:p w14:paraId="251A2C10">
      <w:pPr>
        <w:spacing w:line="360" w:lineRule="auto"/>
        <w:ind w:firstLine="480"/>
        <w:rPr>
          <w:sz w:val="24"/>
        </w:rPr>
      </w:pPr>
      <w:r>
        <w:rPr>
          <w:rFonts w:hint="eastAsia"/>
          <w:sz w:val="24"/>
        </w:rPr>
        <w:t>评标委员会意见：</w:t>
      </w:r>
      <w:r>
        <w:rPr>
          <w:rFonts w:hint="eastAsia" w:ascii="宋体" w:hAnsi="宋体"/>
          <w:sz w:val="24"/>
        </w:rPr>
        <w:t>___________________________________</w:t>
      </w:r>
    </w:p>
    <w:p w14:paraId="468CCA64">
      <w:pPr>
        <w:spacing w:line="360" w:lineRule="auto"/>
        <w:ind w:firstLine="480"/>
        <w:rPr>
          <w:sz w:val="24"/>
        </w:rPr>
      </w:pPr>
    </w:p>
    <w:p w14:paraId="66FF30F6">
      <w:pPr>
        <w:spacing w:line="360" w:lineRule="auto"/>
        <w:ind w:firstLine="480"/>
        <w:rPr>
          <w:sz w:val="24"/>
        </w:rPr>
      </w:pPr>
      <w:r>
        <w:rPr>
          <w:rFonts w:hint="eastAsia"/>
          <w:sz w:val="24"/>
        </w:rPr>
        <w:t>评标委员会成员签字：</w:t>
      </w:r>
      <w:r>
        <w:rPr>
          <w:rFonts w:hint="eastAsia" w:ascii="宋体" w:hAnsi="宋体"/>
          <w:sz w:val="24"/>
        </w:rPr>
        <w:t>_________________________</w:t>
      </w:r>
    </w:p>
    <w:p w14:paraId="1592B817">
      <w:pPr>
        <w:spacing w:line="360" w:lineRule="auto"/>
        <w:rPr>
          <w:rFonts w:ascii="宋体" w:hAnsi="宋体"/>
          <w:sz w:val="24"/>
        </w:rPr>
      </w:pPr>
      <w:r>
        <w:rPr>
          <w:sz w:val="24"/>
        </w:rPr>
        <w:t xml:space="preserve">   </w:t>
      </w:r>
    </w:p>
    <w:p w14:paraId="19BEA4C7">
      <w:pPr>
        <w:spacing w:line="360" w:lineRule="auto"/>
        <w:jc w:val="right"/>
        <w:rPr>
          <w:rFonts w:ascii="宋体" w:hAnsi="宋体"/>
          <w:sz w:val="24"/>
        </w:rPr>
        <w:sectPr>
          <w:pgSz w:w="11906" w:h="16838"/>
          <w:pgMar w:top="1417" w:right="1417" w:bottom="1417" w:left="1417" w:header="851" w:footer="850" w:gutter="0"/>
          <w:cols w:space="720" w:num="1"/>
          <w:docGrid w:type="lines" w:linePitch="312" w:charSpace="0"/>
        </w:sectPr>
      </w:pPr>
      <w:r>
        <w:rPr>
          <w:sz w:val="24"/>
        </w:rPr>
        <w:t xml:space="preserve">     </w:t>
      </w:r>
      <w:r>
        <w:rPr>
          <w:rFonts w:hint="eastAsia" w:ascii="宋体" w:hAnsi="宋体"/>
          <w:sz w:val="24"/>
        </w:rPr>
        <w:t>_______年_______月_______日</w:t>
      </w:r>
    </w:p>
    <w:p w14:paraId="1F5DBBB3">
      <w:pPr>
        <w:spacing w:line="400" w:lineRule="exact"/>
      </w:pPr>
    </w:p>
    <w:p w14:paraId="0B700633">
      <w:pPr>
        <w:pStyle w:val="4"/>
        <w:spacing w:line="360" w:lineRule="auto"/>
        <w:rPr>
          <w:rFonts w:ascii="宋体" w:hAnsi="宋体" w:eastAsia="宋体"/>
          <w:sz w:val="24"/>
          <w:szCs w:val="24"/>
        </w:rPr>
      </w:pPr>
      <w:bookmarkStart w:id="356" w:name="_Toc144974551"/>
      <w:bookmarkStart w:id="357" w:name="_Toc152045584"/>
      <w:bookmarkStart w:id="358" w:name="_Toc247514008"/>
      <w:bookmarkStart w:id="359" w:name="_Toc300835005"/>
      <w:bookmarkStart w:id="360" w:name="_Toc247527609"/>
      <w:bookmarkStart w:id="361" w:name="_Toc152042361"/>
      <w:r>
        <w:rPr>
          <w:rFonts w:hint="eastAsia" w:ascii="宋体" w:hAnsi="宋体" w:eastAsia="宋体"/>
          <w:sz w:val="24"/>
          <w:szCs w:val="24"/>
        </w:rPr>
        <w:t>附件四：中标通知书</w:t>
      </w:r>
      <w:bookmarkEnd w:id="356"/>
      <w:bookmarkEnd w:id="357"/>
      <w:bookmarkEnd w:id="358"/>
      <w:bookmarkEnd w:id="359"/>
      <w:bookmarkEnd w:id="360"/>
      <w:bookmarkEnd w:id="361"/>
    </w:p>
    <w:p w14:paraId="1C1B8138">
      <w:pPr>
        <w:spacing w:line="400" w:lineRule="exact"/>
      </w:pPr>
    </w:p>
    <w:p w14:paraId="2F9C4B82">
      <w:pPr>
        <w:spacing w:line="360" w:lineRule="auto"/>
        <w:jc w:val="center"/>
        <w:rPr>
          <w:rFonts w:ascii="宋体" w:hAnsi="宋体"/>
          <w:b/>
          <w:sz w:val="24"/>
        </w:rPr>
      </w:pPr>
      <w:r>
        <w:rPr>
          <w:rFonts w:hint="eastAsia" w:ascii="宋体" w:hAnsi="宋体"/>
          <w:b/>
          <w:sz w:val="24"/>
        </w:rPr>
        <w:t>中标通知书</w:t>
      </w:r>
    </w:p>
    <w:p w14:paraId="3EA90582">
      <w:pPr>
        <w:spacing w:line="400" w:lineRule="exact"/>
      </w:pPr>
      <w:r>
        <w:t xml:space="preserve">                              </w:t>
      </w:r>
    </w:p>
    <w:p w14:paraId="4AA934D1">
      <w:pPr>
        <w:spacing w:line="440" w:lineRule="exact"/>
        <w:rPr>
          <w:sz w:val="24"/>
        </w:rPr>
      </w:pPr>
      <w:r>
        <w:rPr>
          <w:szCs w:val="21"/>
          <w:u w:val="single"/>
        </w:rPr>
        <w:t xml:space="preserve"> </w:t>
      </w:r>
      <w:r>
        <w:rPr>
          <w:sz w:val="24"/>
          <w:u w:val="single"/>
        </w:rPr>
        <w:t xml:space="preserve">                  </w:t>
      </w:r>
      <w:r>
        <w:rPr>
          <w:sz w:val="24"/>
        </w:rPr>
        <w:t>（中标人名称）：</w:t>
      </w:r>
    </w:p>
    <w:p w14:paraId="01D5FDB1">
      <w:pPr>
        <w:spacing w:line="440" w:lineRule="exact"/>
        <w:rPr>
          <w:sz w:val="24"/>
        </w:rPr>
      </w:pPr>
    </w:p>
    <w:p w14:paraId="086D40E2">
      <w:pPr>
        <w:spacing w:line="440" w:lineRule="exact"/>
        <w:rPr>
          <w:sz w:val="24"/>
        </w:rPr>
      </w:pPr>
      <w:r>
        <w:rPr>
          <w:sz w:val="24"/>
        </w:rPr>
        <w:t>　　你方于</w:t>
      </w:r>
      <w:r>
        <w:rPr>
          <w:sz w:val="24"/>
          <w:u w:val="single"/>
        </w:rPr>
        <w:t xml:space="preserve">         </w:t>
      </w:r>
      <w:r>
        <w:rPr>
          <w:sz w:val="24"/>
        </w:rPr>
        <w:t>（投标日期）所递交的</w:t>
      </w:r>
      <w:r>
        <w:rPr>
          <w:sz w:val="24"/>
          <w:u w:val="single"/>
        </w:rPr>
        <w:t xml:space="preserve">              </w:t>
      </w:r>
      <w:r>
        <w:rPr>
          <w:sz w:val="24"/>
        </w:rPr>
        <w:t>（项目名称）</w:t>
      </w:r>
      <w:r>
        <w:rPr>
          <w:rFonts w:hint="eastAsia"/>
          <w:sz w:val="24"/>
        </w:rPr>
        <w:t>设计施工总承包</w:t>
      </w:r>
      <w:r>
        <w:rPr>
          <w:rFonts w:hint="eastAsia"/>
          <w:sz w:val="24"/>
          <w:u w:val="single"/>
        </w:rPr>
        <w:t xml:space="preserve">   </w:t>
      </w:r>
      <w:r>
        <w:rPr>
          <w:rFonts w:hint="eastAsia"/>
          <w:sz w:val="24"/>
        </w:rPr>
        <w:t>标段招标的</w:t>
      </w:r>
      <w:r>
        <w:rPr>
          <w:sz w:val="24"/>
        </w:rPr>
        <w:t>投标文件已被我方接受，被确定为中标人。</w:t>
      </w:r>
    </w:p>
    <w:p w14:paraId="43217B20">
      <w:pPr>
        <w:spacing w:line="440" w:lineRule="exact"/>
        <w:rPr>
          <w:sz w:val="24"/>
        </w:rPr>
      </w:pPr>
      <w:r>
        <w:rPr>
          <w:sz w:val="24"/>
        </w:rPr>
        <w:t>　　中标价：</w:t>
      </w:r>
      <w:r>
        <w:rPr>
          <w:sz w:val="24"/>
          <w:u w:val="single"/>
        </w:rPr>
        <w:t xml:space="preserve">                   </w:t>
      </w:r>
      <w:r>
        <w:rPr>
          <w:sz w:val="24"/>
        </w:rPr>
        <w:t>。</w:t>
      </w:r>
    </w:p>
    <w:p w14:paraId="31A8803C">
      <w:pPr>
        <w:spacing w:line="440" w:lineRule="exact"/>
        <w:rPr>
          <w:sz w:val="24"/>
        </w:rPr>
      </w:pPr>
      <w:r>
        <w:rPr>
          <w:sz w:val="24"/>
        </w:rPr>
        <w:t>　　工期：</w:t>
      </w:r>
      <w:r>
        <w:rPr>
          <w:sz w:val="24"/>
          <w:u w:val="single"/>
        </w:rPr>
        <w:t xml:space="preserve">      </w:t>
      </w:r>
      <w:r>
        <w:rPr>
          <w:sz w:val="24"/>
        </w:rPr>
        <w:t>日历天。</w:t>
      </w:r>
    </w:p>
    <w:p w14:paraId="0D1A931A">
      <w:pPr>
        <w:spacing w:line="440" w:lineRule="exact"/>
        <w:rPr>
          <w:sz w:val="24"/>
        </w:rPr>
      </w:pPr>
      <w:r>
        <w:rPr>
          <w:sz w:val="24"/>
        </w:rPr>
        <w:t>　  质量标准：</w:t>
      </w:r>
      <w:r>
        <w:rPr>
          <w:sz w:val="24"/>
          <w:u w:val="single"/>
        </w:rPr>
        <w:t xml:space="preserve">                      </w:t>
      </w:r>
      <w:r>
        <w:rPr>
          <w:sz w:val="24"/>
        </w:rPr>
        <w:t>。</w:t>
      </w:r>
    </w:p>
    <w:p w14:paraId="4ACCF595">
      <w:pPr>
        <w:spacing w:line="440" w:lineRule="exact"/>
        <w:ind w:firstLine="420"/>
        <w:rPr>
          <w:sz w:val="24"/>
        </w:rPr>
      </w:pPr>
      <w:r>
        <w:rPr>
          <w:sz w:val="24"/>
        </w:rPr>
        <w:t>项目经理：</w:t>
      </w:r>
      <w:r>
        <w:rPr>
          <w:sz w:val="24"/>
          <w:u w:val="single"/>
        </w:rPr>
        <w:t xml:space="preserve">      </w:t>
      </w:r>
      <w:r>
        <w:rPr>
          <w:rFonts w:hint="eastAsia"/>
          <w:sz w:val="24"/>
          <w:u w:val="single"/>
        </w:rPr>
        <w:t xml:space="preserve">     </w:t>
      </w:r>
      <w:r>
        <w:rPr>
          <w:sz w:val="24"/>
          <w:u w:val="single"/>
        </w:rPr>
        <w:t xml:space="preserve">        </w:t>
      </w:r>
      <w:r>
        <w:rPr>
          <w:sz w:val="24"/>
        </w:rPr>
        <w:t>（姓名）。</w:t>
      </w:r>
    </w:p>
    <w:p w14:paraId="158A6468">
      <w:pPr>
        <w:spacing w:line="440" w:lineRule="exact"/>
        <w:ind w:firstLine="420"/>
        <w:rPr>
          <w:sz w:val="24"/>
        </w:rPr>
      </w:pPr>
      <w:r>
        <w:rPr>
          <w:rFonts w:hint="eastAsia"/>
          <w:sz w:val="24"/>
        </w:rPr>
        <w:t>设计负责人：</w:t>
      </w:r>
      <w:r>
        <w:rPr>
          <w:sz w:val="24"/>
          <w:u w:val="single"/>
        </w:rPr>
        <w:t xml:space="preserve">     </w:t>
      </w:r>
      <w:r>
        <w:rPr>
          <w:rFonts w:hint="eastAsia"/>
          <w:sz w:val="24"/>
          <w:u w:val="single"/>
        </w:rPr>
        <w:t xml:space="preserve">   </w:t>
      </w:r>
      <w:r>
        <w:rPr>
          <w:sz w:val="24"/>
          <w:u w:val="single"/>
        </w:rPr>
        <w:t xml:space="preserve">         </w:t>
      </w:r>
      <w:r>
        <w:rPr>
          <w:sz w:val="24"/>
        </w:rPr>
        <w:t>（姓名）。</w:t>
      </w:r>
    </w:p>
    <w:p w14:paraId="7ADB96FD">
      <w:pPr>
        <w:spacing w:line="440" w:lineRule="exact"/>
        <w:ind w:firstLine="420"/>
        <w:rPr>
          <w:sz w:val="24"/>
        </w:rPr>
      </w:pPr>
      <w:r>
        <w:rPr>
          <w:rFonts w:hint="eastAsia"/>
          <w:sz w:val="24"/>
        </w:rPr>
        <w:t>施工负责人：</w:t>
      </w:r>
      <w:r>
        <w:rPr>
          <w:rFonts w:hint="eastAsia"/>
          <w:sz w:val="24"/>
          <w:u w:val="single"/>
        </w:rPr>
        <w:t xml:space="preserve">                 </w:t>
      </w:r>
      <w:r>
        <w:rPr>
          <w:rFonts w:hint="eastAsia"/>
          <w:sz w:val="24"/>
        </w:rPr>
        <w:t>（姓名）。</w:t>
      </w:r>
    </w:p>
    <w:p w14:paraId="4AB69A50">
      <w:pPr>
        <w:spacing w:line="440" w:lineRule="exact"/>
        <w:ind w:firstLine="420"/>
        <w:rPr>
          <w:sz w:val="24"/>
        </w:rPr>
      </w:pPr>
      <w:r>
        <w:rPr>
          <w:sz w:val="24"/>
        </w:rPr>
        <w:t>请你方在接到本通知书后的</w:t>
      </w:r>
      <w:r>
        <w:rPr>
          <w:sz w:val="24"/>
          <w:u w:val="single"/>
        </w:rPr>
        <w:t xml:space="preserve">     </w:t>
      </w:r>
      <w:r>
        <w:rPr>
          <w:sz w:val="24"/>
        </w:rPr>
        <w:t>日内到</w:t>
      </w:r>
      <w:r>
        <w:rPr>
          <w:sz w:val="24"/>
          <w:u w:val="single"/>
        </w:rPr>
        <w:t xml:space="preserve">                      </w:t>
      </w:r>
      <w:r>
        <w:rPr>
          <w:sz w:val="24"/>
        </w:rPr>
        <w:t>（指定地点）与我方签订</w:t>
      </w:r>
      <w:r>
        <w:rPr>
          <w:rFonts w:hint="eastAsia"/>
          <w:sz w:val="24"/>
        </w:rPr>
        <w:t>设计施工总承包</w:t>
      </w:r>
      <w:r>
        <w:rPr>
          <w:sz w:val="24"/>
        </w:rPr>
        <w:t>合同，在此之前按招标文件第二章“投标人须知”第7.</w:t>
      </w:r>
      <w:r>
        <w:rPr>
          <w:rFonts w:hint="eastAsia"/>
          <w:sz w:val="24"/>
        </w:rPr>
        <w:t>4</w:t>
      </w:r>
      <w:r>
        <w:rPr>
          <w:sz w:val="24"/>
        </w:rPr>
        <w:t>款规定向我方提交履约担保。</w:t>
      </w:r>
    </w:p>
    <w:p w14:paraId="2F5045FE">
      <w:pPr>
        <w:spacing w:line="440" w:lineRule="exact"/>
        <w:ind w:firstLine="420"/>
        <w:rPr>
          <w:sz w:val="24"/>
        </w:rPr>
      </w:pPr>
      <w:r>
        <w:rPr>
          <w:rFonts w:hint="eastAsia"/>
          <w:sz w:val="24"/>
        </w:rPr>
        <w:t>随附的澄清、说明、补正事项纪要，是本中标通知书的组成部分。</w:t>
      </w:r>
    </w:p>
    <w:p w14:paraId="56BE3BB8">
      <w:pPr>
        <w:spacing w:line="440" w:lineRule="exact"/>
        <w:rPr>
          <w:sz w:val="24"/>
        </w:rPr>
      </w:pPr>
      <w:r>
        <w:rPr>
          <w:sz w:val="24"/>
        </w:rPr>
        <w:t>　　特此通知。</w:t>
      </w:r>
    </w:p>
    <w:p w14:paraId="01902A1B">
      <w:pPr>
        <w:spacing w:line="440" w:lineRule="exact"/>
        <w:ind w:firstLine="480" w:firstLineChars="200"/>
        <w:rPr>
          <w:sz w:val="24"/>
        </w:rPr>
      </w:pPr>
      <w:r>
        <w:rPr>
          <w:rFonts w:hint="eastAsia"/>
          <w:sz w:val="24"/>
        </w:rPr>
        <w:t>附：澄清、说明、补正事项纪要</w:t>
      </w:r>
    </w:p>
    <w:p w14:paraId="395B933B">
      <w:pPr>
        <w:spacing w:line="440" w:lineRule="exact"/>
        <w:rPr>
          <w:sz w:val="24"/>
        </w:rPr>
      </w:pPr>
    </w:p>
    <w:p w14:paraId="6EDE1C34">
      <w:pPr>
        <w:spacing w:line="440" w:lineRule="exact"/>
        <w:rPr>
          <w:sz w:val="24"/>
        </w:rPr>
      </w:pPr>
    </w:p>
    <w:p w14:paraId="1A51F6F1">
      <w:pPr>
        <w:spacing w:line="540" w:lineRule="exact"/>
        <w:ind w:firstLine="3700" w:firstLineChars="1542"/>
        <w:rPr>
          <w:sz w:val="24"/>
        </w:rPr>
      </w:pPr>
      <w:r>
        <w:rPr>
          <w:sz w:val="24"/>
        </w:rPr>
        <w:t>招标人：</w:t>
      </w:r>
      <w:r>
        <w:rPr>
          <w:sz w:val="24"/>
          <w:u w:val="single"/>
        </w:rPr>
        <w:t xml:space="preserve">              </w:t>
      </w:r>
      <w:r>
        <w:rPr>
          <w:sz w:val="24"/>
        </w:rPr>
        <w:t xml:space="preserve">（盖单位章）            </w:t>
      </w:r>
    </w:p>
    <w:p w14:paraId="4C6AF566">
      <w:pPr>
        <w:spacing w:line="540" w:lineRule="exact"/>
        <w:ind w:firstLine="3700" w:firstLineChars="1542"/>
        <w:rPr>
          <w:sz w:val="24"/>
        </w:rPr>
      </w:pPr>
      <w:r>
        <w:rPr>
          <w:sz w:val="24"/>
        </w:rPr>
        <w:t>法定代表人：</w:t>
      </w:r>
      <w:r>
        <w:rPr>
          <w:sz w:val="24"/>
          <w:u w:val="single"/>
        </w:rPr>
        <w:t xml:space="preserve">            </w:t>
      </w:r>
      <w:r>
        <w:rPr>
          <w:sz w:val="24"/>
        </w:rPr>
        <w:t>（</w:t>
      </w:r>
      <w:r>
        <w:rPr>
          <w:rFonts w:hint="eastAsia"/>
          <w:sz w:val="24"/>
        </w:rPr>
        <w:t>签字或</w:t>
      </w:r>
      <w:r>
        <w:rPr>
          <w:sz w:val="24"/>
        </w:rPr>
        <w:t>盖章）</w:t>
      </w:r>
    </w:p>
    <w:p w14:paraId="0E0991FF">
      <w:pPr>
        <w:spacing w:line="540" w:lineRule="exact"/>
        <w:ind w:firstLine="4416" w:firstLineChars="1840"/>
        <w:rPr>
          <w:sz w:val="24"/>
        </w:rPr>
      </w:pPr>
      <w:r>
        <w:rPr>
          <w:sz w:val="24"/>
        </w:rPr>
        <w:t xml:space="preserve"> </w:t>
      </w:r>
      <w:r>
        <w:rPr>
          <w:rFonts w:ascii="宋体" w:hAnsi="宋体"/>
          <w:sz w:val="24"/>
          <w:u w:val="single"/>
        </w:rPr>
        <w:t xml:space="preserve">     </w:t>
      </w:r>
      <w:r>
        <w:rPr>
          <w:sz w:val="24"/>
        </w:rPr>
        <w:t>年</w:t>
      </w:r>
      <w:r>
        <w:rPr>
          <w:rFonts w:ascii="宋体" w:hAnsi="宋体"/>
          <w:sz w:val="24"/>
          <w:u w:val="single"/>
        </w:rPr>
        <w:t xml:space="preserve">     </w:t>
      </w:r>
      <w:r>
        <w:rPr>
          <w:sz w:val="24"/>
        </w:rPr>
        <w:t>月</w:t>
      </w:r>
      <w:r>
        <w:rPr>
          <w:rFonts w:ascii="宋体" w:hAnsi="宋体"/>
          <w:sz w:val="24"/>
          <w:u w:val="single"/>
        </w:rPr>
        <w:t xml:space="preserve">     </w:t>
      </w:r>
      <w:r>
        <w:rPr>
          <w:sz w:val="24"/>
        </w:rPr>
        <w:t>日</w:t>
      </w:r>
    </w:p>
    <w:p w14:paraId="4AC2DEBA">
      <w:pPr>
        <w:spacing w:line="400" w:lineRule="exact"/>
      </w:pPr>
    </w:p>
    <w:p w14:paraId="0E0474B1">
      <w:pPr>
        <w:spacing w:line="400" w:lineRule="exact"/>
      </w:pPr>
      <w:r>
        <w:br w:type="page"/>
      </w:r>
    </w:p>
    <w:p w14:paraId="369AB82E">
      <w:pPr>
        <w:pStyle w:val="3"/>
        <w:jc w:val="center"/>
      </w:pPr>
      <w:bookmarkStart w:id="362" w:name="_Toc144974565"/>
      <w:bookmarkStart w:id="363" w:name="_Toc152042375"/>
      <w:bookmarkStart w:id="364" w:name="_Toc247514022"/>
      <w:bookmarkStart w:id="365" w:name="_Toc152045598"/>
      <w:bookmarkStart w:id="366" w:name="_Toc247527623"/>
      <w:bookmarkStart w:id="367" w:name="_Toc300835008"/>
      <w:r>
        <w:rPr>
          <w:rFonts w:hint="eastAsia" w:ascii="宋体" w:hAnsi="宋体" w:cs="宋体"/>
          <w:bCs w:val="0"/>
          <w:sz w:val="32"/>
          <w:szCs w:val="32"/>
        </w:rPr>
        <w:t>第三章 评标办法（综合评估法）</w:t>
      </w:r>
      <w:bookmarkEnd w:id="362"/>
      <w:bookmarkEnd w:id="363"/>
      <w:bookmarkEnd w:id="364"/>
      <w:bookmarkEnd w:id="365"/>
      <w:bookmarkEnd w:id="366"/>
      <w:bookmarkEnd w:id="367"/>
      <w:bookmarkStart w:id="368" w:name="_Toc152042376"/>
      <w:bookmarkStart w:id="369" w:name="_Toc247514023"/>
      <w:bookmarkStart w:id="370" w:name="_Toc152045599"/>
      <w:bookmarkStart w:id="371" w:name="_Toc247527624"/>
      <w:bookmarkStart w:id="372" w:name="_Toc144974566"/>
    </w:p>
    <w:p w14:paraId="574C29B6">
      <w:pPr>
        <w:pStyle w:val="3"/>
        <w:widowControl/>
        <w:adjustRightInd w:val="0"/>
        <w:snapToGrid w:val="0"/>
        <w:spacing w:line="360" w:lineRule="auto"/>
        <w:jc w:val="center"/>
      </w:pPr>
      <w:bookmarkStart w:id="373" w:name="_Toc300835009"/>
      <w:r>
        <w:rPr>
          <w:rFonts w:hint="eastAsia" w:ascii="宋体" w:hAnsi="宋体"/>
          <w:bCs w:val="0"/>
          <w:sz w:val="28"/>
          <w:szCs w:val="28"/>
        </w:rPr>
        <w:t>评标办法前附表</w:t>
      </w:r>
      <w:bookmarkEnd w:id="368"/>
      <w:bookmarkEnd w:id="369"/>
      <w:bookmarkEnd w:id="370"/>
      <w:bookmarkEnd w:id="371"/>
      <w:bookmarkEnd w:id="372"/>
      <w:bookmarkEnd w:id="373"/>
    </w:p>
    <w:tbl>
      <w:tblPr>
        <w:tblStyle w:val="23"/>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14:paraId="53F886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14:paraId="2B4DD0C3">
            <w:pPr>
              <w:spacing w:line="440" w:lineRule="exact"/>
              <w:jc w:val="center"/>
              <w:rPr>
                <w:b/>
                <w:sz w:val="24"/>
              </w:rPr>
            </w:pPr>
            <w:r>
              <w:rPr>
                <w:b/>
                <w:sz w:val="24"/>
              </w:rPr>
              <w:t>条款号</w:t>
            </w:r>
          </w:p>
        </w:tc>
        <w:tc>
          <w:tcPr>
            <w:tcW w:w="2476" w:type="dxa"/>
            <w:tcBorders>
              <w:top w:val="single" w:color="auto" w:sz="4" w:space="0"/>
              <w:left w:val="single" w:color="auto" w:sz="4" w:space="0"/>
              <w:bottom w:val="single" w:color="auto" w:sz="4" w:space="0"/>
              <w:right w:val="single" w:color="auto" w:sz="4" w:space="0"/>
            </w:tcBorders>
            <w:vAlign w:val="center"/>
          </w:tcPr>
          <w:p w14:paraId="7093A32B">
            <w:pPr>
              <w:spacing w:line="440" w:lineRule="exact"/>
              <w:jc w:val="center"/>
              <w:rPr>
                <w:b/>
                <w:sz w:val="24"/>
              </w:rPr>
            </w:pPr>
            <w:r>
              <w:rPr>
                <w:b/>
                <w:sz w:val="24"/>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14:paraId="6C0EE287">
            <w:pPr>
              <w:spacing w:line="440" w:lineRule="exact"/>
              <w:jc w:val="center"/>
              <w:rPr>
                <w:b/>
                <w:sz w:val="24"/>
              </w:rPr>
            </w:pPr>
            <w:r>
              <w:rPr>
                <w:b/>
                <w:sz w:val="24"/>
              </w:rPr>
              <w:t>评审标准</w:t>
            </w:r>
          </w:p>
        </w:tc>
      </w:tr>
      <w:tr w14:paraId="646B9D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restart"/>
            <w:tcBorders>
              <w:top w:val="single" w:color="auto" w:sz="4" w:space="0"/>
              <w:bottom w:val="single" w:color="auto" w:sz="4" w:space="0"/>
              <w:right w:val="single" w:color="auto" w:sz="4" w:space="0"/>
            </w:tcBorders>
            <w:vAlign w:val="center"/>
          </w:tcPr>
          <w:p w14:paraId="1476EAA0">
            <w:pPr>
              <w:spacing w:line="440" w:lineRule="exact"/>
              <w:jc w:val="center"/>
              <w:rPr>
                <w:sz w:val="24"/>
              </w:rPr>
            </w:pPr>
            <w:r>
              <w:rPr>
                <w:sz w:val="24"/>
              </w:rPr>
              <w:t>2.1.1</w:t>
            </w:r>
          </w:p>
        </w:tc>
        <w:tc>
          <w:tcPr>
            <w:tcW w:w="1124" w:type="dxa"/>
            <w:vMerge w:val="restart"/>
            <w:tcBorders>
              <w:top w:val="single" w:color="auto" w:sz="4" w:space="0"/>
              <w:bottom w:val="single" w:color="auto" w:sz="4" w:space="0"/>
              <w:right w:val="single" w:color="auto" w:sz="4" w:space="0"/>
            </w:tcBorders>
            <w:vAlign w:val="center"/>
          </w:tcPr>
          <w:p w14:paraId="7C3BD87D">
            <w:pPr>
              <w:spacing w:line="440" w:lineRule="exact"/>
              <w:jc w:val="center"/>
              <w:rPr>
                <w:sz w:val="24"/>
              </w:rPr>
            </w:pPr>
            <w:r>
              <w:rPr>
                <w:sz w:val="24"/>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14:paraId="503511A0">
            <w:pPr>
              <w:spacing w:line="440" w:lineRule="exact"/>
              <w:jc w:val="center"/>
              <w:rPr>
                <w:sz w:val="24"/>
              </w:rPr>
            </w:pPr>
            <w:r>
              <w:rPr>
                <w:sz w:val="24"/>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14:paraId="36F09668">
            <w:pPr>
              <w:spacing w:line="440" w:lineRule="exact"/>
              <w:rPr>
                <w:sz w:val="24"/>
              </w:rPr>
            </w:pPr>
            <w:r>
              <w:rPr>
                <w:sz w:val="24"/>
              </w:rPr>
              <w:t>与营业执照、资质证书</w:t>
            </w:r>
            <w:r>
              <w:rPr>
                <w:rFonts w:hint="eastAsia"/>
                <w:sz w:val="24"/>
              </w:rPr>
              <w:t>、安全生产许可证</w:t>
            </w:r>
            <w:r>
              <w:rPr>
                <w:sz w:val="24"/>
              </w:rPr>
              <w:t>一致</w:t>
            </w:r>
          </w:p>
        </w:tc>
      </w:tr>
      <w:tr w14:paraId="740A49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6E6AE3C0">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1FF4BAC8">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5CF6320B">
            <w:pPr>
              <w:spacing w:line="440" w:lineRule="exact"/>
              <w:jc w:val="center"/>
              <w:rPr>
                <w:sz w:val="24"/>
              </w:rPr>
            </w:pPr>
            <w:r>
              <w:rPr>
                <w:sz w:val="24"/>
              </w:rPr>
              <w:t>签字</w:t>
            </w:r>
            <w:r>
              <w:rPr>
                <w:rFonts w:hint="eastAsia"/>
                <w:sz w:val="24"/>
              </w:rPr>
              <w:t>、</w:t>
            </w:r>
            <w:r>
              <w:rPr>
                <w:sz w:val="24"/>
              </w:rPr>
              <w:t>盖章</w:t>
            </w:r>
          </w:p>
        </w:tc>
        <w:tc>
          <w:tcPr>
            <w:tcW w:w="4680" w:type="dxa"/>
            <w:tcBorders>
              <w:top w:val="single" w:color="auto" w:sz="4" w:space="0"/>
              <w:left w:val="single" w:color="auto" w:sz="4" w:space="0"/>
              <w:bottom w:val="single" w:color="auto" w:sz="4" w:space="0"/>
              <w:right w:val="single" w:color="auto" w:sz="4" w:space="0"/>
            </w:tcBorders>
            <w:vAlign w:val="center"/>
          </w:tcPr>
          <w:p w14:paraId="12A1533C">
            <w:pPr>
              <w:spacing w:line="440" w:lineRule="exact"/>
              <w:rPr>
                <w:sz w:val="24"/>
              </w:rPr>
            </w:pPr>
            <w:r>
              <w:rPr>
                <w:rFonts w:hint="eastAsia" w:ascii="宋体" w:hAnsi="宋体"/>
                <w:sz w:val="24"/>
              </w:rPr>
              <w:t>符合第二章“投标人须知”第 3.7.3 项要求</w:t>
            </w:r>
          </w:p>
        </w:tc>
      </w:tr>
      <w:tr w14:paraId="764529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0E401630">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2FE62D3D">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4EC5D34">
            <w:pPr>
              <w:spacing w:line="440" w:lineRule="exact"/>
              <w:jc w:val="center"/>
              <w:rPr>
                <w:sz w:val="24"/>
              </w:rPr>
            </w:pPr>
            <w:r>
              <w:rPr>
                <w:sz w:val="24"/>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14:paraId="4284D96A">
            <w:pPr>
              <w:spacing w:line="440" w:lineRule="exact"/>
              <w:rPr>
                <w:sz w:val="24"/>
              </w:rPr>
            </w:pPr>
            <w:r>
              <w:rPr>
                <w:sz w:val="24"/>
              </w:rPr>
              <w:t>符合第</w:t>
            </w:r>
            <w:r>
              <w:rPr>
                <w:rFonts w:hint="eastAsia"/>
                <w:sz w:val="24"/>
              </w:rPr>
              <w:t>七</w:t>
            </w:r>
            <w:r>
              <w:rPr>
                <w:sz w:val="24"/>
              </w:rPr>
              <w:t>章“投标文件格式”的要求</w:t>
            </w:r>
            <w:r>
              <w:rPr>
                <w:rFonts w:hint="eastAsia" w:ascii="宋体" w:hAnsi="宋体"/>
                <w:sz w:val="24"/>
              </w:rPr>
              <w:t>和符合第二章“投标人须知”第 3.7.1 项和第5.2项要求</w:t>
            </w:r>
          </w:p>
        </w:tc>
      </w:tr>
      <w:tr w14:paraId="2AC0B7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0F4F8079">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491148D5">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6A42E3C7">
            <w:pPr>
              <w:spacing w:line="440" w:lineRule="exact"/>
              <w:jc w:val="center"/>
              <w:rPr>
                <w:sz w:val="24"/>
              </w:rPr>
            </w:pPr>
            <w:r>
              <w:rPr>
                <w:sz w:val="24"/>
              </w:rPr>
              <w:t>联合体投标人</w:t>
            </w:r>
          </w:p>
        </w:tc>
        <w:tc>
          <w:tcPr>
            <w:tcW w:w="4680" w:type="dxa"/>
            <w:tcBorders>
              <w:top w:val="single" w:color="auto" w:sz="4" w:space="0"/>
              <w:left w:val="single" w:color="auto" w:sz="4" w:space="0"/>
              <w:bottom w:val="single" w:color="auto" w:sz="4" w:space="0"/>
              <w:right w:val="single" w:color="auto" w:sz="4" w:space="0"/>
            </w:tcBorders>
            <w:vAlign w:val="center"/>
          </w:tcPr>
          <w:p w14:paraId="111366C9">
            <w:pPr>
              <w:spacing w:line="440" w:lineRule="exact"/>
              <w:rPr>
                <w:sz w:val="24"/>
              </w:rPr>
            </w:pPr>
            <w:r>
              <w:rPr>
                <w:sz w:val="24"/>
              </w:rPr>
              <w:t>提交联合体协议书，并明确联合体牵头人</w:t>
            </w:r>
            <w:r>
              <w:rPr>
                <w:rFonts w:hint="eastAsia" w:ascii="宋体" w:hAnsi="宋体"/>
                <w:sz w:val="24"/>
              </w:rPr>
              <w:t>（如有）</w:t>
            </w:r>
          </w:p>
        </w:tc>
      </w:tr>
      <w:tr w14:paraId="5AEE57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78964704">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24ED9F9B">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5EA2CA06">
            <w:pPr>
              <w:spacing w:line="440" w:lineRule="exact"/>
              <w:jc w:val="center"/>
              <w:rPr>
                <w:sz w:val="24"/>
              </w:rPr>
            </w:pPr>
            <w:r>
              <w:rPr>
                <w:sz w:val="24"/>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14:paraId="096054B8">
            <w:pPr>
              <w:spacing w:line="440" w:lineRule="exact"/>
              <w:rPr>
                <w:sz w:val="24"/>
              </w:rPr>
            </w:pPr>
            <w:r>
              <w:rPr>
                <w:rFonts w:hint="eastAsia"/>
                <w:sz w:val="24"/>
              </w:rPr>
              <w:t>只能有一个报价，即符合第二章“投标人须知”第9.3项要求</w:t>
            </w:r>
          </w:p>
        </w:tc>
      </w:tr>
      <w:tr w14:paraId="66A2FE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900" w:type="dxa"/>
            <w:vMerge w:val="continue"/>
            <w:tcBorders>
              <w:top w:val="nil"/>
              <w:bottom w:val="single" w:color="auto" w:sz="4" w:space="0"/>
              <w:right w:val="single" w:color="auto" w:sz="4" w:space="0"/>
            </w:tcBorders>
            <w:vAlign w:val="center"/>
          </w:tcPr>
          <w:p w14:paraId="6A4E6DAF">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2DAF30CC">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2B4A01FB">
            <w:pPr>
              <w:spacing w:line="440" w:lineRule="exact"/>
              <w:jc w:val="center"/>
              <w:rPr>
                <w:sz w:val="24"/>
              </w:rPr>
            </w:pPr>
            <w:r>
              <w:rPr>
                <w:rFonts w:hint="eastAsia"/>
                <w:sz w:val="24"/>
              </w:rPr>
              <w:t>……</w:t>
            </w:r>
          </w:p>
        </w:tc>
        <w:tc>
          <w:tcPr>
            <w:tcW w:w="4680" w:type="dxa"/>
            <w:tcBorders>
              <w:top w:val="single" w:color="auto" w:sz="4" w:space="0"/>
              <w:left w:val="single" w:color="auto" w:sz="4" w:space="0"/>
              <w:bottom w:val="single" w:color="auto" w:sz="4" w:space="0"/>
              <w:right w:val="single" w:color="auto" w:sz="4" w:space="0"/>
            </w:tcBorders>
            <w:vAlign w:val="center"/>
          </w:tcPr>
          <w:p w14:paraId="3A4E8167">
            <w:pPr>
              <w:spacing w:line="440" w:lineRule="exact"/>
              <w:jc w:val="center"/>
              <w:rPr>
                <w:sz w:val="24"/>
              </w:rPr>
            </w:pPr>
            <w:r>
              <w:rPr>
                <w:rFonts w:hint="eastAsia"/>
                <w:sz w:val="24"/>
              </w:rPr>
              <w:t>……</w:t>
            </w:r>
          </w:p>
        </w:tc>
      </w:tr>
      <w:tr w14:paraId="56CF22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restart"/>
            <w:tcBorders>
              <w:top w:val="single" w:color="auto" w:sz="4" w:space="0"/>
              <w:bottom w:val="single" w:color="auto" w:sz="4" w:space="0"/>
              <w:right w:val="single" w:color="auto" w:sz="4" w:space="0"/>
            </w:tcBorders>
            <w:vAlign w:val="center"/>
          </w:tcPr>
          <w:p w14:paraId="61E40193">
            <w:pPr>
              <w:spacing w:line="440" w:lineRule="exact"/>
              <w:jc w:val="center"/>
              <w:rPr>
                <w:sz w:val="24"/>
              </w:rPr>
            </w:pPr>
            <w:r>
              <w:rPr>
                <w:sz w:val="24"/>
              </w:rPr>
              <w:t>2.1.2</w:t>
            </w:r>
          </w:p>
        </w:tc>
        <w:tc>
          <w:tcPr>
            <w:tcW w:w="1124" w:type="dxa"/>
            <w:vMerge w:val="restart"/>
            <w:tcBorders>
              <w:top w:val="single" w:color="auto" w:sz="4" w:space="0"/>
              <w:bottom w:val="single" w:color="auto" w:sz="4" w:space="0"/>
              <w:right w:val="single" w:color="auto" w:sz="4" w:space="0"/>
            </w:tcBorders>
            <w:vAlign w:val="center"/>
          </w:tcPr>
          <w:p w14:paraId="22A75DE4">
            <w:pPr>
              <w:spacing w:line="440" w:lineRule="exact"/>
              <w:jc w:val="center"/>
              <w:rPr>
                <w:sz w:val="24"/>
              </w:rPr>
            </w:pPr>
            <w:r>
              <w:rPr>
                <w:sz w:val="24"/>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14:paraId="3AB254C8">
            <w:pPr>
              <w:spacing w:line="440" w:lineRule="exact"/>
              <w:jc w:val="center"/>
              <w:rPr>
                <w:sz w:val="24"/>
              </w:rPr>
            </w:pPr>
            <w:r>
              <w:rPr>
                <w:sz w:val="24"/>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14:paraId="2BBC62F5">
            <w:pPr>
              <w:spacing w:line="440" w:lineRule="exact"/>
              <w:rPr>
                <w:sz w:val="24"/>
              </w:rPr>
            </w:pPr>
            <w:r>
              <w:rPr>
                <w:sz w:val="24"/>
              </w:rPr>
              <w:t>具备有效的营业执照</w:t>
            </w:r>
          </w:p>
        </w:tc>
      </w:tr>
      <w:tr w14:paraId="6408C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3F4AC512">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033552D2">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7BC0456">
            <w:pPr>
              <w:spacing w:line="440" w:lineRule="exact"/>
              <w:jc w:val="center"/>
              <w:rPr>
                <w:sz w:val="24"/>
              </w:rPr>
            </w:pPr>
            <w:r>
              <w:rPr>
                <w:sz w:val="24"/>
              </w:rPr>
              <w:t>资质等级</w:t>
            </w:r>
          </w:p>
        </w:tc>
        <w:tc>
          <w:tcPr>
            <w:tcW w:w="4680" w:type="dxa"/>
            <w:tcBorders>
              <w:top w:val="single" w:color="auto" w:sz="4" w:space="0"/>
              <w:left w:val="single" w:color="auto" w:sz="4" w:space="0"/>
              <w:bottom w:val="single" w:color="auto" w:sz="4" w:space="0"/>
              <w:right w:val="single" w:color="auto" w:sz="4" w:space="0"/>
            </w:tcBorders>
            <w:vAlign w:val="center"/>
          </w:tcPr>
          <w:p w14:paraId="134B0489">
            <w:pPr>
              <w:spacing w:line="440" w:lineRule="exact"/>
              <w:rPr>
                <w:sz w:val="24"/>
              </w:rPr>
            </w:pPr>
            <w:r>
              <w:rPr>
                <w:sz w:val="24"/>
              </w:rPr>
              <w:t>符合第二章“投标人须知”第1.4.1项规定</w:t>
            </w:r>
          </w:p>
        </w:tc>
      </w:tr>
      <w:tr w14:paraId="32B55F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900" w:type="dxa"/>
            <w:vMerge w:val="continue"/>
            <w:tcBorders>
              <w:top w:val="nil"/>
              <w:bottom w:val="single" w:color="auto" w:sz="4" w:space="0"/>
              <w:right w:val="single" w:color="auto" w:sz="4" w:space="0"/>
            </w:tcBorders>
            <w:vAlign w:val="center"/>
          </w:tcPr>
          <w:p w14:paraId="0886BFA3">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66D7DDF7">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14E57DA0">
            <w:pPr>
              <w:spacing w:line="440" w:lineRule="exact"/>
              <w:jc w:val="center"/>
              <w:rPr>
                <w:sz w:val="24"/>
              </w:rPr>
            </w:pPr>
            <w:r>
              <w:rPr>
                <w:sz w:val="24"/>
              </w:rPr>
              <w:t>财务状况</w:t>
            </w:r>
          </w:p>
        </w:tc>
        <w:tc>
          <w:tcPr>
            <w:tcW w:w="4680" w:type="dxa"/>
            <w:tcBorders>
              <w:top w:val="single" w:color="auto" w:sz="4" w:space="0"/>
              <w:left w:val="single" w:color="auto" w:sz="4" w:space="0"/>
              <w:bottom w:val="single" w:color="auto" w:sz="4" w:space="0"/>
              <w:right w:val="single" w:color="auto" w:sz="4" w:space="0"/>
            </w:tcBorders>
          </w:tcPr>
          <w:p w14:paraId="56FB210E">
            <w:pPr>
              <w:rPr>
                <w:sz w:val="24"/>
              </w:rPr>
            </w:pPr>
            <w:r>
              <w:rPr>
                <w:sz w:val="24"/>
              </w:rPr>
              <w:t>符合第二章“投标人须知”第1.4.1项规定</w:t>
            </w:r>
          </w:p>
        </w:tc>
      </w:tr>
      <w:tr w14:paraId="0E71C7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1A1530F4">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775858D3">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610FCF05">
            <w:pPr>
              <w:spacing w:line="440" w:lineRule="exact"/>
              <w:jc w:val="center"/>
              <w:rPr>
                <w:sz w:val="24"/>
              </w:rPr>
            </w:pPr>
            <w:r>
              <w:rPr>
                <w:sz w:val="24"/>
              </w:rPr>
              <w:t>类似项目业绩</w:t>
            </w:r>
          </w:p>
        </w:tc>
        <w:tc>
          <w:tcPr>
            <w:tcW w:w="4680" w:type="dxa"/>
            <w:tcBorders>
              <w:top w:val="single" w:color="auto" w:sz="4" w:space="0"/>
              <w:left w:val="single" w:color="auto" w:sz="4" w:space="0"/>
              <w:bottom w:val="single" w:color="auto" w:sz="4" w:space="0"/>
              <w:right w:val="single" w:color="auto" w:sz="4" w:space="0"/>
            </w:tcBorders>
          </w:tcPr>
          <w:p w14:paraId="087F631B">
            <w:pPr>
              <w:rPr>
                <w:sz w:val="24"/>
              </w:rPr>
            </w:pPr>
            <w:r>
              <w:rPr>
                <w:sz w:val="24"/>
              </w:rPr>
              <w:t>符合第二章“投标人须知”第1.4.1项规定</w:t>
            </w:r>
          </w:p>
        </w:tc>
      </w:tr>
      <w:tr w14:paraId="284263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900" w:type="dxa"/>
            <w:vMerge w:val="continue"/>
            <w:tcBorders>
              <w:top w:val="nil"/>
              <w:bottom w:val="single" w:color="auto" w:sz="4" w:space="0"/>
              <w:right w:val="single" w:color="auto" w:sz="4" w:space="0"/>
            </w:tcBorders>
            <w:vAlign w:val="center"/>
          </w:tcPr>
          <w:p w14:paraId="405CE461">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2D9933E8">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7A7A9401">
            <w:pPr>
              <w:spacing w:line="440" w:lineRule="exact"/>
              <w:jc w:val="center"/>
              <w:rPr>
                <w:sz w:val="24"/>
              </w:rPr>
            </w:pPr>
            <w:r>
              <w:rPr>
                <w:sz w:val="24"/>
              </w:rPr>
              <w:t>信誉</w:t>
            </w:r>
          </w:p>
        </w:tc>
        <w:tc>
          <w:tcPr>
            <w:tcW w:w="4680" w:type="dxa"/>
            <w:tcBorders>
              <w:top w:val="single" w:color="auto" w:sz="4" w:space="0"/>
              <w:left w:val="single" w:color="auto" w:sz="4" w:space="0"/>
              <w:bottom w:val="single" w:color="auto" w:sz="4" w:space="0"/>
              <w:right w:val="single" w:color="auto" w:sz="4" w:space="0"/>
            </w:tcBorders>
          </w:tcPr>
          <w:p w14:paraId="57B5C11F">
            <w:pPr>
              <w:rPr>
                <w:sz w:val="24"/>
              </w:rPr>
            </w:pPr>
            <w:r>
              <w:rPr>
                <w:sz w:val="24"/>
              </w:rPr>
              <w:t>符合第二章“投标人须知”第1.4.1项规定</w:t>
            </w:r>
          </w:p>
        </w:tc>
      </w:tr>
      <w:tr w14:paraId="7ADC3C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4678FCCB">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6B96287B">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71CCD645">
            <w:pPr>
              <w:spacing w:line="440" w:lineRule="exact"/>
              <w:jc w:val="center"/>
              <w:rPr>
                <w:sz w:val="24"/>
              </w:rPr>
            </w:pPr>
            <w:r>
              <w:rPr>
                <w:sz w:val="24"/>
              </w:rPr>
              <w:t>项目经理</w:t>
            </w:r>
            <w:r>
              <w:rPr>
                <w:rFonts w:hint="eastAsia"/>
                <w:sz w:val="24"/>
              </w:rPr>
              <w:t xml:space="preserve"> </w:t>
            </w:r>
          </w:p>
        </w:tc>
        <w:tc>
          <w:tcPr>
            <w:tcW w:w="4680" w:type="dxa"/>
            <w:tcBorders>
              <w:top w:val="single" w:color="auto" w:sz="4" w:space="0"/>
              <w:left w:val="single" w:color="auto" w:sz="4" w:space="0"/>
              <w:bottom w:val="single" w:color="auto" w:sz="4" w:space="0"/>
              <w:right w:val="single" w:color="auto" w:sz="4" w:space="0"/>
            </w:tcBorders>
            <w:vAlign w:val="center"/>
          </w:tcPr>
          <w:p w14:paraId="1DDE52DE">
            <w:pPr>
              <w:spacing w:line="440" w:lineRule="exact"/>
              <w:rPr>
                <w:sz w:val="24"/>
              </w:rPr>
            </w:pPr>
            <w:r>
              <w:rPr>
                <w:sz w:val="24"/>
              </w:rPr>
              <w:t>符合第二章“投标人须知”第1.4.1</w:t>
            </w:r>
            <w:r>
              <w:rPr>
                <w:rFonts w:hint="eastAsia"/>
                <w:sz w:val="24"/>
              </w:rPr>
              <w:t>项</w:t>
            </w:r>
            <w:r>
              <w:rPr>
                <w:sz w:val="24"/>
              </w:rPr>
              <w:t>规定</w:t>
            </w:r>
          </w:p>
        </w:tc>
      </w:tr>
      <w:tr w14:paraId="335AA0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08C4F93C">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503B019B">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46CCBD8D">
            <w:pPr>
              <w:spacing w:line="440" w:lineRule="exact"/>
              <w:jc w:val="center"/>
              <w:rPr>
                <w:sz w:val="24"/>
              </w:rPr>
            </w:pPr>
            <w:r>
              <w:rPr>
                <w:rFonts w:hint="eastAsia"/>
                <w:sz w:val="24"/>
              </w:rPr>
              <w:t>设计负责人</w:t>
            </w:r>
          </w:p>
        </w:tc>
        <w:tc>
          <w:tcPr>
            <w:tcW w:w="4680" w:type="dxa"/>
            <w:tcBorders>
              <w:top w:val="single" w:color="auto" w:sz="4" w:space="0"/>
              <w:left w:val="single" w:color="auto" w:sz="4" w:space="0"/>
              <w:bottom w:val="single" w:color="auto" w:sz="4" w:space="0"/>
              <w:right w:val="single" w:color="auto" w:sz="4" w:space="0"/>
            </w:tcBorders>
            <w:vAlign w:val="center"/>
          </w:tcPr>
          <w:p w14:paraId="144A6AA6">
            <w:pPr>
              <w:spacing w:line="440" w:lineRule="exact"/>
              <w:rPr>
                <w:sz w:val="24"/>
              </w:rPr>
            </w:pPr>
            <w:r>
              <w:rPr>
                <w:sz w:val="24"/>
              </w:rPr>
              <w:t>符合第二章“投标人须知”第1.4.1</w:t>
            </w:r>
            <w:r>
              <w:rPr>
                <w:rFonts w:hint="eastAsia"/>
                <w:sz w:val="24"/>
              </w:rPr>
              <w:t>项</w:t>
            </w:r>
            <w:r>
              <w:rPr>
                <w:sz w:val="24"/>
              </w:rPr>
              <w:t>规定</w:t>
            </w:r>
          </w:p>
        </w:tc>
      </w:tr>
      <w:tr w14:paraId="30CD78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193AC767">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689E0B08">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5E5550DC">
            <w:pPr>
              <w:spacing w:line="440" w:lineRule="exact"/>
              <w:jc w:val="center"/>
              <w:rPr>
                <w:sz w:val="24"/>
              </w:rPr>
            </w:pPr>
            <w:r>
              <w:rPr>
                <w:rFonts w:hint="eastAsia"/>
                <w:sz w:val="24"/>
              </w:rPr>
              <w:t>施工负责人</w:t>
            </w:r>
          </w:p>
        </w:tc>
        <w:tc>
          <w:tcPr>
            <w:tcW w:w="4680" w:type="dxa"/>
            <w:tcBorders>
              <w:top w:val="single" w:color="auto" w:sz="4" w:space="0"/>
              <w:left w:val="single" w:color="auto" w:sz="4" w:space="0"/>
              <w:bottom w:val="single" w:color="auto" w:sz="4" w:space="0"/>
              <w:right w:val="single" w:color="auto" w:sz="4" w:space="0"/>
            </w:tcBorders>
            <w:vAlign w:val="center"/>
          </w:tcPr>
          <w:p w14:paraId="2AA605A9">
            <w:pPr>
              <w:spacing w:line="440" w:lineRule="exact"/>
              <w:rPr>
                <w:sz w:val="24"/>
              </w:rPr>
            </w:pPr>
            <w:r>
              <w:rPr>
                <w:sz w:val="24"/>
              </w:rPr>
              <w:t>符合第二章“投标人须知”第1.4.1</w:t>
            </w:r>
            <w:r>
              <w:rPr>
                <w:rFonts w:hint="eastAsia"/>
                <w:sz w:val="24"/>
              </w:rPr>
              <w:t>项</w:t>
            </w:r>
            <w:r>
              <w:rPr>
                <w:sz w:val="24"/>
              </w:rPr>
              <w:t>规定</w:t>
            </w:r>
          </w:p>
        </w:tc>
      </w:tr>
      <w:tr w14:paraId="1A7D50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55041DCC">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373E46CC">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1724D271">
            <w:pPr>
              <w:spacing w:line="440" w:lineRule="exact"/>
              <w:jc w:val="center"/>
              <w:rPr>
                <w:sz w:val="24"/>
              </w:rPr>
            </w:pPr>
            <w:r>
              <w:rPr>
                <w:rFonts w:hint="eastAsia"/>
                <w:sz w:val="24"/>
              </w:rPr>
              <w:t>安全生产许可证</w:t>
            </w:r>
          </w:p>
        </w:tc>
        <w:tc>
          <w:tcPr>
            <w:tcW w:w="4680" w:type="dxa"/>
            <w:tcBorders>
              <w:top w:val="single" w:color="auto" w:sz="4" w:space="0"/>
              <w:left w:val="single" w:color="auto" w:sz="4" w:space="0"/>
              <w:bottom w:val="single" w:color="auto" w:sz="4" w:space="0"/>
              <w:right w:val="single" w:color="auto" w:sz="4" w:space="0"/>
            </w:tcBorders>
            <w:vAlign w:val="center"/>
          </w:tcPr>
          <w:p w14:paraId="56038B7D">
            <w:pPr>
              <w:spacing w:line="440" w:lineRule="exact"/>
              <w:rPr>
                <w:sz w:val="24"/>
              </w:rPr>
            </w:pPr>
            <w:r>
              <w:rPr>
                <w:sz w:val="24"/>
              </w:rPr>
              <w:t>符合第二章“投标人须知”第1.4.1</w:t>
            </w:r>
            <w:r>
              <w:rPr>
                <w:rFonts w:hint="eastAsia"/>
                <w:sz w:val="24"/>
              </w:rPr>
              <w:t>项</w:t>
            </w:r>
            <w:r>
              <w:rPr>
                <w:sz w:val="24"/>
              </w:rPr>
              <w:t>规定</w:t>
            </w:r>
          </w:p>
        </w:tc>
      </w:tr>
      <w:tr w14:paraId="274986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6C5BDAFA">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0465811F">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1097598A">
            <w:pPr>
              <w:spacing w:line="440" w:lineRule="exact"/>
              <w:jc w:val="center"/>
              <w:rPr>
                <w:sz w:val="24"/>
              </w:rPr>
            </w:pPr>
            <w:r>
              <w:rPr>
                <w:rFonts w:hint="eastAsia"/>
                <w:sz w:val="24"/>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14:paraId="0F563481">
            <w:pPr>
              <w:spacing w:line="440" w:lineRule="exact"/>
              <w:rPr>
                <w:sz w:val="24"/>
              </w:rPr>
            </w:pPr>
            <w:r>
              <w:rPr>
                <w:sz w:val="24"/>
              </w:rPr>
              <w:t>符合第二章“投标人须知”第1.4.1项规定</w:t>
            </w:r>
          </w:p>
        </w:tc>
      </w:tr>
      <w:tr w14:paraId="1F14CE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2A69FD30">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5C8E9B7D">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3E3E455">
            <w:pPr>
              <w:spacing w:line="440" w:lineRule="exact"/>
              <w:jc w:val="center"/>
              <w:rPr>
                <w:sz w:val="24"/>
              </w:rPr>
            </w:pPr>
            <w:r>
              <w:rPr>
                <w:sz w:val="24"/>
              </w:rPr>
              <w:t>联合体投标人</w:t>
            </w:r>
          </w:p>
        </w:tc>
        <w:tc>
          <w:tcPr>
            <w:tcW w:w="4680" w:type="dxa"/>
            <w:tcBorders>
              <w:top w:val="single" w:color="auto" w:sz="4" w:space="0"/>
              <w:left w:val="single" w:color="auto" w:sz="4" w:space="0"/>
              <w:bottom w:val="single" w:color="auto" w:sz="4" w:space="0"/>
              <w:right w:val="single" w:color="auto" w:sz="4" w:space="0"/>
            </w:tcBorders>
            <w:vAlign w:val="center"/>
          </w:tcPr>
          <w:p w14:paraId="5BB3DD1F">
            <w:pPr>
              <w:spacing w:line="440" w:lineRule="exact"/>
              <w:rPr>
                <w:sz w:val="24"/>
              </w:rPr>
            </w:pPr>
            <w:r>
              <w:rPr>
                <w:sz w:val="24"/>
              </w:rPr>
              <w:t>符合第二章“投标人须知”第1.4.2项规定</w:t>
            </w:r>
            <w:r>
              <w:rPr>
                <w:rFonts w:hint="eastAsia" w:ascii="宋体" w:hAnsi="宋体"/>
                <w:sz w:val="24"/>
              </w:rPr>
              <w:t>（如有）</w:t>
            </w:r>
          </w:p>
        </w:tc>
      </w:tr>
      <w:tr w14:paraId="44A6D6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66DE9DBF">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34671252">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554E45C1">
            <w:pPr>
              <w:spacing w:line="440" w:lineRule="exact"/>
              <w:jc w:val="center"/>
              <w:rPr>
                <w:sz w:val="24"/>
              </w:rPr>
            </w:pPr>
            <w:r>
              <w:rPr>
                <w:rFonts w:hint="eastAsia"/>
                <w:sz w:val="24"/>
              </w:rPr>
              <w:t>投标要求</w:t>
            </w:r>
          </w:p>
        </w:tc>
        <w:tc>
          <w:tcPr>
            <w:tcW w:w="4680" w:type="dxa"/>
            <w:tcBorders>
              <w:top w:val="single" w:color="auto" w:sz="4" w:space="0"/>
              <w:left w:val="single" w:color="auto" w:sz="4" w:space="0"/>
              <w:bottom w:val="single" w:color="auto" w:sz="4" w:space="0"/>
              <w:right w:val="single" w:color="auto" w:sz="4" w:space="0"/>
            </w:tcBorders>
            <w:vAlign w:val="center"/>
          </w:tcPr>
          <w:p w14:paraId="69EF177C">
            <w:pPr>
              <w:spacing w:line="440" w:lineRule="exact"/>
              <w:rPr>
                <w:sz w:val="24"/>
              </w:rPr>
            </w:pPr>
            <w:r>
              <w:rPr>
                <w:rFonts w:hint="eastAsia"/>
                <w:sz w:val="24"/>
              </w:rPr>
              <w:t>不存在本章第 3.1.2 项任何一种情形之一</w:t>
            </w:r>
          </w:p>
        </w:tc>
      </w:tr>
      <w:tr w14:paraId="6CA94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nil"/>
              <w:bottom w:val="single" w:color="auto" w:sz="4" w:space="0"/>
              <w:right w:val="single" w:color="auto" w:sz="4" w:space="0"/>
            </w:tcBorders>
            <w:vAlign w:val="center"/>
          </w:tcPr>
          <w:p w14:paraId="58077AA7">
            <w:pPr>
              <w:spacing w:line="440" w:lineRule="exact"/>
              <w:jc w:val="center"/>
              <w:rPr>
                <w:sz w:val="24"/>
              </w:rPr>
            </w:pPr>
          </w:p>
        </w:tc>
        <w:tc>
          <w:tcPr>
            <w:tcW w:w="1124" w:type="dxa"/>
            <w:vMerge w:val="continue"/>
            <w:tcBorders>
              <w:top w:val="nil"/>
              <w:bottom w:val="single" w:color="auto" w:sz="4" w:space="0"/>
              <w:right w:val="single" w:color="auto" w:sz="4" w:space="0"/>
            </w:tcBorders>
            <w:vAlign w:val="center"/>
          </w:tcPr>
          <w:p w14:paraId="08CE1F76">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60598652">
            <w:pPr>
              <w:spacing w:line="440" w:lineRule="exact"/>
              <w:jc w:val="center"/>
              <w:rPr>
                <w:sz w:val="24"/>
              </w:rPr>
            </w:pPr>
            <w:r>
              <w:rPr>
                <w:rFonts w:hint="eastAsia"/>
                <w:sz w:val="24"/>
              </w:rPr>
              <w:t>……</w:t>
            </w:r>
          </w:p>
        </w:tc>
        <w:tc>
          <w:tcPr>
            <w:tcW w:w="4680" w:type="dxa"/>
            <w:tcBorders>
              <w:top w:val="single" w:color="auto" w:sz="4" w:space="0"/>
              <w:left w:val="single" w:color="auto" w:sz="4" w:space="0"/>
              <w:bottom w:val="single" w:color="auto" w:sz="4" w:space="0"/>
              <w:right w:val="single" w:color="auto" w:sz="4" w:space="0"/>
            </w:tcBorders>
            <w:vAlign w:val="center"/>
          </w:tcPr>
          <w:p w14:paraId="446E459D">
            <w:pPr>
              <w:spacing w:line="440" w:lineRule="exact"/>
              <w:jc w:val="center"/>
              <w:rPr>
                <w:sz w:val="24"/>
              </w:rPr>
            </w:pPr>
            <w:r>
              <w:rPr>
                <w:rFonts w:hint="eastAsia"/>
                <w:sz w:val="24"/>
              </w:rPr>
              <w:t>……</w:t>
            </w:r>
          </w:p>
        </w:tc>
      </w:tr>
      <w:tr w14:paraId="57FC28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restart"/>
            <w:tcBorders>
              <w:top w:val="single" w:color="auto" w:sz="4" w:space="0"/>
              <w:right w:val="single" w:color="auto" w:sz="4" w:space="0"/>
            </w:tcBorders>
            <w:vAlign w:val="center"/>
          </w:tcPr>
          <w:p w14:paraId="62B2E757">
            <w:pPr>
              <w:spacing w:line="440" w:lineRule="exact"/>
              <w:jc w:val="center"/>
              <w:rPr>
                <w:sz w:val="24"/>
              </w:rPr>
            </w:pPr>
          </w:p>
          <w:p w14:paraId="5DCA759C">
            <w:pPr>
              <w:spacing w:line="440" w:lineRule="exact"/>
              <w:jc w:val="center"/>
              <w:rPr>
                <w:sz w:val="24"/>
              </w:rPr>
            </w:pPr>
            <w:r>
              <w:rPr>
                <w:sz w:val="24"/>
              </w:rPr>
              <w:t>2.1.3</w:t>
            </w:r>
          </w:p>
        </w:tc>
        <w:tc>
          <w:tcPr>
            <w:tcW w:w="1124" w:type="dxa"/>
            <w:vMerge w:val="restart"/>
            <w:tcBorders>
              <w:top w:val="single" w:color="auto" w:sz="4" w:space="0"/>
              <w:right w:val="single" w:color="auto" w:sz="4" w:space="0"/>
            </w:tcBorders>
            <w:vAlign w:val="center"/>
          </w:tcPr>
          <w:p w14:paraId="32BA3EEA">
            <w:pPr>
              <w:spacing w:line="440" w:lineRule="exact"/>
              <w:jc w:val="center"/>
              <w:rPr>
                <w:sz w:val="24"/>
              </w:rPr>
            </w:pPr>
          </w:p>
          <w:p w14:paraId="6D229E80">
            <w:pPr>
              <w:spacing w:line="440" w:lineRule="exact"/>
              <w:jc w:val="center"/>
              <w:rPr>
                <w:sz w:val="24"/>
              </w:rPr>
            </w:pPr>
            <w:r>
              <w:rPr>
                <w:sz w:val="24"/>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14:paraId="6872DC3C">
            <w:pPr>
              <w:spacing w:line="440" w:lineRule="exact"/>
              <w:jc w:val="center"/>
              <w:rPr>
                <w:sz w:val="24"/>
              </w:rPr>
            </w:pPr>
            <w:r>
              <w:rPr>
                <w:rFonts w:hint="eastAsia"/>
                <w:sz w:val="24"/>
              </w:rPr>
              <w:t>投标报价</w:t>
            </w:r>
          </w:p>
        </w:tc>
        <w:tc>
          <w:tcPr>
            <w:tcW w:w="4680" w:type="dxa"/>
            <w:tcBorders>
              <w:top w:val="single" w:color="auto" w:sz="4" w:space="0"/>
              <w:left w:val="single" w:color="auto" w:sz="4" w:space="0"/>
              <w:bottom w:val="single" w:color="auto" w:sz="4" w:space="0"/>
              <w:right w:val="single" w:color="auto" w:sz="4" w:space="0"/>
            </w:tcBorders>
            <w:vAlign w:val="center"/>
          </w:tcPr>
          <w:p w14:paraId="6F396964">
            <w:pPr>
              <w:spacing w:line="440" w:lineRule="exact"/>
              <w:rPr>
                <w:sz w:val="24"/>
              </w:rPr>
            </w:pPr>
            <w:r>
              <w:rPr>
                <w:rFonts w:hint="eastAsia"/>
                <w:sz w:val="24"/>
              </w:rPr>
              <w:t>符合第二章“投标人须知”第3.2.4项和第3.2.5项规定</w:t>
            </w:r>
          </w:p>
        </w:tc>
      </w:tr>
      <w:tr w14:paraId="33F26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top w:val="single" w:color="auto" w:sz="4" w:space="0"/>
              <w:right w:val="single" w:color="auto" w:sz="4" w:space="0"/>
            </w:tcBorders>
            <w:vAlign w:val="center"/>
          </w:tcPr>
          <w:p w14:paraId="5DDF111E">
            <w:pPr>
              <w:spacing w:line="440" w:lineRule="exact"/>
              <w:jc w:val="center"/>
              <w:rPr>
                <w:sz w:val="24"/>
              </w:rPr>
            </w:pPr>
          </w:p>
        </w:tc>
        <w:tc>
          <w:tcPr>
            <w:tcW w:w="1124" w:type="dxa"/>
            <w:vMerge w:val="continue"/>
            <w:tcBorders>
              <w:top w:val="single" w:color="auto" w:sz="4" w:space="0"/>
              <w:right w:val="single" w:color="auto" w:sz="4" w:space="0"/>
            </w:tcBorders>
            <w:vAlign w:val="center"/>
          </w:tcPr>
          <w:p w14:paraId="7E1BC5FB">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0D9C80D">
            <w:pPr>
              <w:spacing w:line="440" w:lineRule="exact"/>
              <w:jc w:val="center"/>
              <w:rPr>
                <w:sz w:val="24"/>
              </w:rPr>
            </w:pPr>
            <w:r>
              <w:rPr>
                <w:sz w:val="24"/>
              </w:rPr>
              <w:t>投标内容</w:t>
            </w:r>
          </w:p>
        </w:tc>
        <w:tc>
          <w:tcPr>
            <w:tcW w:w="4680" w:type="dxa"/>
            <w:tcBorders>
              <w:top w:val="single" w:color="auto" w:sz="4" w:space="0"/>
              <w:left w:val="single" w:color="auto" w:sz="4" w:space="0"/>
              <w:bottom w:val="single" w:color="auto" w:sz="4" w:space="0"/>
              <w:right w:val="single" w:color="auto" w:sz="4" w:space="0"/>
            </w:tcBorders>
            <w:vAlign w:val="center"/>
          </w:tcPr>
          <w:p w14:paraId="6785224C">
            <w:pPr>
              <w:spacing w:line="440" w:lineRule="exact"/>
              <w:rPr>
                <w:sz w:val="24"/>
              </w:rPr>
            </w:pPr>
            <w:r>
              <w:rPr>
                <w:sz w:val="24"/>
              </w:rPr>
              <w:t>符合第二章“投标人须知”第1.3.1项规定</w:t>
            </w:r>
          </w:p>
        </w:tc>
      </w:tr>
      <w:tr w14:paraId="559AC1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70513B60">
            <w:pPr>
              <w:spacing w:line="440" w:lineRule="exact"/>
              <w:jc w:val="center"/>
              <w:rPr>
                <w:sz w:val="24"/>
              </w:rPr>
            </w:pPr>
          </w:p>
        </w:tc>
        <w:tc>
          <w:tcPr>
            <w:tcW w:w="1124" w:type="dxa"/>
            <w:vMerge w:val="continue"/>
            <w:tcBorders>
              <w:right w:val="single" w:color="auto" w:sz="4" w:space="0"/>
            </w:tcBorders>
            <w:vAlign w:val="center"/>
          </w:tcPr>
          <w:p w14:paraId="0D79645D">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399DAFE3">
            <w:pPr>
              <w:spacing w:line="440" w:lineRule="exact"/>
              <w:jc w:val="center"/>
              <w:rPr>
                <w:sz w:val="24"/>
              </w:rPr>
            </w:pPr>
            <w:r>
              <w:rPr>
                <w:sz w:val="24"/>
              </w:rPr>
              <w:t>工期</w:t>
            </w:r>
          </w:p>
        </w:tc>
        <w:tc>
          <w:tcPr>
            <w:tcW w:w="4680" w:type="dxa"/>
            <w:tcBorders>
              <w:top w:val="single" w:color="auto" w:sz="4" w:space="0"/>
              <w:left w:val="single" w:color="auto" w:sz="4" w:space="0"/>
              <w:bottom w:val="single" w:color="auto" w:sz="4" w:space="0"/>
              <w:right w:val="single" w:color="auto" w:sz="4" w:space="0"/>
            </w:tcBorders>
            <w:vAlign w:val="center"/>
          </w:tcPr>
          <w:p w14:paraId="50EE95F7">
            <w:pPr>
              <w:spacing w:line="440" w:lineRule="exact"/>
              <w:rPr>
                <w:sz w:val="24"/>
              </w:rPr>
            </w:pPr>
            <w:r>
              <w:rPr>
                <w:sz w:val="24"/>
              </w:rPr>
              <w:t>符合第二章“投标人须知”第1.3.2项规定</w:t>
            </w:r>
          </w:p>
        </w:tc>
      </w:tr>
      <w:tr w14:paraId="5F7C1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7CB2CC6C">
            <w:pPr>
              <w:spacing w:line="440" w:lineRule="exact"/>
              <w:jc w:val="center"/>
              <w:rPr>
                <w:sz w:val="24"/>
              </w:rPr>
            </w:pPr>
          </w:p>
        </w:tc>
        <w:tc>
          <w:tcPr>
            <w:tcW w:w="1124" w:type="dxa"/>
            <w:vMerge w:val="continue"/>
            <w:tcBorders>
              <w:right w:val="single" w:color="auto" w:sz="4" w:space="0"/>
            </w:tcBorders>
            <w:vAlign w:val="center"/>
          </w:tcPr>
          <w:p w14:paraId="43134134">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4EF26A03">
            <w:pPr>
              <w:spacing w:line="440" w:lineRule="exact"/>
              <w:jc w:val="center"/>
              <w:rPr>
                <w:sz w:val="24"/>
              </w:rPr>
            </w:pPr>
            <w:r>
              <w:rPr>
                <w:sz w:val="24"/>
              </w:rPr>
              <w:t>质量标准</w:t>
            </w:r>
          </w:p>
        </w:tc>
        <w:tc>
          <w:tcPr>
            <w:tcW w:w="4680" w:type="dxa"/>
            <w:tcBorders>
              <w:top w:val="single" w:color="auto" w:sz="4" w:space="0"/>
              <w:left w:val="single" w:color="auto" w:sz="4" w:space="0"/>
              <w:bottom w:val="single" w:color="auto" w:sz="4" w:space="0"/>
              <w:right w:val="single" w:color="auto" w:sz="4" w:space="0"/>
            </w:tcBorders>
            <w:vAlign w:val="center"/>
          </w:tcPr>
          <w:p w14:paraId="6B7DAC97">
            <w:pPr>
              <w:spacing w:line="440" w:lineRule="exact"/>
              <w:rPr>
                <w:sz w:val="24"/>
              </w:rPr>
            </w:pPr>
            <w:r>
              <w:rPr>
                <w:sz w:val="24"/>
              </w:rPr>
              <w:t>符合第二章“投标人须知”第1.3.</w:t>
            </w:r>
            <w:r>
              <w:rPr>
                <w:rFonts w:hint="eastAsia"/>
                <w:sz w:val="24"/>
              </w:rPr>
              <w:t>3</w:t>
            </w:r>
            <w:r>
              <w:rPr>
                <w:sz w:val="24"/>
              </w:rPr>
              <w:t>项规定</w:t>
            </w:r>
          </w:p>
        </w:tc>
      </w:tr>
      <w:tr w14:paraId="27E20D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42ACE6FC">
            <w:pPr>
              <w:spacing w:line="440" w:lineRule="exact"/>
              <w:jc w:val="center"/>
              <w:rPr>
                <w:sz w:val="24"/>
              </w:rPr>
            </w:pPr>
          </w:p>
        </w:tc>
        <w:tc>
          <w:tcPr>
            <w:tcW w:w="1124" w:type="dxa"/>
            <w:vMerge w:val="continue"/>
            <w:tcBorders>
              <w:right w:val="single" w:color="auto" w:sz="4" w:space="0"/>
            </w:tcBorders>
            <w:vAlign w:val="center"/>
          </w:tcPr>
          <w:p w14:paraId="1840E304">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21B36F28">
            <w:pPr>
              <w:spacing w:line="440" w:lineRule="exact"/>
              <w:jc w:val="center"/>
              <w:rPr>
                <w:sz w:val="24"/>
              </w:rPr>
            </w:pPr>
            <w:r>
              <w:rPr>
                <w:rFonts w:hint="eastAsia"/>
                <w:sz w:val="24"/>
              </w:rPr>
              <w:t>投标有效期</w:t>
            </w:r>
          </w:p>
        </w:tc>
        <w:tc>
          <w:tcPr>
            <w:tcW w:w="4680" w:type="dxa"/>
            <w:tcBorders>
              <w:top w:val="single" w:color="auto" w:sz="4" w:space="0"/>
              <w:left w:val="single" w:color="auto" w:sz="4" w:space="0"/>
              <w:bottom w:val="single" w:color="auto" w:sz="4" w:space="0"/>
              <w:right w:val="single" w:color="auto" w:sz="4" w:space="0"/>
            </w:tcBorders>
            <w:vAlign w:val="center"/>
          </w:tcPr>
          <w:p w14:paraId="5A896CDE">
            <w:pPr>
              <w:spacing w:line="440" w:lineRule="exact"/>
              <w:rPr>
                <w:sz w:val="24"/>
              </w:rPr>
            </w:pPr>
            <w:r>
              <w:rPr>
                <w:sz w:val="24"/>
              </w:rPr>
              <w:t>符合第二章“投标人须知”第</w:t>
            </w:r>
            <w:r>
              <w:rPr>
                <w:rFonts w:hint="eastAsia"/>
                <w:sz w:val="24"/>
              </w:rPr>
              <w:t>3</w:t>
            </w:r>
            <w:r>
              <w:rPr>
                <w:sz w:val="24"/>
              </w:rPr>
              <w:t>.3.</w:t>
            </w:r>
            <w:r>
              <w:rPr>
                <w:rFonts w:hint="eastAsia"/>
                <w:sz w:val="24"/>
              </w:rPr>
              <w:t>1</w:t>
            </w:r>
            <w:r>
              <w:rPr>
                <w:sz w:val="24"/>
              </w:rPr>
              <w:t>项规</w:t>
            </w:r>
            <w:r>
              <w:rPr>
                <w:rFonts w:hint="eastAsia"/>
                <w:sz w:val="24"/>
              </w:rPr>
              <w:t>定</w:t>
            </w:r>
          </w:p>
        </w:tc>
      </w:tr>
      <w:tr w14:paraId="40F754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0C236BA2">
            <w:pPr>
              <w:spacing w:line="440" w:lineRule="exact"/>
              <w:jc w:val="center"/>
              <w:rPr>
                <w:sz w:val="24"/>
              </w:rPr>
            </w:pPr>
          </w:p>
        </w:tc>
        <w:tc>
          <w:tcPr>
            <w:tcW w:w="1124" w:type="dxa"/>
            <w:vMerge w:val="continue"/>
            <w:tcBorders>
              <w:right w:val="single" w:color="auto" w:sz="4" w:space="0"/>
            </w:tcBorders>
            <w:vAlign w:val="center"/>
          </w:tcPr>
          <w:p w14:paraId="78F09F3A">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7C8BC709">
            <w:pPr>
              <w:spacing w:line="440" w:lineRule="exact"/>
              <w:jc w:val="center"/>
              <w:rPr>
                <w:sz w:val="24"/>
              </w:rPr>
            </w:pPr>
            <w:r>
              <w:rPr>
                <w:sz w:val="24"/>
              </w:rPr>
              <w:t>投标保证金</w:t>
            </w:r>
          </w:p>
        </w:tc>
        <w:tc>
          <w:tcPr>
            <w:tcW w:w="4680" w:type="dxa"/>
            <w:tcBorders>
              <w:top w:val="single" w:color="auto" w:sz="4" w:space="0"/>
              <w:left w:val="single" w:color="auto" w:sz="4" w:space="0"/>
              <w:bottom w:val="single" w:color="auto" w:sz="4" w:space="0"/>
              <w:right w:val="single" w:color="auto" w:sz="4" w:space="0"/>
            </w:tcBorders>
            <w:vAlign w:val="center"/>
          </w:tcPr>
          <w:p w14:paraId="1DD0BC64">
            <w:pPr>
              <w:spacing w:line="440" w:lineRule="exact"/>
              <w:rPr>
                <w:sz w:val="24"/>
              </w:rPr>
            </w:pPr>
            <w:r>
              <w:rPr>
                <w:sz w:val="24"/>
              </w:rPr>
              <w:t>符合第二章“投标人须知”第3.4款规定</w:t>
            </w:r>
          </w:p>
        </w:tc>
      </w:tr>
      <w:tr w14:paraId="0CFB0A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26D33179">
            <w:pPr>
              <w:spacing w:line="440" w:lineRule="exact"/>
              <w:jc w:val="center"/>
              <w:rPr>
                <w:sz w:val="24"/>
              </w:rPr>
            </w:pPr>
          </w:p>
        </w:tc>
        <w:tc>
          <w:tcPr>
            <w:tcW w:w="1124" w:type="dxa"/>
            <w:vMerge w:val="continue"/>
            <w:tcBorders>
              <w:right w:val="single" w:color="auto" w:sz="4" w:space="0"/>
            </w:tcBorders>
            <w:vAlign w:val="center"/>
          </w:tcPr>
          <w:p w14:paraId="46D09869">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3338EFE1">
            <w:pPr>
              <w:spacing w:line="440" w:lineRule="exact"/>
              <w:jc w:val="center"/>
              <w:rPr>
                <w:sz w:val="24"/>
              </w:rPr>
            </w:pPr>
            <w:r>
              <w:rPr>
                <w:sz w:val="24"/>
              </w:rPr>
              <w:t>权利义务</w:t>
            </w:r>
          </w:p>
        </w:tc>
        <w:tc>
          <w:tcPr>
            <w:tcW w:w="4680" w:type="dxa"/>
            <w:tcBorders>
              <w:top w:val="single" w:color="auto" w:sz="4" w:space="0"/>
              <w:left w:val="single" w:color="auto" w:sz="4" w:space="0"/>
              <w:bottom w:val="single" w:color="auto" w:sz="4" w:space="0"/>
              <w:right w:val="single" w:color="auto" w:sz="4" w:space="0"/>
            </w:tcBorders>
            <w:vAlign w:val="center"/>
          </w:tcPr>
          <w:p w14:paraId="1C0AF867">
            <w:pPr>
              <w:spacing w:line="440" w:lineRule="exact"/>
              <w:rPr>
                <w:sz w:val="24"/>
              </w:rPr>
            </w:pPr>
            <w:r>
              <w:rPr>
                <w:sz w:val="24"/>
              </w:rPr>
              <w:t>符合第四章“合同条款及格式”规定的权利义务</w:t>
            </w:r>
          </w:p>
        </w:tc>
      </w:tr>
      <w:tr w14:paraId="7BB791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right w:val="single" w:color="auto" w:sz="4" w:space="0"/>
            </w:tcBorders>
            <w:vAlign w:val="center"/>
          </w:tcPr>
          <w:p w14:paraId="0D5C1880">
            <w:pPr>
              <w:spacing w:line="440" w:lineRule="exact"/>
              <w:jc w:val="center"/>
              <w:rPr>
                <w:sz w:val="24"/>
              </w:rPr>
            </w:pPr>
          </w:p>
        </w:tc>
        <w:tc>
          <w:tcPr>
            <w:tcW w:w="1124" w:type="dxa"/>
            <w:vMerge w:val="continue"/>
            <w:tcBorders>
              <w:right w:val="single" w:color="auto" w:sz="4" w:space="0"/>
            </w:tcBorders>
            <w:vAlign w:val="center"/>
          </w:tcPr>
          <w:p w14:paraId="20A5DA62">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3701595">
            <w:pPr>
              <w:spacing w:line="440" w:lineRule="exact"/>
              <w:jc w:val="center"/>
              <w:rPr>
                <w:sz w:val="24"/>
              </w:rPr>
            </w:pPr>
            <w:r>
              <w:rPr>
                <w:rFonts w:hint="eastAsia"/>
                <w:sz w:val="24"/>
              </w:rPr>
              <w:t>承包人建议</w:t>
            </w:r>
          </w:p>
        </w:tc>
        <w:tc>
          <w:tcPr>
            <w:tcW w:w="4680" w:type="dxa"/>
            <w:tcBorders>
              <w:top w:val="single" w:color="auto" w:sz="4" w:space="0"/>
              <w:left w:val="single" w:color="auto" w:sz="4" w:space="0"/>
              <w:bottom w:val="single" w:color="auto" w:sz="4" w:space="0"/>
              <w:right w:val="single" w:color="auto" w:sz="4" w:space="0"/>
            </w:tcBorders>
            <w:vAlign w:val="center"/>
          </w:tcPr>
          <w:p w14:paraId="1B8427E9">
            <w:pPr>
              <w:spacing w:line="440" w:lineRule="exact"/>
              <w:rPr>
                <w:sz w:val="24"/>
              </w:rPr>
            </w:pPr>
            <w:r>
              <w:rPr>
                <w:rFonts w:hint="eastAsia"/>
                <w:sz w:val="24"/>
              </w:rPr>
              <w:t>符合第五章“发包人要求”的规定</w:t>
            </w:r>
          </w:p>
        </w:tc>
      </w:tr>
      <w:tr w14:paraId="618261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bottom w:val="single" w:color="auto" w:sz="4" w:space="0"/>
              <w:right w:val="single" w:color="auto" w:sz="4" w:space="0"/>
            </w:tcBorders>
            <w:vAlign w:val="center"/>
          </w:tcPr>
          <w:p w14:paraId="65319F7E">
            <w:pPr>
              <w:spacing w:line="440" w:lineRule="exact"/>
              <w:rPr>
                <w:sz w:val="24"/>
              </w:rPr>
            </w:pPr>
          </w:p>
        </w:tc>
        <w:tc>
          <w:tcPr>
            <w:tcW w:w="1124" w:type="dxa"/>
            <w:vMerge w:val="continue"/>
            <w:tcBorders>
              <w:bottom w:val="single" w:color="auto" w:sz="4" w:space="0"/>
              <w:right w:val="single" w:color="auto" w:sz="4" w:space="0"/>
            </w:tcBorders>
            <w:vAlign w:val="center"/>
          </w:tcPr>
          <w:p w14:paraId="51405207">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54D06A94">
            <w:pPr>
              <w:spacing w:line="440" w:lineRule="exact"/>
              <w:jc w:val="center"/>
              <w:rPr>
                <w:sz w:val="24"/>
              </w:rPr>
            </w:pPr>
            <w:r>
              <w:rPr>
                <w:rFonts w:hint="eastAsia"/>
                <w:sz w:val="24"/>
              </w:rPr>
              <w:t>……</w:t>
            </w:r>
          </w:p>
        </w:tc>
        <w:tc>
          <w:tcPr>
            <w:tcW w:w="4680" w:type="dxa"/>
            <w:tcBorders>
              <w:top w:val="single" w:color="auto" w:sz="4" w:space="0"/>
              <w:left w:val="single" w:color="auto" w:sz="4" w:space="0"/>
              <w:bottom w:val="single" w:color="auto" w:sz="4" w:space="0"/>
              <w:right w:val="single" w:color="auto" w:sz="4" w:space="0"/>
            </w:tcBorders>
            <w:vAlign w:val="center"/>
          </w:tcPr>
          <w:p w14:paraId="730A9E3A">
            <w:pPr>
              <w:spacing w:line="440" w:lineRule="exact"/>
              <w:jc w:val="center"/>
              <w:rPr>
                <w:sz w:val="24"/>
              </w:rPr>
            </w:pPr>
            <w:r>
              <w:rPr>
                <w:rFonts w:hint="eastAsia"/>
                <w:sz w:val="24"/>
              </w:rPr>
              <w:t>……</w:t>
            </w:r>
          </w:p>
        </w:tc>
      </w:tr>
      <w:tr w14:paraId="055B48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14:paraId="6902BE07">
            <w:pPr>
              <w:spacing w:line="440" w:lineRule="exact"/>
              <w:jc w:val="center"/>
              <w:rPr>
                <w:b/>
                <w:sz w:val="24"/>
              </w:rPr>
            </w:pPr>
            <w:r>
              <w:rPr>
                <w:b/>
                <w:sz w:val="24"/>
              </w:rPr>
              <w:t>条款号</w:t>
            </w:r>
          </w:p>
        </w:tc>
        <w:tc>
          <w:tcPr>
            <w:tcW w:w="2476" w:type="dxa"/>
            <w:tcBorders>
              <w:top w:val="single" w:color="auto" w:sz="4" w:space="0"/>
              <w:left w:val="single" w:color="auto" w:sz="4" w:space="0"/>
              <w:bottom w:val="single" w:color="auto" w:sz="4" w:space="0"/>
              <w:right w:val="single" w:color="auto" w:sz="4" w:space="0"/>
            </w:tcBorders>
            <w:vAlign w:val="center"/>
          </w:tcPr>
          <w:p w14:paraId="0673CF6C">
            <w:pPr>
              <w:spacing w:line="440" w:lineRule="exact"/>
              <w:jc w:val="center"/>
              <w:rPr>
                <w:sz w:val="24"/>
              </w:rPr>
            </w:pPr>
            <w:r>
              <w:rPr>
                <w:sz w:val="24"/>
              </w:rPr>
              <w:t>条款内容</w:t>
            </w:r>
          </w:p>
        </w:tc>
        <w:tc>
          <w:tcPr>
            <w:tcW w:w="4680" w:type="dxa"/>
            <w:tcBorders>
              <w:top w:val="single" w:color="auto" w:sz="4" w:space="0"/>
              <w:left w:val="single" w:color="auto" w:sz="4" w:space="0"/>
              <w:bottom w:val="single" w:color="auto" w:sz="4" w:space="0"/>
              <w:right w:val="single" w:color="auto" w:sz="4" w:space="0"/>
            </w:tcBorders>
            <w:vAlign w:val="center"/>
          </w:tcPr>
          <w:p w14:paraId="3763BD9D">
            <w:pPr>
              <w:spacing w:line="440" w:lineRule="exact"/>
              <w:jc w:val="center"/>
              <w:rPr>
                <w:b/>
                <w:sz w:val="24"/>
              </w:rPr>
            </w:pPr>
            <w:r>
              <w:rPr>
                <w:b/>
                <w:sz w:val="24"/>
              </w:rPr>
              <w:t>编列内容</w:t>
            </w:r>
          </w:p>
        </w:tc>
      </w:tr>
      <w:tr w14:paraId="5644E1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14:paraId="31889BF3">
            <w:pPr>
              <w:spacing w:line="440" w:lineRule="exact"/>
              <w:jc w:val="center"/>
              <w:rPr>
                <w:sz w:val="24"/>
              </w:rPr>
            </w:pPr>
            <w:r>
              <w:rPr>
                <w:sz w:val="24"/>
              </w:rPr>
              <w:t>2.2.1</w:t>
            </w:r>
          </w:p>
        </w:tc>
        <w:tc>
          <w:tcPr>
            <w:tcW w:w="2476" w:type="dxa"/>
            <w:tcBorders>
              <w:top w:val="single" w:color="auto" w:sz="4" w:space="0"/>
              <w:left w:val="single" w:color="auto" w:sz="4" w:space="0"/>
              <w:bottom w:val="single" w:color="auto" w:sz="4" w:space="0"/>
              <w:right w:val="single" w:color="auto" w:sz="4" w:space="0"/>
            </w:tcBorders>
            <w:vAlign w:val="center"/>
          </w:tcPr>
          <w:p w14:paraId="26FD2C67">
            <w:pPr>
              <w:spacing w:line="440" w:lineRule="exact"/>
              <w:jc w:val="center"/>
              <w:rPr>
                <w:sz w:val="24"/>
              </w:rPr>
            </w:pPr>
            <w:r>
              <w:rPr>
                <w:sz w:val="24"/>
              </w:rPr>
              <w:t>分值构成</w:t>
            </w:r>
          </w:p>
          <w:p w14:paraId="6F2EA6B2">
            <w:pPr>
              <w:spacing w:line="440" w:lineRule="exact"/>
              <w:jc w:val="center"/>
              <w:rPr>
                <w:sz w:val="24"/>
              </w:rPr>
            </w:pPr>
            <w:r>
              <w:rPr>
                <w:sz w:val="24"/>
              </w:rPr>
              <w:t>(总分100分)</w:t>
            </w:r>
          </w:p>
        </w:tc>
        <w:tc>
          <w:tcPr>
            <w:tcW w:w="4680" w:type="dxa"/>
            <w:tcBorders>
              <w:top w:val="single" w:color="auto" w:sz="4" w:space="0"/>
              <w:left w:val="single" w:color="auto" w:sz="4" w:space="0"/>
              <w:bottom w:val="single" w:color="auto" w:sz="4" w:space="0"/>
              <w:right w:val="single" w:color="auto" w:sz="4" w:space="0"/>
            </w:tcBorders>
            <w:vAlign w:val="center"/>
          </w:tcPr>
          <w:p w14:paraId="79F58E9D">
            <w:pPr>
              <w:spacing w:line="440" w:lineRule="exact"/>
              <w:rPr>
                <w:sz w:val="24"/>
              </w:rPr>
            </w:pPr>
            <w:r>
              <w:rPr>
                <w:rFonts w:hint="eastAsia"/>
                <w:sz w:val="24"/>
              </w:rPr>
              <w:t>承包人建议书：</w:t>
            </w:r>
            <w:r>
              <w:rPr>
                <w:sz w:val="24"/>
                <w:u w:val="single"/>
              </w:rPr>
              <w:t xml:space="preserve">   </w:t>
            </w:r>
            <w:r>
              <w:rPr>
                <w:rFonts w:hint="eastAsia"/>
                <w:sz w:val="24"/>
                <w:u w:val="single"/>
              </w:rPr>
              <w:t xml:space="preserve"> </w:t>
            </w:r>
            <w:r>
              <w:rPr>
                <w:rFonts w:hint="eastAsia"/>
                <w:sz w:val="24"/>
                <w:u w:val="single"/>
                <w:lang w:val="en-US" w:eastAsia="zh-CN"/>
              </w:rPr>
              <w:t>0</w:t>
            </w:r>
            <w:r>
              <w:rPr>
                <w:rFonts w:hint="eastAsia"/>
                <w:sz w:val="24"/>
                <w:u w:val="single"/>
              </w:rPr>
              <w:t xml:space="preserve">    </w:t>
            </w:r>
            <w:r>
              <w:rPr>
                <w:sz w:val="24"/>
                <w:u w:val="single"/>
              </w:rPr>
              <w:t xml:space="preserve"> </w:t>
            </w:r>
            <w:r>
              <w:rPr>
                <w:sz w:val="24"/>
              </w:rPr>
              <w:t>分</w:t>
            </w:r>
          </w:p>
          <w:p w14:paraId="6BDE72E3">
            <w:pPr>
              <w:spacing w:line="440" w:lineRule="exact"/>
              <w:rPr>
                <w:sz w:val="24"/>
              </w:rPr>
            </w:pPr>
            <w:r>
              <w:rPr>
                <w:rFonts w:hint="eastAsia"/>
                <w:sz w:val="24"/>
              </w:rPr>
              <w:t>资信业绩部分</w:t>
            </w:r>
            <w:r>
              <w:rPr>
                <w:sz w:val="24"/>
              </w:rPr>
              <w:t>：</w:t>
            </w:r>
            <w:r>
              <w:rPr>
                <w:sz w:val="24"/>
                <w:u w:val="single"/>
              </w:rPr>
              <w:t xml:space="preserve">    </w:t>
            </w:r>
            <w:r>
              <w:rPr>
                <w:rFonts w:hint="eastAsia"/>
                <w:sz w:val="24"/>
                <w:u w:val="single"/>
                <w:lang w:val="en-US" w:eastAsia="zh-CN"/>
              </w:rPr>
              <w:t>6</w:t>
            </w:r>
            <w:r>
              <w:rPr>
                <w:rFonts w:hint="eastAsia"/>
                <w:sz w:val="24"/>
                <w:u w:val="single"/>
              </w:rPr>
              <w:t xml:space="preserve">  </w:t>
            </w:r>
            <w:r>
              <w:rPr>
                <w:sz w:val="24"/>
                <w:u w:val="single"/>
              </w:rPr>
              <w:t xml:space="preserve">   </w:t>
            </w:r>
            <w:r>
              <w:rPr>
                <w:sz w:val="24"/>
              </w:rPr>
              <w:t>分</w:t>
            </w:r>
          </w:p>
          <w:p w14:paraId="29808C9D">
            <w:pPr>
              <w:spacing w:line="440" w:lineRule="exact"/>
              <w:rPr>
                <w:sz w:val="24"/>
              </w:rPr>
            </w:pPr>
            <w:r>
              <w:rPr>
                <w:rFonts w:hint="eastAsia"/>
                <w:sz w:val="24"/>
              </w:rPr>
              <w:t>承包人实施方案：</w:t>
            </w:r>
            <w:r>
              <w:rPr>
                <w:sz w:val="24"/>
                <w:u w:val="single"/>
              </w:rPr>
              <w:t xml:space="preserve">   </w:t>
            </w:r>
            <w:r>
              <w:rPr>
                <w:rFonts w:hint="eastAsia"/>
                <w:sz w:val="24"/>
                <w:u w:val="single"/>
                <w:lang w:val="en-US" w:eastAsia="zh-CN"/>
              </w:rPr>
              <w:t>25</w:t>
            </w:r>
            <w:r>
              <w:rPr>
                <w:sz w:val="24"/>
                <w:u w:val="single"/>
              </w:rPr>
              <w:t xml:space="preserve">    </w:t>
            </w:r>
            <w:r>
              <w:rPr>
                <w:sz w:val="24"/>
              </w:rPr>
              <w:t>分</w:t>
            </w:r>
          </w:p>
          <w:p w14:paraId="60C2FBF6">
            <w:pPr>
              <w:spacing w:line="440" w:lineRule="exact"/>
              <w:rPr>
                <w:sz w:val="24"/>
              </w:rPr>
            </w:pPr>
            <w:r>
              <w:rPr>
                <w:rFonts w:hint="eastAsia"/>
                <w:sz w:val="24"/>
              </w:rPr>
              <w:t>投标报价：</w:t>
            </w:r>
            <w:r>
              <w:rPr>
                <w:sz w:val="24"/>
                <w:u w:val="single"/>
              </w:rPr>
              <w:t xml:space="preserve">     </w:t>
            </w:r>
            <w:r>
              <w:rPr>
                <w:rFonts w:hint="eastAsia"/>
                <w:sz w:val="24"/>
                <w:u w:val="single"/>
                <w:lang w:val="en-US" w:eastAsia="zh-CN"/>
              </w:rPr>
              <w:t>60</w:t>
            </w:r>
            <w:r>
              <w:rPr>
                <w:sz w:val="24"/>
                <w:u w:val="single"/>
              </w:rPr>
              <w:t xml:space="preserve">  </w:t>
            </w:r>
            <w:r>
              <w:rPr>
                <w:rFonts w:hint="eastAsia"/>
                <w:sz w:val="24"/>
                <w:u w:val="single"/>
              </w:rPr>
              <w:t xml:space="preserve"> </w:t>
            </w:r>
            <w:r>
              <w:rPr>
                <w:sz w:val="24"/>
                <w:u w:val="single"/>
              </w:rPr>
              <w:t xml:space="preserve"> </w:t>
            </w:r>
            <w:r>
              <w:rPr>
                <w:sz w:val="24"/>
              </w:rPr>
              <w:t>分</w:t>
            </w:r>
            <w:r>
              <w:rPr>
                <w:rFonts w:hint="eastAsia"/>
                <w:sz w:val="24"/>
              </w:rPr>
              <w:t>（不低于60分）</w:t>
            </w:r>
          </w:p>
          <w:p w14:paraId="287CD342">
            <w:pPr>
              <w:spacing w:line="440" w:lineRule="exact"/>
              <w:rPr>
                <w:sz w:val="24"/>
              </w:rPr>
            </w:pPr>
            <w:r>
              <w:rPr>
                <w:sz w:val="24"/>
              </w:rPr>
              <w:t>其他评分因素：</w:t>
            </w:r>
            <w:r>
              <w:rPr>
                <w:sz w:val="24"/>
                <w:u w:val="single"/>
              </w:rPr>
              <w:t xml:space="preserve">   </w:t>
            </w:r>
            <w:r>
              <w:rPr>
                <w:rFonts w:hint="eastAsia"/>
                <w:sz w:val="24"/>
                <w:u w:val="single"/>
              </w:rPr>
              <w:t xml:space="preserve"> </w:t>
            </w:r>
            <w:r>
              <w:rPr>
                <w:rFonts w:hint="eastAsia"/>
                <w:sz w:val="24"/>
                <w:u w:val="single"/>
                <w:lang w:val="en-US" w:eastAsia="zh-CN"/>
              </w:rPr>
              <w:t>9</w:t>
            </w:r>
            <w:r>
              <w:rPr>
                <w:rFonts w:hint="eastAsia"/>
                <w:sz w:val="24"/>
                <w:u w:val="single"/>
              </w:rPr>
              <w:t xml:space="preserve"> </w:t>
            </w:r>
            <w:r>
              <w:rPr>
                <w:sz w:val="24"/>
                <w:u w:val="single"/>
              </w:rPr>
              <w:t xml:space="preserve">    </w:t>
            </w:r>
            <w:r>
              <w:rPr>
                <w:sz w:val="24"/>
              </w:rPr>
              <w:t>分</w:t>
            </w:r>
          </w:p>
        </w:tc>
      </w:tr>
      <w:tr w14:paraId="4559A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14:paraId="74D86B72">
            <w:pPr>
              <w:spacing w:line="440" w:lineRule="exact"/>
              <w:jc w:val="center"/>
              <w:rPr>
                <w:sz w:val="24"/>
              </w:rPr>
            </w:pPr>
            <w:r>
              <w:rPr>
                <w:rFonts w:hint="eastAsia"/>
                <w:sz w:val="24"/>
              </w:rPr>
              <w:t>3.2.4</w:t>
            </w:r>
          </w:p>
        </w:tc>
        <w:tc>
          <w:tcPr>
            <w:tcW w:w="2476" w:type="dxa"/>
            <w:tcBorders>
              <w:top w:val="single" w:color="auto" w:sz="4" w:space="0"/>
              <w:left w:val="single" w:color="auto" w:sz="4" w:space="0"/>
              <w:bottom w:val="single" w:color="auto" w:sz="4" w:space="0"/>
              <w:right w:val="single" w:color="auto" w:sz="4" w:space="0"/>
            </w:tcBorders>
            <w:vAlign w:val="bottom"/>
          </w:tcPr>
          <w:p w14:paraId="6C62F38A">
            <w:pPr>
              <w:spacing w:line="360" w:lineRule="auto"/>
              <w:jc w:val="center"/>
              <w:rPr>
                <w:rFonts w:ascii="宋体" w:hAnsi="宋体" w:cs="宋体"/>
                <w:sz w:val="24"/>
              </w:rPr>
            </w:pPr>
            <w:r>
              <w:rPr>
                <w:rFonts w:hint="eastAsia" w:ascii="宋体" w:hAnsi="宋体" w:cs="宋体"/>
                <w:sz w:val="24"/>
              </w:rPr>
              <w:t>低于成本</w:t>
            </w:r>
          </w:p>
          <w:p w14:paraId="6ED3C565">
            <w:pPr>
              <w:spacing w:line="360" w:lineRule="auto"/>
              <w:jc w:val="center"/>
              <w:rPr>
                <w:sz w:val="24"/>
              </w:rPr>
            </w:pPr>
            <w:r>
              <w:rPr>
                <w:rFonts w:hint="eastAsia" w:ascii="宋体" w:hAnsi="宋体" w:cs="宋体"/>
                <w:sz w:val="24"/>
              </w:rPr>
              <w:t>评审</w:t>
            </w:r>
          </w:p>
        </w:tc>
        <w:tc>
          <w:tcPr>
            <w:tcW w:w="4680" w:type="dxa"/>
            <w:tcBorders>
              <w:top w:val="single" w:color="auto" w:sz="4" w:space="0"/>
              <w:left w:val="single" w:color="auto" w:sz="4" w:space="0"/>
              <w:bottom w:val="single" w:color="auto" w:sz="4" w:space="0"/>
              <w:right w:val="single" w:color="auto" w:sz="4" w:space="0"/>
            </w:tcBorders>
            <w:vAlign w:val="center"/>
          </w:tcPr>
          <w:p w14:paraId="485D54C4">
            <w:pPr>
              <w:spacing w:line="360" w:lineRule="auto"/>
              <w:rPr>
                <w:sz w:val="24"/>
              </w:rPr>
            </w:pPr>
            <w:r>
              <w:rPr>
                <w:rFonts w:hint="eastAsia" w:ascii="宋体" w:hAnsi="宋体" w:cs="宋体"/>
                <w:sz w:val="24"/>
              </w:rPr>
              <w:t>按照第二章“投标人须知”第9.4项规定进行评审。</w:t>
            </w:r>
          </w:p>
        </w:tc>
      </w:tr>
      <w:tr w14:paraId="1F7CE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14:paraId="14144FD2">
            <w:pPr>
              <w:spacing w:line="440" w:lineRule="exact"/>
              <w:jc w:val="center"/>
              <w:rPr>
                <w:sz w:val="24"/>
              </w:rPr>
            </w:pPr>
            <w:r>
              <w:rPr>
                <w:sz w:val="24"/>
              </w:rPr>
              <w:t>2.2.2</w:t>
            </w:r>
          </w:p>
        </w:tc>
        <w:tc>
          <w:tcPr>
            <w:tcW w:w="2476" w:type="dxa"/>
            <w:tcBorders>
              <w:top w:val="single" w:color="auto" w:sz="4" w:space="0"/>
              <w:left w:val="single" w:color="auto" w:sz="4" w:space="0"/>
              <w:bottom w:val="single" w:color="auto" w:sz="4" w:space="0"/>
              <w:right w:val="single" w:color="auto" w:sz="4" w:space="0"/>
            </w:tcBorders>
            <w:vAlign w:val="center"/>
          </w:tcPr>
          <w:p w14:paraId="2D616165">
            <w:pPr>
              <w:spacing w:line="440" w:lineRule="exact"/>
              <w:jc w:val="center"/>
              <w:rPr>
                <w:sz w:val="24"/>
              </w:rPr>
            </w:pPr>
            <w:r>
              <w:rPr>
                <w:sz w:val="24"/>
              </w:rPr>
              <w:t>评标基准价计算</w:t>
            </w:r>
            <w:r>
              <w:rPr>
                <w:rFonts w:hint="eastAsia"/>
                <w:sz w:val="24"/>
              </w:rPr>
              <w:t>方法</w:t>
            </w:r>
          </w:p>
        </w:tc>
        <w:tc>
          <w:tcPr>
            <w:tcW w:w="4680" w:type="dxa"/>
            <w:tcBorders>
              <w:top w:val="single" w:color="auto" w:sz="4" w:space="0"/>
              <w:left w:val="single" w:color="auto" w:sz="4" w:space="0"/>
              <w:bottom w:val="single" w:color="auto" w:sz="4" w:space="0"/>
              <w:right w:val="single" w:color="auto" w:sz="4" w:space="0"/>
            </w:tcBorders>
            <w:vAlign w:val="center"/>
          </w:tcPr>
          <w:p w14:paraId="0E4E5CB9">
            <w:pPr>
              <w:spacing w:line="360" w:lineRule="auto"/>
              <w:rPr>
                <w:rFonts w:ascii="宋体" w:hAnsi="宋体" w:cs="宋体"/>
                <w:sz w:val="24"/>
              </w:rPr>
            </w:pPr>
            <w:r>
              <w:rPr>
                <w:rFonts w:hint="eastAsia" w:ascii="宋体" w:hAnsi="宋体" w:cs="宋体"/>
                <w:sz w:val="24"/>
              </w:rPr>
              <w:t>采用下列方式：</w:t>
            </w:r>
          </w:p>
          <w:p w14:paraId="6F146298">
            <w:pPr>
              <w:spacing w:line="360" w:lineRule="auto"/>
              <w:rPr>
                <w:rFonts w:ascii="宋体" w:hAnsi="宋体" w:cs="宋体"/>
                <w:sz w:val="24"/>
              </w:rPr>
            </w:pPr>
            <w:sdt>
              <w:sdtPr>
                <w:rPr>
                  <w:rFonts w:hint="eastAsia" w:ascii="宋体" w:hAnsi="宋体" w:eastAsia="宋体" w:cs="宋体"/>
                  <w:kern w:val="2"/>
                  <w:sz w:val="24"/>
                  <w:szCs w:val="24"/>
                  <w:lang w:val="en-US" w:eastAsia="zh-CN" w:bidi="ar-SA"/>
                </w:rPr>
                <w:id w:val="147478202"/>
                <w14:checkbox>
                  <w14:checked w14:val="1"/>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kern w:val="2"/>
                    <w:sz w:val="21"/>
                    <w:szCs w:val="24"/>
                    <w:lang w:val="en-US" w:eastAsia="zh-CN" w:bidi="ar-SA"/>
                  </w:rPr>
                  <w:t>☑</w:t>
                </w:r>
              </w:sdtContent>
            </w:sdt>
            <w:r>
              <w:rPr>
                <w:rFonts w:hint="eastAsia" w:ascii="宋体" w:hAnsi="宋体" w:cs="宋体"/>
                <w:sz w:val="24"/>
              </w:rPr>
              <w:t>A方式：采用有效投标报价（经初步评审合格且不低于成本的投标报价；报价有修正的，以修正后的价格为准）中最低报价为评标基准价，计算公式为：</w:t>
            </w:r>
          </w:p>
          <w:p w14:paraId="44422948">
            <w:pPr>
              <w:spacing w:line="360" w:lineRule="auto"/>
              <w:rPr>
                <w:rFonts w:ascii="宋体" w:hAnsi="宋体" w:cs="宋体"/>
                <w:sz w:val="24"/>
              </w:rPr>
            </w:pPr>
            <w:r>
              <w:rPr>
                <w:rFonts w:hint="eastAsia" w:ascii="宋体" w:hAnsi="宋体" w:cs="宋体"/>
                <w:sz w:val="24"/>
              </w:rPr>
              <w:t>S（评标基准价）=amin，amin为有效的最低投标报价。</w:t>
            </w:r>
          </w:p>
          <w:p w14:paraId="29F1B7B5">
            <w:pPr>
              <w:spacing w:line="360" w:lineRule="auto"/>
              <w:rPr>
                <w:rFonts w:ascii="宋体" w:hAnsi="宋体" w:cs="宋体"/>
                <w:sz w:val="24"/>
              </w:rPr>
            </w:pPr>
            <w:sdt>
              <w:sdtPr>
                <w:rPr>
                  <w:rFonts w:hint="eastAsia" w:ascii="宋体" w:hAnsi="宋体" w:eastAsia="宋体" w:cs="宋体"/>
                  <w:kern w:val="2"/>
                  <w:sz w:val="24"/>
                  <w:szCs w:val="24"/>
                  <w:lang w:val="en-US" w:eastAsia="zh-CN" w:bidi="ar-SA"/>
                </w:rPr>
                <w:id w:val="147478212"/>
                <w14:checkbox>
                  <w14:checked w14:val="0"/>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rPr>
                  <w:t>☐</w:t>
                </w:r>
              </w:sdtContent>
            </w:sdt>
            <w:r>
              <w:rPr>
                <w:rFonts w:hint="eastAsia" w:ascii="宋体" w:hAnsi="宋体" w:cs="宋体"/>
                <w:sz w:val="24"/>
              </w:rPr>
              <w:t>B方式：采用有效投标报价（经初步评审合格且不低于成本的投标报价；报价有修正的，以修正后的价格为准）的算术平均值为评标基准价，计算公式为：</w:t>
            </w:r>
          </w:p>
          <w:p w14:paraId="40FFF9FC">
            <w:pPr>
              <w:spacing w:line="360" w:lineRule="auto"/>
              <w:rPr>
                <w:rFonts w:ascii="宋体" w:hAnsi="宋体" w:cs="宋体"/>
                <w:sz w:val="24"/>
              </w:rPr>
            </w:pPr>
            <w:r>
              <w:rPr>
                <w:rFonts w:hint="eastAsia" w:ascii="宋体" w:hAnsi="宋体" w:cs="宋体"/>
                <w:sz w:val="24"/>
              </w:rPr>
              <w:t>S（评标基准价）=（a1 +……+an）/n，a为有效的投标报价。</w:t>
            </w:r>
          </w:p>
          <w:p w14:paraId="138AB7D3">
            <w:pPr>
              <w:spacing w:line="440" w:lineRule="exact"/>
              <w:rPr>
                <w:sz w:val="24"/>
              </w:rPr>
            </w:pPr>
            <w:r>
              <w:rPr>
                <w:rFonts w:hint="eastAsia" w:ascii="宋体" w:hAnsi="宋体" w:cs="宋体"/>
                <w:sz w:val="24"/>
              </w:rPr>
              <w:t>注：评标基准价小数点后保留两位。</w:t>
            </w:r>
          </w:p>
        </w:tc>
      </w:tr>
      <w:tr w14:paraId="66F97E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2024" w:type="dxa"/>
            <w:gridSpan w:val="2"/>
            <w:tcBorders>
              <w:top w:val="single" w:color="auto" w:sz="4" w:space="0"/>
              <w:bottom w:val="single" w:color="auto" w:sz="4" w:space="0"/>
              <w:right w:val="single" w:color="auto" w:sz="4" w:space="0"/>
            </w:tcBorders>
            <w:vAlign w:val="center"/>
          </w:tcPr>
          <w:p w14:paraId="1D9937F4">
            <w:pPr>
              <w:spacing w:line="440" w:lineRule="exact"/>
              <w:jc w:val="center"/>
              <w:rPr>
                <w:sz w:val="24"/>
              </w:rPr>
            </w:pPr>
            <w:r>
              <w:rPr>
                <w:sz w:val="24"/>
              </w:rPr>
              <w:t>2.2.3</w:t>
            </w:r>
          </w:p>
        </w:tc>
        <w:tc>
          <w:tcPr>
            <w:tcW w:w="2476" w:type="dxa"/>
            <w:tcBorders>
              <w:top w:val="single" w:color="auto" w:sz="4" w:space="0"/>
              <w:left w:val="single" w:color="auto" w:sz="4" w:space="0"/>
              <w:right w:val="single" w:color="auto" w:sz="4" w:space="0"/>
            </w:tcBorders>
            <w:vAlign w:val="center"/>
          </w:tcPr>
          <w:p w14:paraId="35767D35">
            <w:pPr>
              <w:spacing w:line="440" w:lineRule="exact"/>
              <w:jc w:val="center"/>
              <w:rPr>
                <w:sz w:val="24"/>
              </w:rPr>
            </w:pPr>
            <w:r>
              <w:rPr>
                <w:sz w:val="24"/>
              </w:rPr>
              <w:t>投标报价的偏差率</w:t>
            </w:r>
          </w:p>
          <w:p w14:paraId="047055C9">
            <w:pPr>
              <w:spacing w:line="440" w:lineRule="exact"/>
              <w:jc w:val="center"/>
              <w:rPr>
                <w:sz w:val="24"/>
              </w:rPr>
            </w:pPr>
            <w:r>
              <w:rPr>
                <w:rFonts w:hint="eastAsia"/>
                <w:sz w:val="24"/>
              </w:rPr>
              <w:t>计算公式</w:t>
            </w:r>
          </w:p>
        </w:tc>
        <w:tc>
          <w:tcPr>
            <w:tcW w:w="4680" w:type="dxa"/>
            <w:tcBorders>
              <w:top w:val="single" w:color="auto" w:sz="4" w:space="0"/>
              <w:left w:val="single" w:color="auto" w:sz="4" w:space="0"/>
              <w:right w:val="single" w:color="auto" w:sz="4" w:space="0"/>
            </w:tcBorders>
            <w:vAlign w:val="center"/>
          </w:tcPr>
          <w:p w14:paraId="5334F117">
            <w:pPr>
              <w:spacing w:line="440" w:lineRule="exact"/>
              <w:rPr>
                <w:sz w:val="24"/>
              </w:rPr>
            </w:pPr>
            <w:r>
              <w:rPr>
                <w:rFonts w:hint="eastAsia"/>
                <w:sz w:val="24"/>
              </w:rPr>
              <w:t>偏差率=100%×|(投标人报价-评标基准价)|/评标基准价</w:t>
            </w:r>
          </w:p>
          <w:p w14:paraId="2101ADED">
            <w:pPr>
              <w:spacing w:line="440" w:lineRule="exact"/>
              <w:rPr>
                <w:sz w:val="24"/>
              </w:rPr>
            </w:pPr>
            <w:r>
              <w:rPr>
                <w:rFonts w:hint="eastAsia"/>
                <w:sz w:val="24"/>
              </w:rPr>
              <w:t>施工投标报价为下浮比例报价时，施工投标报价偏差率=|投标人报价-评标基准价|。例:某投标人施工投标报价为95%,评标基准价为90%,则施工投标报价偏差率为95%-90%=5%。</w:t>
            </w:r>
          </w:p>
          <w:p w14:paraId="2A10849C">
            <w:pPr>
              <w:spacing w:line="440" w:lineRule="exact"/>
              <w:rPr>
                <w:sz w:val="24"/>
              </w:rPr>
            </w:pPr>
            <w:r>
              <w:rPr>
                <w:rFonts w:hint="eastAsia"/>
                <w:sz w:val="24"/>
              </w:rPr>
              <w:t>注:偏差率百分数小数点后保留两位。</w:t>
            </w:r>
          </w:p>
        </w:tc>
      </w:tr>
      <w:tr w14:paraId="135CF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nil"/>
              <w:bottom w:val="single" w:color="auto" w:sz="4" w:space="0"/>
              <w:right w:val="single" w:color="auto" w:sz="4" w:space="0"/>
            </w:tcBorders>
            <w:vAlign w:val="center"/>
          </w:tcPr>
          <w:p w14:paraId="5E7B66F0">
            <w:pPr>
              <w:spacing w:line="440" w:lineRule="exact"/>
              <w:jc w:val="center"/>
              <w:rPr>
                <w:sz w:val="24"/>
              </w:rPr>
            </w:pPr>
            <w:r>
              <w:rPr>
                <w:b/>
                <w:sz w:val="24"/>
              </w:rPr>
              <w:t>条款号</w:t>
            </w:r>
          </w:p>
        </w:tc>
        <w:tc>
          <w:tcPr>
            <w:tcW w:w="2476" w:type="dxa"/>
            <w:tcBorders>
              <w:top w:val="single" w:color="auto" w:sz="4" w:space="0"/>
              <w:left w:val="single" w:color="auto" w:sz="4" w:space="0"/>
              <w:bottom w:val="single" w:color="auto" w:sz="4" w:space="0"/>
              <w:right w:val="single" w:color="auto" w:sz="4" w:space="0"/>
            </w:tcBorders>
            <w:vAlign w:val="center"/>
          </w:tcPr>
          <w:p w14:paraId="1D799B3B">
            <w:pPr>
              <w:spacing w:line="440" w:lineRule="exact"/>
              <w:jc w:val="center"/>
              <w:rPr>
                <w:sz w:val="24"/>
              </w:rPr>
            </w:pPr>
            <w:r>
              <w:rPr>
                <w:sz w:val="24"/>
              </w:rPr>
              <w:t>评分因素（偏差率）</w:t>
            </w:r>
          </w:p>
        </w:tc>
        <w:tc>
          <w:tcPr>
            <w:tcW w:w="4680" w:type="dxa"/>
            <w:tcBorders>
              <w:top w:val="single" w:color="auto" w:sz="4" w:space="0"/>
              <w:left w:val="single" w:color="auto" w:sz="4" w:space="0"/>
              <w:bottom w:val="single" w:color="auto" w:sz="4" w:space="0"/>
              <w:right w:val="single" w:color="auto" w:sz="4" w:space="0"/>
            </w:tcBorders>
            <w:vAlign w:val="center"/>
          </w:tcPr>
          <w:p w14:paraId="785445F7">
            <w:pPr>
              <w:spacing w:line="440" w:lineRule="exact"/>
              <w:jc w:val="center"/>
              <w:rPr>
                <w:sz w:val="24"/>
              </w:rPr>
            </w:pPr>
            <w:r>
              <w:rPr>
                <w:b/>
                <w:sz w:val="24"/>
              </w:rPr>
              <w:t>评分标准</w:t>
            </w:r>
          </w:p>
        </w:tc>
      </w:tr>
      <w:tr w14:paraId="19399D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restart"/>
            <w:tcBorders>
              <w:top w:val="single" w:color="auto" w:sz="4" w:space="0"/>
              <w:right w:val="single" w:color="auto" w:sz="4" w:space="0"/>
            </w:tcBorders>
            <w:vAlign w:val="center"/>
          </w:tcPr>
          <w:p w14:paraId="1ED5A49E">
            <w:pPr>
              <w:spacing w:line="440" w:lineRule="exact"/>
              <w:jc w:val="center"/>
              <w:rPr>
                <w:sz w:val="24"/>
              </w:rPr>
            </w:pPr>
            <w:r>
              <w:rPr>
                <w:sz w:val="24"/>
              </w:rPr>
              <w:t>2.2.4</w:t>
            </w:r>
            <w:r>
              <w:rPr>
                <w:rFonts w:hint="eastAsia"/>
                <w:sz w:val="24"/>
              </w:rPr>
              <w:t>（</w:t>
            </w:r>
            <w:r>
              <w:rPr>
                <w:sz w:val="24"/>
              </w:rPr>
              <w:t>1</w:t>
            </w:r>
            <w:r>
              <w:rPr>
                <w:rFonts w:hint="eastAsia"/>
                <w:sz w:val="24"/>
              </w:rPr>
              <w:t>）</w:t>
            </w:r>
          </w:p>
        </w:tc>
        <w:tc>
          <w:tcPr>
            <w:tcW w:w="1124" w:type="dxa"/>
            <w:vMerge w:val="restart"/>
            <w:tcBorders>
              <w:top w:val="single" w:color="auto" w:sz="4" w:space="0"/>
              <w:right w:val="single" w:color="auto" w:sz="4" w:space="0"/>
            </w:tcBorders>
            <w:vAlign w:val="center"/>
          </w:tcPr>
          <w:p w14:paraId="70AC2709">
            <w:pPr>
              <w:spacing w:line="440" w:lineRule="exact"/>
              <w:jc w:val="center"/>
              <w:rPr>
                <w:sz w:val="24"/>
              </w:rPr>
            </w:pPr>
            <w:r>
              <w:rPr>
                <w:rFonts w:hint="eastAsia"/>
                <w:sz w:val="24"/>
              </w:rPr>
              <w:t>承包人建议书评分标准</w:t>
            </w:r>
          </w:p>
        </w:tc>
        <w:tc>
          <w:tcPr>
            <w:tcW w:w="2476" w:type="dxa"/>
            <w:tcBorders>
              <w:top w:val="single" w:color="auto" w:sz="4" w:space="0"/>
              <w:left w:val="single" w:color="auto" w:sz="4" w:space="0"/>
              <w:bottom w:val="single" w:color="auto" w:sz="4" w:space="0"/>
              <w:right w:val="single" w:color="auto" w:sz="4" w:space="0"/>
            </w:tcBorders>
          </w:tcPr>
          <w:p w14:paraId="0D69EE58">
            <w:pPr>
              <w:spacing w:line="440" w:lineRule="exact"/>
              <w:jc w:val="center"/>
              <w:rPr>
                <w:rFonts w:hint="eastAsia"/>
                <w:sz w:val="24"/>
              </w:rPr>
            </w:pPr>
          </w:p>
          <w:p w14:paraId="4F751856">
            <w:pPr>
              <w:spacing w:line="440" w:lineRule="exact"/>
              <w:jc w:val="center"/>
              <w:rPr>
                <w:rFonts w:hint="eastAsia" w:eastAsia="宋体"/>
                <w:sz w:val="24"/>
                <w:lang w:val="en-US" w:eastAsia="zh-CN"/>
              </w:rPr>
            </w:pPr>
            <w:r>
              <w:rPr>
                <w:rFonts w:hint="eastAsia"/>
                <w:sz w:val="24"/>
                <w:lang w:val="en-US" w:eastAsia="zh-CN"/>
              </w:rPr>
              <w:t>/</w:t>
            </w:r>
          </w:p>
          <w:p w14:paraId="66CD8AF4">
            <w:pPr>
              <w:spacing w:line="440" w:lineRule="exact"/>
              <w:jc w:val="center"/>
              <w:rPr>
                <w:rFonts w:hint="eastAsia"/>
                <w:sz w:val="24"/>
              </w:rPr>
            </w:pPr>
          </w:p>
          <w:p w14:paraId="74E43DFA">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0B156B81">
            <w:pPr>
              <w:spacing w:line="440" w:lineRule="exact"/>
              <w:jc w:val="center"/>
              <w:rPr>
                <w:rFonts w:hint="eastAsia"/>
                <w:sz w:val="24"/>
              </w:rPr>
            </w:pPr>
          </w:p>
          <w:p w14:paraId="52A6DC26">
            <w:pPr>
              <w:spacing w:line="440" w:lineRule="exact"/>
              <w:jc w:val="center"/>
              <w:rPr>
                <w:rFonts w:hint="eastAsia" w:eastAsia="宋体"/>
                <w:sz w:val="24"/>
                <w:lang w:val="en-US" w:eastAsia="zh-CN"/>
              </w:rPr>
            </w:pPr>
            <w:r>
              <w:rPr>
                <w:rFonts w:hint="eastAsia"/>
                <w:sz w:val="24"/>
                <w:lang w:val="en-US" w:eastAsia="zh-CN"/>
              </w:rPr>
              <w:t>/</w:t>
            </w:r>
          </w:p>
          <w:p w14:paraId="18277804">
            <w:pPr>
              <w:spacing w:line="440" w:lineRule="exact"/>
              <w:jc w:val="center"/>
              <w:rPr>
                <w:rFonts w:hint="eastAsia"/>
                <w:sz w:val="24"/>
              </w:rPr>
            </w:pPr>
          </w:p>
          <w:p w14:paraId="739D8BF0">
            <w:pPr>
              <w:spacing w:line="440" w:lineRule="exact"/>
              <w:jc w:val="center"/>
              <w:rPr>
                <w:sz w:val="24"/>
              </w:rPr>
            </w:pPr>
          </w:p>
        </w:tc>
      </w:tr>
      <w:tr w14:paraId="7817A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00" w:type="dxa"/>
            <w:vMerge w:val="continue"/>
            <w:tcBorders>
              <w:bottom w:val="single" w:color="auto" w:sz="4" w:space="0"/>
              <w:right w:val="single" w:color="auto" w:sz="4" w:space="0"/>
            </w:tcBorders>
          </w:tcPr>
          <w:p w14:paraId="223A465A">
            <w:pPr>
              <w:spacing w:line="440" w:lineRule="exact"/>
              <w:jc w:val="center"/>
              <w:rPr>
                <w:sz w:val="24"/>
              </w:rPr>
            </w:pPr>
          </w:p>
        </w:tc>
        <w:tc>
          <w:tcPr>
            <w:tcW w:w="1124" w:type="dxa"/>
            <w:vMerge w:val="continue"/>
            <w:tcBorders>
              <w:bottom w:val="single" w:color="auto" w:sz="4" w:space="0"/>
              <w:right w:val="single" w:color="auto" w:sz="4" w:space="0"/>
            </w:tcBorders>
          </w:tcPr>
          <w:p w14:paraId="319E5A69">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609D2589">
            <w:pPr>
              <w:spacing w:line="440" w:lineRule="exact"/>
              <w:jc w:val="center"/>
              <w:rPr>
                <w:rFonts w:hint="eastAsia"/>
                <w:sz w:val="24"/>
              </w:rPr>
            </w:pPr>
          </w:p>
          <w:p w14:paraId="5DAF6902">
            <w:pPr>
              <w:spacing w:line="440" w:lineRule="exact"/>
              <w:jc w:val="center"/>
              <w:rPr>
                <w:rFonts w:hint="eastAsia" w:eastAsia="宋体"/>
                <w:sz w:val="24"/>
                <w:lang w:val="en-US" w:eastAsia="zh-CN"/>
              </w:rPr>
            </w:pPr>
            <w:r>
              <w:rPr>
                <w:rFonts w:hint="eastAsia"/>
                <w:sz w:val="24"/>
                <w:lang w:val="en-US" w:eastAsia="zh-CN"/>
              </w:rPr>
              <w:t>/</w:t>
            </w:r>
          </w:p>
          <w:p w14:paraId="6255650E">
            <w:pPr>
              <w:spacing w:line="440" w:lineRule="exact"/>
              <w:jc w:val="center"/>
              <w:rPr>
                <w:rFonts w:hint="eastAsia"/>
                <w:sz w:val="24"/>
              </w:rPr>
            </w:pPr>
          </w:p>
          <w:p w14:paraId="4722CBE0">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613EBE02">
            <w:pPr>
              <w:spacing w:line="440" w:lineRule="exact"/>
              <w:jc w:val="center"/>
              <w:rPr>
                <w:rFonts w:hint="eastAsia"/>
                <w:sz w:val="24"/>
              </w:rPr>
            </w:pPr>
          </w:p>
          <w:p w14:paraId="621AD560">
            <w:pPr>
              <w:spacing w:line="440" w:lineRule="exact"/>
              <w:jc w:val="center"/>
              <w:rPr>
                <w:rFonts w:hint="eastAsia" w:eastAsia="宋体"/>
                <w:sz w:val="24"/>
                <w:lang w:val="en-US" w:eastAsia="zh-CN"/>
              </w:rPr>
            </w:pPr>
            <w:r>
              <w:rPr>
                <w:rFonts w:hint="eastAsia"/>
                <w:sz w:val="24"/>
                <w:lang w:val="en-US" w:eastAsia="zh-CN"/>
              </w:rPr>
              <w:t>/</w:t>
            </w:r>
          </w:p>
          <w:p w14:paraId="58A0B27B">
            <w:pPr>
              <w:spacing w:line="440" w:lineRule="exact"/>
              <w:jc w:val="center"/>
              <w:rPr>
                <w:rFonts w:hint="eastAsia"/>
                <w:sz w:val="24"/>
              </w:rPr>
            </w:pPr>
          </w:p>
          <w:p w14:paraId="3926DFC0">
            <w:pPr>
              <w:spacing w:line="440" w:lineRule="exact"/>
              <w:jc w:val="center"/>
              <w:rPr>
                <w:sz w:val="24"/>
              </w:rPr>
            </w:pPr>
          </w:p>
        </w:tc>
      </w:tr>
      <w:tr w14:paraId="7CE496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80" w:type="dxa"/>
            <w:gridSpan w:val="4"/>
            <w:tcBorders>
              <w:bottom w:val="single" w:color="auto" w:sz="4" w:space="0"/>
              <w:right w:val="single" w:color="auto" w:sz="4" w:space="0"/>
            </w:tcBorders>
          </w:tcPr>
          <w:p w14:paraId="1DBE7FC9">
            <w:pPr>
              <w:spacing w:line="440" w:lineRule="exact"/>
              <w:jc w:val="left"/>
              <w:rPr>
                <w:sz w:val="24"/>
              </w:rPr>
            </w:pPr>
            <w:r>
              <w:rPr>
                <w:rFonts w:hint="eastAsia" w:ascii="宋体" w:hAnsi="宋体" w:cs="宋体"/>
                <w:sz w:val="24"/>
              </w:rPr>
              <w:t>注：承包人建议书评分因素可从图纸、工程详细说明、设备方案等方面设置。</w:t>
            </w:r>
          </w:p>
        </w:tc>
      </w:tr>
      <w:tr w14:paraId="311F6E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900" w:type="dxa"/>
            <w:vMerge w:val="restart"/>
            <w:tcBorders>
              <w:right w:val="single" w:color="auto" w:sz="4" w:space="0"/>
            </w:tcBorders>
            <w:vAlign w:val="center"/>
          </w:tcPr>
          <w:p w14:paraId="49DF272E">
            <w:pPr>
              <w:spacing w:line="440" w:lineRule="exact"/>
              <w:jc w:val="center"/>
              <w:rPr>
                <w:sz w:val="24"/>
              </w:rPr>
            </w:pPr>
            <w:r>
              <w:rPr>
                <w:sz w:val="24"/>
              </w:rPr>
              <w:t>2.2.4</w:t>
            </w:r>
            <w:r>
              <w:rPr>
                <w:rFonts w:hint="eastAsia"/>
                <w:sz w:val="24"/>
              </w:rPr>
              <w:t>（</w:t>
            </w:r>
            <w:r>
              <w:rPr>
                <w:sz w:val="24"/>
              </w:rPr>
              <w:t>2</w:t>
            </w:r>
            <w:r>
              <w:rPr>
                <w:rFonts w:hint="eastAsia"/>
                <w:sz w:val="24"/>
              </w:rPr>
              <w:t>）</w:t>
            </w:r>
          </w:p>
        </w:tc>
        <w:tc>
          <w:tcPr>
            <w:tcW w:w="1124" w:type="dxa"/>
            <w:vMerge w:val="restart"/>
            <w:tcBorders>
              <w:right w:val="single" w:color="auto" w:sz="4" w:space="0"/>
            </w:tcBorders>
          </w:tcPr>
          <w:p w14:paraId="43498375">
            <w:pPr>
              <w:spacing w:line="440" w:lineRule="exact"/>
              <w:rPr>
                <w:sz w:val="24"/>
              </w:rPr>
            </w:pPr>
            <w:r>
              <w:rPr>
                <w:rFonts w:hint="eastAsia"/>
                <w:sz w:val="24"/>
              </w:rPr>
              <w:t>资信业绩评分标准</w:t>
            </w:r>
          </w:p>
        </w:tc>
        <w:tc>
          <w:tcPr>
            <w:tcW w:w="2476" w:type="dxa"/>
            <w:tcBorders>
              <w:top w:val="single" w:color="auto" w:sz="4" w:space="0"/>
              <w:left w:val="single" w:color="auto" w:sz="4" w:space="0"/>
              <w:bottom w:val="single" w:color="auto" w:sz="4" w:space="0"/>
              <w:right w:val="single" w:color="auto" w:sz="4" w:space="0"/>
            </w:tcBorders>
          </w:tcPr>
          <w:p w14:paraId="517E3BA2">
            <w:pPr>
              <w:spacing w:line="440" w:lineRule="exact"/>
              <w:jc w:val="center"/>
              <w:rPr>
                <w:rFonts w:hint="eastAsia"/>
                <w:sz w:val="24"/>
              </w:rPr>
            </w:pPr>
          </w:p>
          <w:p w14:paraId="7B42FB23">
            <w:pPr>
              <w:spacing w:line="360" w:lineRule="auto"/>
              <w:jc w:val="center"/>
              <w:rPr>
                <w:rFonts w:ascii="宋体" w:hAnsi="宋体" w:cs="宋体"/>
                <w:lang w:val="zh-CN"/>
              </w:rPr>
            </w:pPr>
            <w:r>
              <w:rPr>
                <w:rFonts w:hint="eastAsia" w:ascii="宋体" w:hAnsi="宋体" w:cs="宋体"/>
                <w:lang w:val="zh-CN"/>
              </w:rPr>
              <w:t>企业资质、企业信誉</w:t>
            </w:r>
          </w:p>
          <w:p w14:paraId="213CA647">
            <w:pPr>
              <w:spacing w:line="440" w:lineRule="exact"/>
              <w:jc w:val="center"/>
              <w:rPr>
                <w:sz w:val="24"/>
              </w:rPr>
            </w:pPr>
            <w:r>
              <w:rPr>
                <w:rFonts w:hint="eastAsia"/>
                <w:sz w:val="24"/>
              </w:rPr>
              <w:t>（</w:t>
            </w:r>
            <w:r>
              <w:rPr>
                <w:rFonts w:hint="eastAsia"/>
                <w:sz w:val="24"/>
                <w:lang w:val="en-US" w:eastAsia="zh-CN"/>
              </w:rPr>
              <w:t xml:space="preserve"> </w:t>
            </w:r>
            <w:r>
              <w:rPr>
                <w:rFonts w:hint="eastAsia"/>
                <w:sz w:val="24"/>
              </w:rPr>
              <w:t>分）</w:t>
            </w:r>
          </w:p>
          <w:p w14:paraId="2B17F1E4">
            <w:pPr>
              <w:spacing w:line="440" w:lineRule="exact"/>
              <w:jc w:val="center"/>
              <w:rPr>
                <w:rFonts w:hint="eastAsia"/>
                <w:sz w:val="24"/>
              </w:rPr>
            </w:pPr>
          </w:p>
          <w:p w14:paraId="0BF1B668">
            <w:pPr>
              <w:spacing w:line="440" w:lineRule="exact"/>
              <w:jc w:val="center"/>
              <w:rPr>
                <w:rFonts w:hint="eastAsia"/>
                <w:sz w:val="24"/>
              </w:rPr>
            </w:pPr>
          </w:p>
          <w:p w14:paraId="4F38ECCE">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040AC53D">
            <w:pPr>
              <w:spacing w:line="440" w:lineRule="exact"/>
              <w:jc w:val="center"/>
              <w:rPr>
                <w:rFonts w:hint="eastAsia"/>
                <w:sz w:val="24"/>
              </w:rPr>
            </w:pPr>
          </w:p>
          <w:p w14:paraId="18DB3D66">
            <w:pPr>
              <w:spacing w:line="360" w:lineRule="auto"/>
              <w:rPr>
                <w:rFonts w:ascii="宋体" w:hAnsi="宋体" w:cs="宋体"/>
                <w:sz w:val="24"/>
                <w:lang w:val="zh-CN"/>
              </w:rPr>
            </w:pPr>
            <w:r>
              <w:rPr>
                <w:rFonts w:hint="eastAsia" w:ascii="宋体" w:hAnsi="宋体" w:cs="宋体"/>
                <w:sz w:val="24"/>
                <w:lang w:val="zh-CN"/>
              </w:rPr>
              <w:t>一、施工资质：</w:t>
            </w:r>
            <w:r>
              <w:rPr>
                <w:rFonts w:hint="eastAsia" w:ascii="宋体" w:hAnsi="宋体" w:cs="宋体"/>
                <w:bCs/>
                <w:sz w:val="24"/>
              </w:rPr>
              <w:t>满足资格条件要求得0.5分，</w:t>
            </w:r>
            <w:r>
              <w:rPr>
                <w:rFonts w:hint="eastAsia" w:ascii="宋体" w:hAnsi="宋体" w:cs="宋体"/>
                <w:sz w:val="24"/>
                <w:lang w:val="zh-CN"/>
              </w:rPr>
              <w:t>本项最高得</w:t>
            </w:r>
            <w:r>
              <w:rPr>
                <w:rFonts w:hint="eastAsia" w:ascii="宋体" w:hAnsi="宋体" w:cs="宋体"/>
                <w:sz w:val="24"/>
              </w:rPr>
              <w:t>0.5</w:t>
            </w:r>
            <w:r>
              <w:rPr>
                <w:rFonts w:hint="eastAsia" w:ascii="宋体" w:hAnsi="宋体" w:cs="宋体"/>
                <w:sz w:val="24"/>
                <w:lang w:val="zh-CN"/>
              </w:rPr>
              <w:t>分。</w:t>
            </w:r>
          </w:p>
          <w:p w14:paraId="32FC946F">
            <w:pPr>
              <w:spacing w:line="440" w:lineRule="exact"/>
              <w:jc w:val="center"/>
              <w:rPr>
                <w:rFonts w:hint="eastAsia"/>
                <w:sz w:val="24"/>
              </w:rPr>
            </w:pPr>
            <w:r>
              <w:rPr>
                <w:rFonts w:hint="eastAsia" w:ascii="宋体" w:hAnsi="宋体" w:cs="宋体"/>
                <w:bCs/>
                <w:sz w:val="24"/>
              </w:rPr>
              <w:t>二、设计资质：满足资格条件要求得0.5分，本项最高得0.5分。</w:t>
            </w:r>
          </w:p>
          <w:p w14:paraId="43C1B3DF">
            <w:pPr>
              <w:spacing w:line="440" w:lineRule="exact"/>
              <w:jc w:val="center"/>
              <w:rPr>
                <w:rFonts w:hint="eastAsia"/>
                <w:sz w:val="24"/>
              </w:rPr>
            </w:pPr>
          </w:p>
          <w:p w14:paraId="0BD29B53">
            <w:pPr>
              <w:spacing w:line="440" w:lineRule="exact"/>
              <w:jc w:val="center"/>
              <w:rPr>
                <w:sz w:val="24"/>
              </w:rPr>
            </w:pPr>
          </w:p>
        </w:tc>
      </w:tr>
      <w:tr w14:paraId="314A5A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900" w:type="dxa"/>
            <w:vMerge w:val="continue"/>
            <w:tcBorders>
              <w:bottom w:val="single" w:color="auto" w:sz="4" w:space="0"/>
              <w:right w:val="single" w:color="auto" w:sz="4" w:space="0"/>
            </w:tcBorders>
            <w:vAlign w:val="center"/>
          </w:tcPr>
          <w:p w14:paraId="229B8B71">
            <w:pPr>
              <w:spacing w:line="440" w:lineRule="exact"/>
              <w:jc w:val="center"/>
              <w:rPr>
                <w:sz w:val="24"/>
              </w:rPr>
            </w:pPr>
          </w:p>
        </w:tc>
        <w:tc>
          <w:tcPr>
            <w:tcW w:w="1124" w:type="dxa"/>
            <w:vMerge w:val="continue"/>
            <w:tcBorders>
              <w:bottom w:val="single" w:color="auto" w:sz="4" w:space="0"/>
              <w:right w:val="single" w:color="auto" w:sz="4" w:space="0"/>
            </w:tcBorders>
            <w:vAlign w:val="center"/>
          </w:tcPr>
          <w:p w14:paraId="4D02A641">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047F1244">
            <w:pPr>
              <w:spacing w:line="440" w:lineRule="exact"/>
              <w:jc w:val="center"/>
              <w:rPr>
                <w:rFonts w:hint="eastAsia"/>
                <w:sz w:val="24"/>
              </w:rPr>
            </w:pPr>
          </w:p>
          <w:p w14:paraId="03EB488A">
            <w:pPr>
              <w:spacing w:line="440" w:lineRule="exact"/>
              <w:jc w:val="center"/>
              <w:rPr>
                <w:rFonts w:hint="eastAsia"/>
                <w:sz w:val="24"/>
              </w:rPr>
            </w:pPr>
            <w:r>
              <w:rPr>
                <w:rFonts w:hint="eastAsia" w:ascii="宋体" w:hAnsi="宋体" w:cs="宋体"/>
              </w:rPr>
              <w:t>业绩（</w:t>
            </w:r>
            <w:r>
              <w:rPr>
                <w:rFonts w:hint="eastAsia" w:ascii="宋体" w:hAnsi="宋体" w:cs="宋体"/>
                <w:lang w:val="en-US" w:eastAsia="zh-CN"/>
              </w:rPr>
              <w:t xml:space="preserve"> </w:t>
            </w:r>
            <w:r>
              <w:rPr>
                <w:rFonts w:hint="eastAsia" w:ascii="宋体" w:hAnsi="宋体" w:cs="宋体"/>
              </w:rPr>
              <w:t>分）</w:t>
            </w:r>
          </w:p>
          <w:p w14:paraId="4A791614">
            <w:pPr>
              <w:spacing w:line="440" w:lineRule="exact"/>
              <w:jc w:val="center"/>
              <w:rPr>
                <w:rFonts w:hint="eastAsia"/>
                <w:sz w:val="24"/>
              </w:rPr>
            </w:pPr>
          </w:p>
          <w:p w14:paraId="39BBABD8">
            <w:pPr>
              <w:spacing w:line="440" w:lineRule="exact"/>
              <w:jc w:val="center"/>
              <w:rPr>
                <w:rFonts w:hint="eastAsia"/>
                <w:sz w:val="24"/>
              </w:rPr>
            </w:pPr>
          </w:p>
          <w:p w14:paraId="2A4B2448">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6E564902">
            <w:pPr>
              <w:spacing w:line="440" w:lineRule="exact"/>
              <w:jc w:val="center"/>
              <w:rPr>
                <w:rFonts w:hint="eastAsia"/>
                <w:sz w:val="24"/>
              </w:rPr>
            </w:pPr>
          </w:p>
          <w:p w14:paraId="28AB8295">
            <w:pPr>
              <w:spacing w:line="440" w:lineRule="exact"/>
              <w:jc w:val="center"/>
              <w:rPr>
                <w:rFonts w:ascii="宋体" w:hAnsi="宋体" w:cs="宋体"/>
                <w:bCs/>
                <w:sz w:val="24"/>
              </w:rPr>
            </w:pPr>
            <w:r>
              <w:rPr>
                <w:rFonts w:hint="eastAsia" w:ascii="宋体" w:hAnsi="宋体" w:cs="宋体"/>
                <w:bCs/>
                <w:color w:val="FF0000"/>
                <w:sz w:val="24"/>
                <w:lang w:val="en-US" w:eastAsia="zh-CN"/>
              </w:rPr>
              <w:t xml:space="preserve"> </w:t>
            </w:r>
          </w:p>
          <w:p w14:paraId="6A4025CB">
            <w:pPr>
              <w:spacing w:line="440" w:lineRule="exact"/>
              <w:jc w:val="left"/>
              <w:rPr>
                <w:sz w:val="24"/>
              </w:rPr>
            </w:pPr>
            <w:r>
              <w:rPr>
                <w:rFonts w:hint="eastAsia" w:ascii="宋体" w:hAnsi="宋体" w:cs="宋体"/>
                <w:bCs/>
                <w:sz w:val="24"/>
              </w:rPr>
              <w:t>注：</w:t>
            </w:r>
            <w:r>
              <w:rPr>
                <w:rFonts w:hint="eastAsia" w:ascii="宋体" w:hAnsi="宋体" w:cs="宋体"/>
                <w:bCs/>
                <w:sz w:val="24"/>
                <w:lang w:val="en-US" w:eastAsia="zh-CN"/>
              </w:rPr>
              <w:t>设计业绩由设计单位提供，施工业绩由施工单位提供</w:t>
            </w:r>
            <w:r>
              <w:rPr>
                <w:rFonts w:hint="eastAsia" w:ascii="宋体" w:hAnsi="宋体" w:cs="宋体"/>
                <w:bCs/>
                <w:sz w:val="24"/>
              </w:rPr>
              <w:t>。</w:t>
            </w:r>
          </w:p>
          <w:p w14:paraId="2F077C76">
            <w:pPr>
              <w:spacing w:line="440" w:lineRule="exact"/>
              <w:jc w:val="center"/>
              <w:rPr>
                <w:sz w:val="24"/>
              </w:rPr>
            </w:pPr>
          </w:p>
          <w:p w14:paraId="3080BE96">
            <w:pPr>
              <w:spacing w:line="440" w:lineRule="exact"/>
              <w:jc w:val="center"/>
              <w:rPr>
                <w:rFonts w:hint="eastAsia"/>
                <w:sz w:val="24"/>
              </w:rPr>
            </w:pPr>
          </w:p>
          <w:p w14:paraId="230F9E13">
            <w:pPr>
              <w:spacing w:line="440" w:lineRule="exact"/>
              <w:jc w:val="center"/>
              <w:rPr>
                <w:rFonts w:hint="eastAsia"/>
                <w:sz w:val="24"/>
              </w:rPr>
            </w:pPr>
          </w:p>
          <w:p w14:paraId="1EF2C3AA">
            <w:pPr>
              <w:spacing w:line="440" w:lineRule="exact"/>
              <w:jc w:val="center"/>
              <w:rPr>
                <w:sz w:val="24"/>
              </w:rPr>
            </w:pPr>
          </w:p>
        </w:tc>
      </w:tr>
      <w:tr w14:paraId="52481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9180" w:type="dxa"/>
            <w:gridSpan w:val="4"/>
            <w:tcBorders>
              <w:bottom w:val="single" w:color="auto" w:sz="4" w:space="0"/>
              <w:right w:val="single" w:color="auto" w:sz="4" w:space="0"/>
            </w:tcBorders>
            <w:vAlign w:val="center"/>
          </w:tcPr>
          <w:p w14:paraId="37357948">
            <w:pPr>
              <w:spacing w:line="440" w:lineRule="exact"/>
              <w:rPr>
                <w:sz w:val="24"/>
              </w:rPr>
            </w:pPr>
            <w:r>
              <w:rPr>
                <w:rFonts w:hint="eastAsia" w:ascii="宋体" w:hAnsi="宋体" w:cs="宋体"/>
                <w:sz w:val="24"/>
              </w:rPr>
              <w:t>注：</w:t>
            </w:r>
            <w:r>
              <w:rPr>
                <w:rFonts w:hint="eastAsia"/>
                <w:sz w:val="24"/>
              </w:rPr>
              <w:t>资信业绩评分</w:t>
            </w:r>
            <w:r>
              <w:rPr>
                <w:rFonts w:hint="eastAsia" w:ascii="宋体" w:hAnsi="宋体" w:cs="宋体"/>
                <w:sz w:val="24"/>
              </w:rPr>
              <w:t>因素可从</w:t>
            </w:r>
            <w:r>
              <w:rPr>
                <w:rFonts w:hint="eastAsia"/>
                <w:sz w:val="24"/>
              </w:rPr>
              <w:t>信誉</w:t>
            </w:r>
            <w:r>
              <w:rPr>
                <w:rFonts w:hint="eastAsia" w:ascii="宋体" w:hAnsi="宋体" w:cs="宋体"/>
                <w:sz w:val="24"/>
              </w:rPr>
              <w:t>、</w:t>
            </w:r>
            <w:r>
              <w:rPr>
                <w:rFonts w:hint="eastAsia"/>
                <w:sz w:val="24"/>
              </w:rPr>
              <w:t>类似项目业绩、</w:t>
            </w:r>
            <w:r>
              <w:rPr>
                <w:sz w:val="24"/>
              </w:rPr>
              <w:t>项目</w:t>
            </w:r>
            <w:r>
              <w:rPr>
                <w:rFonts w:hint="eastAsia"/>
                <w:sz w:val="24"/>
              </w:rPr>
              <w:t>经理</w:t>
            </w:r>
            <w:r>
              <w:rPr>
                <w:sz w:val="24"/>
              </w:rPr>
              <w:t>业绩</w:t>
            </w:r>
            <w:r>
              <w:rPr>
                <w:rFonts w:hint="eastAsia" w:ascii="宋体" w:hAnsi="宋体" w:cs="宋体"/>
                <w:sz w:val="24"/>
              </w:rPr>
              <w:t>、</w:t>
            </w:r>
            <w:r>
              <w:rPr>
                <w:rFonts w:hint="eastAsia"/>
                <w:sz w:val="24"/>
              </w:rPr>
              <w:t>设计</w:t>
            </w:r>
            <w:r>
              <w:rPr>
                <w:sz w:val="24"/>
              </w:rPr>
              <w:t>负责人业绩</w:t>
            </w:r>
            <w:r>
              <w:rPr>
                <w:rFonts w:hint="eastAsia"/>
                <w:sz w:val="24"/>
              </w:rPr>
              <w:t>、施工</w:t>
            </w:r>
            <w:r>
              <w:rPr>
                <w:sz w:val="24"/>
              </w:rPr>
              <w:t>负责人业绩</w:t>
            </w:r>
            <w:r>
              <w:rPr>
                <w:rFonts w:hint="eastAsia" w:ascii="宋体" w:hAnsi="宋体" w:cs="宋体"/>
                <w:sz w:val="24"/>
              </w:rPr>
              <w:t>等方面设置。</w:t>
            </w:r>
          </w:p>
        </w:tc>
      </w:tr>
      <w:tr w14:paraId="2C745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00" w:type="dxa"/>
            <w:vMerge w:val="restart"/>
            <w:tcBorders>
              <w:right w:val="single" w:color="auto" w:sz="4" w:space="0"/>
            </w:tcBorders>
            <w:vAlign w:val="center"/>
          </w:tcPr>
          <w:p w14:paraId="5317BFDB">
            <w:pPr>
              <w:spacing w:line="440" w:lineRule="exact"/>
              <w:jc w:val="center"/>
              <w:rPr>
                <w:sz w:val="24"/>
              </w:rPr>
            </w:pPr>
            <w:r>
              <w:rPr>
                <w:sz w:val="24"/>
              </w:rPr>
              <w:t>2.2.4</w:t>
            </w:r>
            <w:r>
              <w:rPr>
                <w:rFonts w:hint="eastAsia"/>
                <w:sz w:val="24"/>
              </w:rPr>
              <w:t>（3）</w:t>
            </w:r>
          </w:p>
        </w:tc>
        <w:tc>
          <w:tcPr>
            <w:tcW w:w="1124" w:type="dxa"/>
            <w:vMerge w:val="restart"/>
            <w:tcBorders>
              <w:right w:val="single" w:color="auto" w:sz="4" w:space="0"/>
            </w:tcBorders>
            <w:vAlign w:val="center"/>
          </w:tcPr>
          <w:p w14:paraId="5EF1704D">
            <w:pPr>
              <w:spacing w:line="440" w:lineRule="exact"/>
              <w:jc w:val="center"/>
              <w:rPr>
                <w:sz w:val="24"/>
              </w:rPr>
            </w:pPr>
            <w:r>
              <w:rPr>
                <w:rFonts w:hint="eastAsia"/>
                <w:sz w:val="24"/>
              </w:rPr>
              <w:t>承包人实施方案评分标准</w:t>
            </w:r>
          </w:p>
        </w:tc>
        <w:tc>
          <w:tcPr>
            <w:tcW w:w="2476" w:type="dxa"/>
            <w:tcBorders>
              <w:top w:val="single" w:color="auto" w:sz="4" w:space="0"/>
              <w:left w:val="single" w:color="auto" w:sz="4" w:space="0"/>
              <w:bottom w:val="single" w:color="auto" w:sz="4" w:space="0"/>
              <w:right w:val="single" w:color="auto" w:sz="4" w:space="0"/>
            </w:tcBorders>
            <w:vAlign w:val="center"/>
          </w:tcPr>
          <w:p w14:paraId="4B9E440F">
            <w:pPr>
              <w:spacing w:line="440" w:lineRule="exact"/>
              <w:jc w:val="center"/>
              <w:rPr>
                <w:rFonts w:hint="eastAsia"/>
                <w:sz w:val="24"/>
              </w:rPr>
            </w:pPr>
          </w:p>
          <w:p w14:paraId="724FCD21">
            <w:pPr>
              <w:spacing w:line="440" w:lineRule="exact"/>
              <w:jc w:val="center"/>
              <w:rPr>
                <w:rFonts w:ascii="宋体" w:hAnsi="宋体"/>
                <w:szCs w:val="21"/>
              </w:rPr>
            </w:pPr>
            <w:r>
              <w:rPr>
                <w:rFonts w:hint="eastAsia" w:ascii="宋体" w:hAnsi="宋体"/>
                <w:szCs w:val="21"/>
              </w:rPr>
              <w:t>设计方案</w:t>
            </w:r>
          </w:p>
          <w:p w14:paraId="086F85C1">
            <w:pPr>
              <w:spacing w:line="440" w:lineRule="exact"/>
              <w:jc w:val="center"/>
              <w:rPr>
                <w:sz w:val="24"/>
              </w:rPr>
            </w:pPr>
            <w:r>
              <w:rPr>
                <w:rFonts w:hint="eastAsia"/>
                <w:sz w:val="24"/>
              </w:rPr>
              <w:t>（</w:t>
            </w:r>
            <w:r>
              <w:rPr>
                <w:rFonts w:hint="eastAsia"/>
                <w:sz w:val="24"/>
                <w:lang w:val="en-US" w:eastAsia="zh-CN"/>
              </w:rPr>
              <w:t xml:space="preserve"> </w:t>
            </w:r>
            <w:r>
              <w:rPr>
                <w:rFonts w:hint="eastAsia"/>
                <w:sz w:val="24"/>
              </w:rPr>
              <w:t>分）</w:t>
            </w:r>
          </w:p>
          <w:p w14:paraId="1A3A7C01">
            <w:pPr>
              <w:spacing w:line="440" w:lineRule="exact"/>
              <w:jc w:val="center"/>
              <w:rPr>
                <w:rFonts w:hint="eastAsia"/>
                <w:sz w:val="24"/>
              </w:rPr>
            </w:pPr>
          </w:p>
          <w:p w14:paraId="701B0811">
            <w:pPr>
              <w:spacing w:line="440" w:lineRule="exact"/>
              <w:jc w:val="center"/>
              <w:rPr>
                <w:rFonts w:hint="eastAsia"/>
                <w:sz w:val="24"/>
              </w:rPr>
            </w:pPr>
          </w:p>
          <w:p w14:paraId="3A563348">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1C28B0BC">
            <w:pPr>
              <w:spacing w:line="440" w:lineRule="exact"/>
              <w:jc w:val="center"/>
              <w:rPr>
                <w:rFonts w:hint="eastAsia"/>
                <w:sz w:val="24"/>
              </w:rPr>
            </w:pPr>
          </w:p>
          <w:p w14:paraId="30494FE6">
            <w:pPr>
              <w:pStyle w:val="11"/>
              <w:rPr>
                <w:rFonts w:hint="eastAsia"/>
              </w:rPr>
            </w:pPr>
          </w:p>
          <w:p w14:paraId="213522F4">
            <w:pPr>
              <w:spacing w:line="440" w:lineRule="exact"/>
              <w:jc w:val="both"/>
              <w:rPr>
                <w:rFonts w:hint="eastAsia" w:eastAsia="宋体"/>
                <w:sz w:val="24"/>
                <w:lang w:eastAsia="zh-CN"/>
              </w:rPr>
            </w:pPr>
            <w:r>
              <w:rPr>
                <w:rFonts w:hint="eastAsia" w:ascii="宋体" w:hAnsi="宋体" w:cs="宋体"/>
                <w:b/>
                <w:bCs/>
                <w:sz w:val="24"/>
                <w:lang w:val="en-US" w:eastAsia="zh-CN"/>
              </w:rPr>
              <w:t xml:space="preserve"> </w:t>
            </w:r>
          </w:p>
          <w:p w14:paraId="38FCA934">
            <w:pPr>
              <w:spacing w:line="440" w:lineRule="exact"/>
              <w:jc w:val="center"/>
              <w:rPr>
                <w:rFonts w:hint="eastAsia"/>
                <w:sz w:val="24"/>
              </w:rPr>
            </w:pPr>
          </w:p>
          <w:p w14:paraId="3719FBE4">
            <w:pPr>
              <w:spacing w:line="440" w:lineRule="exact"/>
              <w:jc w:val="center"/>
              <w:rPr>
                <w:sz w:val="24"/>
              </w:rPr>
            </w:pPr>
          </w:p>
        </w:tc>
      </w:tr>
      <w:tr w14:paraId="1977B4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95" w:hRule="atLeast"/>
        </w:trPr>
        <w:tc>
          <w:tcPr>
            <w:tcW w:w="900" w:type="dxa"/>
            <w:vMerge w:val="continue"/>
            <w:tcBorders>
              <w:bottom w:val="single" w:color="auto" w:sz="4" w:space="0"/>
              <w:right w:val="single" w:color="auto" w:sz="4" w:space="0"/>
            </w:tcBorders>
            <w:vAlign w:val="center"/>
          </w:tcPr>
          <w:p w14:paraId="7143FA7A">
            <w:pPr>
              <w:spacing w:line="440" w:lineRule="exact"/>
              <w:jc w:val="center"/>
              <w:rPr>
                <w:sz w:val="24"/>
              </w:rPr>
            </w:pPr>
          </w:p>
        </w:tc>
        <w:tc>
          <w:tcPr>
            <w:tcW w:w="1124" w:type="dxa"/>
            <w:vMerge w:val="continue"/>
            <w:tcBorders>
              <w:bottom w:val="single" w:color="auto" w:sz="4" w:space="0"/>
              <w:right w:val="single" w:color="auto" w:sz="4" w:space="0"/>
            </w:tcBorders>
            <w:vAlign w:val="center"/>
          </w:tcPr>
          <w:p w14:paraId="4161C1C8">
            <w:pPr>
              <w:spacing w:line="440" w:lineRule="exact"/>
              <w:jc w:val="center"/>
              <w:rPr>
                <w:sz w:val="24"/>
              </w:rPr>
            </w:pPr>
          </w:p>
        </w:tc>
        <w:tc>
          <w:tcPr>
            <w:tcW w:w="2476" w:type="dxa"/>
            <w:tcBorders>
              <w:top w:val="single" w:color="auto" w:sz="4" w:space="0"/>
              <w:left w:val="single" w:color="auto" w:sz="4" w:space="0"/>
              <w:bottom w:val="single" w:color="auto" w:sz="4" w:space="0"/>
              <w:right w:val="single" w:color="auto" w:sz="4" w:space="0"/>
            </w:tcBorders>
            <w:vAlign w:val="center"/>
          </w:tcPr>
          <w:p w14:paraId="1520DC98">
            <w:pPr>
              <w:spacing w:line="440" w:lineRule="exact"/>
              <w:jc w:val="center"/>
              <w:rPr>
                <w:rFonts w:hint="eastAsia"/>
                <w:sz w:val="24"/>
              </w:rPr>
            </w:pPr>
          </w:p>
          <w:p w14:paraId="5BF6C241">
            <w:pPr>
              <w:jc w:val="center"/>
              <w:rPr>
                <w:rFonts w:ascii="宋体" w:hAnsi="宋体"/>
                <w:szCs w:val="21"/>
              </w:rPr>
            </w:pPr>
            <w:r>
              <w:rPr>
                <w:rFonts w:hint="eastAsia" w:ascii="宋体" w:hAnsi="宋体"/>
                <w:szCs w:val="21"/>
              </w:rPr>
              <w:t>施工方案</w:t>
            </w:r>
          </w:p>
          <w:p w14:paraId="29DA0BB3">
            <w:pPr>
              <w:spacing w:line="440" w:lineRule="exact"/>
              <w:jc w:val="center"/>
              <w:rPr>
                <w:sz w:val="24"/>
              </w:rPr>
            </w:pPr>
            <w:r>
              <w:rPr>
                <w:rFonts w:hint="eastAsia"/>
                <w:sz w:val="24"/>
              </w:rPr>
              <w:t>（</w:t>
            </w:r>
            <w:r>
              <w:rPr>
                <w:rFonts w:hint="eastAsia"/>
                <w:sz w:val="24"/>
                <w:lang w:val="en-US" w:eastAsia="zh-CN"/>
              </w:rPr>
              <w:t xml:space="preserve"> </w:t>
            </w:r>
            <w:r>
              <w:rPr>
                <w:rFonts w:hint="eastAsia"/>
                <w:sz w:val="24"/>
              </w:rPr>
              <w:t>分）</w:t>
            </w:r>
          </w:p>
          <w:p w14:paraId="62BE80CC">
            <w:pPr>
              <w:spacing w:line="440" w:lineRule="exact"/>
              <w:jc w:val="center"/>
              <w:rPr>
                <w:rFonts w:hint="eastAsia"/>
                <w:sz w:val="24"/>
              </w:rPr>
            </w:pPr>
          </w:p>
          <w:p w14:paraId="2608D900">
            <w:pPr>
              <w:spacing w:line="440" w:lineRule="exact"/>
              <w:jc w:val="center"/>
              <w:rPr>
                <w:rFonts w:hint="eastAsia"/>
                <w:sz w:val="24"/>
              </w:rPr>
            </w:pPr>
          </w:p>
          <w:p w14:paraId="26772662">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7859B42C">
            <w:pPr>
              <w:spacing w:line="440" w:lineRule="exact"/>
              <w:jc w:val="center"/>
              <w:rPr>
                <w:rFonts w:hint="eastAsia"/>
                <w:sz w:val="24"/>
              </w:rPr>
            </w:pPr>
          </w:p>
          <w:p w14:paraId="64C8A828">
            <w:pPr>
              <w:spacing w:line="360" w:lineRule="auto"/>
              <w:jc w:val="center"/>
              <w:rPr>
                <w:rFonts w:hint="eastAsia" w:ascii="宋体" w:hAnsi="宋体" w:eastAsia="宋体" w:cs="宋体"/>
                <w:sz w:val="24"/>
                <w:lang w:eastAsia="zh-CN"/>
              </w:rPr>
            </w:pPr>
            <w:r>
              <w:rPr>
                <w:rFonts w:hint="eastAsia" w:ascii="宋体" w:hAnsi="宋体" w:cs="宋体"/>
                <w:b/>
                <w:bCs/>
                <w:sz w:val="24"/>
                <w:lang w:val="en-US" w:eastAsia="zh-CN"/>
              </w:rPr>
              <w:t xml:space="preserve"> </w:t>
            </w:r>
          </w:p>
          <w:p w14:paraId="5B40E419">
            <w:pPr>
              <w:spacing w:line="440" w:lineRule="exact"/>
              <w:jc w:val="center"/>
              <w:rPr>
                <w:sz w:val="24"/>
              </w:rPr>
            </w:pPr>
          </w:p>
          <w:p w14:paraId="6B25440A">
            <w:pPr>
              <w:spacing w:line="440" w:lineRule="exact"/>
              <w:jc w:val="center"/>
              <w:rPr>
                <w:sz w:val="24"/>
              </w:rPr>
            </w:pPr>
            <w:r>
              <w:rPr>
                <w:rFonts w:hint="eastAsia"/>
                <w:sz w:val="24"/>
              </w:rPr>
              <w:t>（投标人施工方案按评标办法评分标准编制）</w:t>
            </w:r>
          </w:p>
          <w:p w14:paraId="0B95D6A5">
            <w:pPr>
              <w:spacing w:line="440" w:lineRule="exact"/>
              <w:jc w:val="center"/>
              <w:rPr>
                <w:rFonts w:hint="eastAsia"/>
                <w:sz w:val="24"/>
              </w:rPr>
            </w:pPr>
          </w:p>
          <w:p w14:paraId="4E445467">
            <w:pPr>
              <w:spacing w:line="440" w:lineRule="exact"/>
              <w:jc w:val="center"/>
              <w:rPr>
                <w:rFonts w:hint="eastAsia"/>
                <w:sz w:val="24"/>
              </w:rPr>
            </w:pPr>
          </w:p>
          <w:p w14:paraId="2F238F1F">
            <w:pPr>
              <w:spacing w:line="440" w:lineRule="exact"/>
              <w:jc w:val="center"/>
              <w:rPr>
                <w:sz w:val="24"/>
              </w:rPr>
            </w:pPr>
          </w:p>
        </w:tc>
      </w:tr>
      <w:tr w14:paraId="4927FE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9180" w:type="dxa"/>
            <w:gridSpan w:val="4"/>
            <w:tcBorders>
              <w:bottom w:val="single" w:color="auto" w:sz="4" w:space="0"/>
              <w:right w:val="single" w:color="auto" w:sz="4" w:space="0"/>
            </w:tcBorders>
            <w:vAlign w:val="center"/>
          </w:tcPr>
          <w:p w14:paraId="7561AF4A">
            <w:pPr>
              <w:spacing w:line="440" w:lineRule="exact"/>
              <w:jc w:val="left"/>
              <w:rPr>
                <w:sz w:val="24"/>
              </w:rPr>
            </w:pPr>
            <w:r>
              <w:rPr>
                <w:rFonts w:hint="eastAsia" w:ascii="宋体" w:hAnsi="宋体" w:cs="宋体"/>
                <w:sz w:val="24"/>
              </w:rPr>
              <w:t>注：</w:t>
            </w:r>
            <w:r>
              <w:rPr>
                <w:rFonts w:hint="eastAsia"/>
                <w:sz w:val="24"/>
              </w:rPr>
              <w:t>承包人实施方案评分</w:t>
            </w:r>
            <w:r>
              <w:rPr>
                <w:rFonts w:hint="eastAsia" w:ascii="宋体" w:hAnsi="宋体" w:cs="宋体"/>
                <w:sz w:val="24"/>
              </w:rPr>
              <w:t>因素可从</w:t>
            </w:r>
            <w:r>
              <w:rPr>
                <w:rFonts w:hint="eastAsia"/>
                <w:sz w:val="24"/>
              </w:rPr>
              <w:t>总体实施方案</w:t>
            </w:r>
            <w:r>
              <w:rPr>
                <w:rFonts w:hint="eastAsia" w:ascii="宋体" w:hAnsi="宋体" w:cs="宋体"/>
                <w:sz w:val="24"/>
              </w:rPr>
              <w:t>、</w:t>
            </w:r>
            <w:r>
              <w:rPr>
                <w:rFonts w:hint="eastAsia"/>
                <w:sz w:val="24"/>
              </w:rPr>
              <w:t>项目实施要点、项目管理要点</w:t>
            </w:r>
            <w:r>
              <w:rPr>
                <w:rFonts w:hint="eastAsia" w:ascii="宋体" w:hAnsi="宋体" w:cs="宋体"/>
                <w:sz w:val="24"/>
              </w:rPr>
              <w:t>等方面设置。</w:t>
            </w:r>
          </w:p>
        </w:tc>
      </w:tr>
      <w:tr w14:paraId="0E09E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00" w:type="dxa"/>
            <w:vMerge w:val="restart"/>
            <w:tcBorders>
              <w:top w:val="single" w:color="auto" w:sz="4" w:space="0"/>
              <w:left w:val="single" w:color="auto" w:sz="4" w:space="0"/>
              <w:right w:val="single" w:color="auto" w:sz="4" w:space="0"/>
            </w:tcBorders>
            <w:vAlign w:val="center"/>
          </w:tcPr>
          <w:p w14:paraId="399F0B9E">
            <w:pPr>
              <w:spacing w:line="440" w:lineRule="exact"/>
              <w:jc w:val="center"/>
              <w:rPr>
                <w:sz w:val="24"/>
              </w:rPr>
            </w:pPr>
          </w:p>
          <w:p w14:paraId="1AC5C102">
            <w:pPr>
              <w:spacing w:line="440" w:lineRule="exact"/>
              <w:jc w:val="center"/>
              <w:rPr>
                <w:sz w:val="24"/>
              </w:rPr>
            </w:pPr>
          </w:p>
          <w:p w14:paraId="4BE1B96E">
            <w:pPr>
              <w:spacing w:line="440" w:lineRule="exact"/>
              <w:jc w:val="center"/>
              <w:rPr>
                <w:sz w:val="24"/>
              </w:rPr>
            </w:pPr>
          </w:p>
          <w:p w14:paraId="0C6B43F2">
            <w:pPr>
              <w:spacing w:line="440" w:lineRule="exact"/>
              <w:jc w:val="center"/>
              <w:rPr>
                <w:sz w:val="24"/>
              </w:rPr>
            </w:pPr>
          </w:p>
          <w:p w14:paraId="03150DED">
            <w:pPr>
              <w:spacing w:line="440" w:lineRule="exact"/>
              <w:jc w:val="center"/>
              <w:rPr>
                <w:sz w:val="24"/>
              </w:rPr>
            </w:pPr>
          </w:p>
          <w:p w14:paraId="36B71443">
            <w:pPr>
              <w:spacing w:line="440" w:lineRule="exact"/>
              <w:jc w:val="center"/>
              <w:rPr>
                <w:sz w:val="24"/>
              </w:rPr>
            </w:pPr>
            <w:r>
              <w:rPr>
                <w:sz w:val="24"/>
              </w:rPr>
              <w:t>2.2.4</w:t>
            </w:r>
            <w:r>
              <w:rPr>
                <w:rFonts w:hint="eastAsia"/>
                <w:sz w:val="24"/>
              </w:rPr>
              <w:t>（4）</w:t>
            </w:r>
          </w:p>
        </w:tc>
        <w:tc>
          <w:tcPr>
            <w:tcW w:w="1124" w:type="dxa"/>
            <w:tcBorders>
              <w:top w:val="single" w:color="auto" w:sz="4" w:space="0"/>
              <w:left w:val="single" w:color="auto" w:sz="4" w:space="0"/>
              <w:bottom w:val="single" w:color="auto" w:sz="4" w:space="0"/>
              <w:right w:val="single" w:color="auto" w:sz="4" w:space="0"/>
            </w:tcBorders>
            <w:vAlign w:val="center"/>
          </w:tcPr>
          <w:p w14:paraId="2F595F21">
            <w:pPr>
              <w:spacing w:line="440" w:lineRule="exact"/>
              <w:jc w:val="center"/>
              <w:rPr>
                <w:sz w:val="24"/>
              </w:rPr>
            </w:pPr>
          </w:p>
        </w:tc>
        <w:tc>
          <w:tcPr>
            <w:tcW w:w="2476" w:type="dxa"/>
            <w:vMerge w:val="restart"/>
            <w:tcBorders>
              <w:top w:val="single" w:color="auto" w:sz="4" w:space="0"/>
              <w:left w:val="single" w:color="auto" w:sz="4" w:space="0"/>
              <w:right w:val="single" w:color="auto" w:sz="4" w:space="0"/>
            </w:tcBorders>
            <w:vAlign w:val="center"/>
          </w:tcPr>
          <w:p w14:paraId="0C2226AC">
            <w:pPr>
              <w:spacing w:line="420" w:lineRule="atLeast"/>
              <w:jc w:val="center"/>
              <w:rPr>
                <w:sz w:val="24"/>
              </w:rPr>
            </w:pPr>
          </w:p>
          <w:p w14:paraId="25B2731A">
            <w:pPr>
              <w:spacing w:line="420" w:lineRule="atLeast"/>
              <w:jc w:val="center"/>
              <w:rPr>
                <w:sz w:val="24"/>
              </w:rPr>
            </w:pPr>
          </w:p>
          <w:p w14:paraId="765A5476">
            <w:pPr>
              <w:spacing w:line="420" w:lineRule="atLeast"/>
              <w:jc w:val="center"/>
              <w:rPr>
                <w:sz w:val="24"/>
              </w:rPr>
            </w:pPr>
          </w:p>
          <w:p w14:paraId="2A8086E1">
            <w:pPr>
              <w:spacing w:line="420" w:lineRule="atLeast"/>
              <w:jc w:val="center"/>
              <w:rPr>
                <w:sz w:val="24"/>
              </w:rPr>
            </w:pPr>
          </w:p>
          <w:p w14:paraId="7DB8FE79">
            <w:pPr>
              <w:spacing w:line="420" w:lineRule="atLeast"/>
              <w:jc w:val="center"/>
              <w:rPr>
                <w:sz w:val="24"/>
              </w:rPr>
            </w:pPr>
          </w:p>
          <w:p w14:paraId="19222126">
            <w:pPr>
              <w:spacing w:line="420" w:lineRule="atLeast"/>
              <w:jc w:val="center"/>
              <w:rPr>
                <w:sz w:val="24"/>
              </w:rPr>
            </w:pPr>
          </w:p>
          <w:p w14:paraId="394FF39D">
            <w:pPr>
              <w:spacing w:line="420" w:lineRule="atLeast"/>
              <w:jc w:val="center"/>
              <w:rPr>
                <w:sz w:val="24"/>
              </w:rPr>
            </w:pPr>
            <w:r>
              <w:rPr>
                <w:rFonts w:hint="eastAsia"/>
                <w:sz w:val="24"/>
              </w:rPr>
              <w:t>偏差率</w:t>
            </w:r>
          </w:p>
        </w:tc>
        <w:tc>
          <w:tcPr>
            <w:tcW w:w="4680" w:type="dxa"/>
            <w:vMerge w:val="restart"/>
            <w:tcBorders>
              <w:top w:val="single" w:color="auto" w:sz="4" w:space="0"/>
              <w:left w:val="single" w:color="auto" w:sz="4" w:space="0"/>
              <w:right w:val="single" w:color="auto" w:sz="4" w:space="0"/>
            </w:tcBorders>
          </w:tcPr>
          <w:p w14:paraId="3EE5488B">
            <w:pPr>
              <w:spacing w:line="380" w:lineRule="exact"/>
              <w:rPr>
                <w:rFonts w:ascii="宋体" w:hAnsi="宋体"/>
                <w:sz w:val="27"/>
              </w:rPr>
            </w:pPr>
          </w:p>
          <w:p w14:paraId="28AA0A1C">
            <w:pPr>
              <w:spacing w:line="380" w:lineRule="exact"/>
              <w:rPr>
                <w:rFonts w:ascii="宋体" w:hAnsi="宋体"/>
                <w:sz w:val="27"/>
              </w:rPr>
            </w:pPr>
          </w:p>
          <w:p w14:paraId="28471960">
            <w:pPr>
              <w:spacing w:line="380" w:lineRule="exact"/>
              <w:rPr>
                <w:rFonts w:ascii="宋体" w:hAnsi="宋体" w:cs="宋体"/>
                <w:sz w:val="24"/>
              </w:rPr>
            </w:pPr>
            <w:sdt>
              <w:sdtPr>
                <w:rPr>
                  <w:rFonts w:hint="eastAsia" w:ascii="宋体" w:hAnsi="宋体" w:eastAsia="宋体" w:cs="宋体"/>
                  <w:kern w:val="2"/>
                  <w:sz w:val="24"/>
                  <w:szCs w:val="24"/>
                  <w:lang w:val="en-US" w:eastAsia="zh-CN" w:bidi="ar-SA"/>
                </w:rPr>
                <w:id w:val="147478166"/>
                <w14:checkbox>
                  <w14:checked w14:val="1"/>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kern w:val="2"/>
                    <w:sz w:val="21"/>
                    <w:szCs w:val="24"/>
                    <w:lang w:val="en-US" w:eastAsia="zh-CN" w:bidi="ar-SA"/>
                  </w:rPr>
                  <w:t>☑</w:t>
                </w:r>
              </w:sdtContent>
            </w:sdt>
            <w:r>
              <w:rPr>
                <w:rFonts w:hint="eastAsia" w:ascii="宋体" w:hAnsi="宋体" w:cs="宋体"/>
                <w:sz w:val="24"/>
              </w:rPr>
              <w:t>有效投标报价等于评标基准价的得满分，其他有效投标报价与评标基准价相比，每高1%扣</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（不少于0.5）</w:t>
            </w:r>
            <w:r>
              <w:rPr>
                <w:rFonts w:hint="eastAsia" w:ascii="宋体" w:hAnsi="宋体" w:cs="宋体"/>
                <w:sz w:val="24"/>
              </w:rPr>
              <w:t>分。</w:t>
            </w:r>
          </w:p>
          <w:p w14:paraId="28F7C96F">
            <w:pPr>
              <w:spacing w:line="380" w:lineRule="exact"/>
              <w:rPr>
                <w:rFonts w:ascii="宋体" w:hAnsi="宋体" w:cs="宋体"/>
                <w:sz w:val="24"/>
              </w:rPr>
            </w:pPr>
          </w:p>
          <w:p w14:paraId="364BA634">
            <w:pPr>
              <w:spacing w:line="380" w:lineRule="exact"/>
              <w:rPr>
                <w:rFonts w:ascii="宋体" w:hAnsi="宋体" w:cs="宋体"/>
                <w:sz w:val="24"/>
              </w:rPr>
            </w:pPr>
            <w:sdt>
              <w:sdtPr>
                <w:rPr>
                  <w:rFonts w:hint="eastAsia" w:ascii="宋体" w:hAnsi="宋体" w:eastAsia="宋体" w:cs="宋体"/>
                  <w:kern w:val="2"/>
                  <w:sz w:val="24"/>
                  <w:szCs w:val="24"/>
                  <w:lang w:val="en-US" w:eastAsia="zh-CN" w:bidi="ar-SA"/>
                </w:rPr>
                <w:id w:val="147478173"/>
                <w14:checkbox>
                  <w14:checked w14:val="0"/>
                  <w14:checkedState w14:val="2611" w14:font="MS Gothic"/>
                  <w14:uncheckedState w14:val="2610" w14:font="MS Gothic"/>
                </w14:checkbox>
              </w:sdtPr>
              <w:sdtEndPr>
                <w:rPr>
                  <w:rFonts w:hint="eastAsia" w:ascii="宋体" w:hAnsi="宋体" w:eastAsia="宋体" w:cs="宋体"/>
                  <w:kern w:val="2"/>
                  <w:sz w:val="24"/>
                  <w:szCs w:val="24"/>
                  <w:lang w:val="en-US" w:eastAsia="zh-CN" w:bidi="ar-SA"/>
                </w:rPr>
              </w:sdtEndPr>
              <w:sdtContent>
                <w:r>
                  <w:rPr>
                    <w:rFonts w:ascii="MS Gothic" w:hAnsi="MS Gothic" w:eastAsia="MS Gothic" w:cs="MS Gothic"/>
                  </w:rPr>
                  <w:t>☐</w:t>
                </w:r>
              </w:sdtContent>
            </w:sdt>
            <w:r>
              <w:rPr>
                <w:rFonts w:hint="eastAsia" w:ascii="宋体" w:hAnsi="宋体" w:cs="宋体"/>
                <w:sz w:val="24"/>
              </w:rPr>
              <w:t>有效投标报价等于评标基准价的得满分，其他有效投标报价与评标基准价相比，每高1%扣</w:t>
            </w:r>
            <w:r>
              <w:rPr>
                <w:rFonts w:hint="eastAsia" w:ascii="宋体" w:hAnsi="宋体"/>
                <w:szCs w:val="21"/>
                <w:u w:val="single"/>
              </w:rPr>
              <w:t xml:space="preserve">    </w:t>
            </w:r>
            <w:r>
              <w:rPr>
                <w:rFonts w:hint="eastAsia" w:ascii="宋体" w:hAnsi="宋体"/>
                <w:szCs w:val="21"/>
              </w:rPr>
              <w:t>（不少于</w:t>
            </w:r>
            <w:r>
              <w:rPr>
                <w:rFonts w:hint="eastAsia" w:ascii="宋体" w:hAnsi="宋体"/>
                <w:szCs w:val="21"/>
                <w:lang w:val="en-US" w:eastAsia="zh-CN"/>
              </w:rPr>
              <w:t>1</w:t>
            </w:r>
            <w:r>
              <w:rPr>
                <w:rFonts w:hint="eastAsia" w:ascii="宋体" w:hAnsi="宋体"/>
                <w:szCs w:val="21"/>
              </w:rPr>
              <w:t>）</w:t>
            </w:r>
            <w:r>
              <w:rPr>
                <w:rFonts w:hint="eastAsia" w:ascii="宋体" w:hAnsi="宋体" w:cs="宋体"/>
                <w:sz w:val="24"/>
              </w:rPr>
              <w:t>分，每低1%扣</w:t>
            </w:r>
            <w:r>
              <w:rPr>
                <w:rFonts w:hint="eastAsia" w:ascii="宋体" w:hAnsi="宋体"/>
                <w:szCs w:val="21"/>
                <w:u w:val="single"/>
              </w:rPr>
              <w:t xml:space="preserve">    </w:t>
            </w:r>
            <w:r>
              <w:rPr>
                <w:rFonts w:hint="eastAsia" w:ascii="宋体" w:hAnsi="宋体"/>
                <w:szCs w:val="21"/>
              </w:rPr>
              <w:t>（不少于</w:t>
            </w:r>
            <w:r>
              <w:rPr>
                <w:rFonts w:hint="eastAsia" w:ascii="宋体" w:hAnsi="宋体"/>
                <w:szCs w:val="21"/>
                <w:lang w:val="en-US" w:eastAsia="zh-CN"/>
              </w:rPr>
              <w:t>0.5</w:t>
            </w:r>
            <w:r>
              <w:rPr>
                <w:rFonts w:hint="eastAsia" w:ascii="宋体" w:hAnsi="宋体"/>
                <w:szCs w:val="21"/>
              </w:rPr>
              <w:t>）</w:t>
            </w:r>
            <w:r>
              <w:rPr>
                <w:rFonts w:hint="eastAsia" w:ascii="宋体" w:hAnsi="宋体" w:cs="宋体"/>
                <w:sz w:val="24"/>
              </w:rPr>
              <w:t>分。</w:t>
            </w:r>
          </w:p>
          <w:p w14:paraId="21738BBE">
            <w:pPr>
              <w:spacing w:line="360" w:lineRule="auto"/>
              <w:rPr>
                <w:rFonts w:ascii="宋体" w:hAnsi="宋体" w:cs="宋体"/>
                <w:sz w:val="24"/>
              </w:rPr>
            </w:pPr>
          </w:p>
          <w:p w14:paraId="641562ED">
            <w:pPr>
              <w:spacing w:line="440" w:lineRule="exact"/>
              <w:jc w:val="left"/>
              <w:rPr>
                <w:rFonts w:ascii="宋体" w:hAnsi="宋体" w:cs="宋体"/>
                <w:sz w:val="24"/>
              </w:rPr>
            </w:pPr>
            <w:r>
              <w:rPr>
                <w:rFonts w:hint="eastAsia" w:ascii="宋体" w:hAnsi="宋体" w:cs="宋体"/>
                <w:sz w:val="24"/>
              </w:rPr>
              <w:t>注：中间值采用插入法计算，小数点后保留两位。每低1%所扣分值不得高于每高1%所扣分值。</w:t>
            </w:r>
          </w:p>
        </w:tc>
      </w:tr>
      <w:tr w14:paraId="69235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8" w:hRule="atLeast"/>
        </w:trPr>
        <w:tc>
          <w:tcPr>
            <w:tcW w:w="900" w:type="dxa"/>
            <w:vMerge w:val="continue"/>
            <w:tcBorders>
              <w:left w:val="single" w:color="auto" w:sz="4" w:space="0"/>
              <w:right w:val="single" w:color="auto" w:sz="4" w:space="0"/>
            </w:tcBorders>
            <w:vAlign w:val="center"/>
          </w:tcPr>
          <w:p w14:paraId="089F1BBB">
            <w:pPr>
              <w:spacing w:line="440" w:lineRule="exact"/>
              <w:jc w:val="center"/>
              <w:rPr>
                <w:sz w:val="24"/>
              </w:rPr>
            </w:pPr>
          </w:p>
        </w:tc>
        <w:tc>
          <w:tcPr>
            <w:tcW w:w="1124" w:type="dxa"/>
            <w:tcBorders>
              <w:top w:val="single" w:color="auto" w:sz="4" w:space="0"/>
              <w:left w:val="single" w:color="auto" w:sz="4" w:space="0"/>
              <w:bottom w:val="single" w:color="auto" w:sz="4" w:space="0"/>
              <w:right w:val="single" w:color="auto" w:sz="4" w:space="0"/>
            </w:tcBorders>
            <w:vAlign w:val="center"/>
          </w:tcPr>
          <w:p w14:paraId="3C3C32FA">
            <w:pPr>
              <w:spacing w:line="440" w:lineRule="exact"/>
              <w:jc w:val="center"/>
              <w:rPr>
                <w:sz w:val="24"/>
              </w:rPr>
            </w:pPr>
            <w:r>
              <w:rPr>
                <w:rFonts w:hint="eastAsia"/>
                <w:sz w:val="24"/>
                <w:lang w:val="en-US" w:eastAsia="zh-CN"/>
              </w:rPr>
              <w:t>投标</w:t>
            </w:r>
            <w:r>
              <w:rPr>
                <w:sz w:val="24"/>
              </w:rPr>
              <w:t>报价评分标准</w:t>
            </w:r>
          </w:p>
        </w:tc>
        <w:tc>
          <w:tcPr>
            <w:tcW w:w="2476" w:type="dxa"/>
            <w:vMerge w:val="continue"/>
            <w:tcBorders>
              <w:left w:val="single" w:color="auto" w:sz="4" w:space="0"/>
              <w:right w:val="single" w:color="auto" w:sz="4" w:space="0"/>
            </w:tcBorders>
            <w:vAlign w:val="center"/>
          </w:tcPr>
          <w:p w14:paraId="26588C6A">
            <w:pPr>
              <w:spacing w:line="420" w:lineRule="atLeast"/>
              <w:jc w:val="center"/>
              <w:rPr>
                <w:sz w:val="24"/>
              </w:rPr>
            </w:pPr>
          </w:p>
        </w:tc>
        <w:tc>
          <w:tcPr>
            <w:tcW w:w="4680" w:type="dxa"/>
            <w:vMerge w:val="continue"/>
            <w:tcBorders>
              <w:left w:val="single" w:color="auto" w:sz="4" w:space="0"/>
              <w:bottom w:val="single" w:color="auto" w:sz="4" w:space="0"/>
              <w:right w:val="single" w:color="auto" w:sz="4" w:space="0"/>
            </w:tcBorders>
          </w:tcPr>
          <w:p w14:paraId="3583D983">
            <w:pPr>
              <w:spacing w:line="440" w:lineRule="exact"/>
              <w:jc w:val="left"/>
              <w:rPr>
                <w:rFonts w:ascii="宋体" w:hAnsi="宋体" w:cs="宋体"/>
                <w:sz w:val="24"/>
              </w:rPr>
            </w:pPr>
          </w:p>
        </w:tc>
      </w:tr>
      <w:tr w14:paraId="45EED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900" w:type="dxa"/>
            <w:vMerge w:val="restart"/>
            <w:tcBorders>
              <w:top w:val="single" w:color="auto" w:sz="4" w:space="0"/>
              <w:left w:val="single" w:color="auto" w:sz="4" w:space="0"/>
              <w:right w:val="single" w:color="auto" w:sz="4" w:space="0"/>
            </w:tcBorders>
          </w:tcPr>
          <w:p w14:paraId="7907BF68">
            <w:pPr>
              <w:spacing w:line="440" w:lineRule="exact"/>
              <w:jc w:val="center"/>
              <w:rPr>
                <w:sz w:val="24"/>
              </w:rPr>
            </w:pPr>
            <w:r>
              <w:rPr>
                <w:sz w:val="24"/>
              </w:rPr>
              <w:t>2.2.4</w:t>
            </w:r>
            <w:r>
              <w:rPr>
                <w:rFonts w:hint="eastAsia"/>
                <w:sz w:val="24"/>
              </w:rPr>
              <w:t>（5）</w:t>
            </w:r>
          </w:p>
        </w:tc>
        <w:tc>
          <w:tcPr>
            <w:tcW w:w="1124" w:type="dxa"/>
            <w:tcBorders>
              <w:top w:val="single" w:color="auto" w:sz="4" w:space="0"/>
              <w:left w:val="single" w:color="auto" w:sz="4" w:space="0"/>
              <w:bottom w:val="single" w:color="auto" w:sz="4" w:space="0"/>
              <w:right w:val="single" w:color="auto" w:sz="4" w:space="0"/>
            </w:tcBorders>
            <w:vAlign w:val="center"/>
          </w:tcPr>
          <w:p w14:paraId="3C31AA80">
            <w:pPr>
              <w:spacing w:line="440" w:lineRule="exact"/>
              <w:jc w:val="center"/>
              <w:rPr>
                <w:sz w:val="24"/>
              </w:rPr>
            </w:pPr>
            <w:r>
              <w:rPr>
                <w:sz w:val="24"/>
              </w:rPr>
              <w:t>其他因素评分标准</w:t>
            </w:r>
          </w:p>
        </w:tc>
        <w:tc>
          <w:tcPr>
            <w:tcW w:w="2476" w:type="dxa"/>
            <w:tcBorders>
              <w:top w:val="single" w:color="auto" w:sz="4" w:space="0"/>
              <w:left w:val="single" w:color="auto" w:sz="4" w:space="0"/>
              <w:bottom w:val="single" w:color="auto" w:sz="4" w:space="0"/>
              <w:right w:val="single" w:color="auto" w:sz="4" w:space="0"/>
            </w:tcBorders>
            <w:vAlign w:val="center"/>
          </w:tcPr>
          <w:p w14:paraId="6EBDDD9A">
            <w:pPr>
              <w:spacing w:line="440" w:lineRule="exact"/>
              <w:jc w:val="center"/>
              <w:rPr>
                <w:rFonts w:hint="eastAsia"/>
                <w:sz w:val="24"/>
              </w:rPr>
            </w:pPr>
          </w:p>
          <w:p w14:paraId="3B51D52A">
            <w:pPr>
              <w:spacing w:line="360" w:lineRule="auto"/>
              <w:jc w:val="center"/>
              <w:rPr>
                <w:rFonts w:ascii="宋体" w:hAnsi="宋体" w:cs="宋体"/>
                <w:lang w:val="zh-CN"/>
              </w:rPr>
            </w:pPr>
            <w:r>
              <w:rPr>
                <w:rFonts w:hint="eastAsia" w:ascii="宋体" w:hAnsi="宋体" w:cs="宋体"/>
                <w:lang w:val="zh-CN"/>
              </w:rPr>
              <w:t>人员配备</w:t>
            </w:r>
          </w:p>
          <w:p w14:paraId="5C7EA1FB">
            <w:pPr>
              <w:spacing w:line="440" w:lineRule="exact"/>
              <w:jc w:val="center"/>
              <w:rPr>
                <w:sz w:val="24"/>
              </w:rPr>
            </w:pPr>
            <w:r>
              <w:rPr>
                <w:rFonts w:hint="eastAsia"/>
                <w:sz w:val="24"/>
              </w:rPr>
              <w:t>（</w:t>
            </w:r>
            <w:r>
              <w:rPr>
                <w:rFonts w:hint="eastAsia"/>
                <w:sz w:val="24"/>
                <w:lang w:val="en-US" w:eastAsia="zh-CN"/>
              </w:rPr>
              <w:t xml:space="preserve"> </w:t>
            </w:r>
            <w:r>
              <w:rPr>
                <w:rFonts w:hint="eastAsia"/>
                <w:sz w:val="24"/>
              </w:rPr>
              <w:t>分）</w:t>
            </w:r>
          </w:p>
          <w:p w14:paraId="2E83F378">
            <w:pPr>
              <w:spacing w:line="440" w:lineRule="exact"/>
              <w:jc w:val="center"/>
              <w:rPr>
                <w:rFonts w:hint="eastAsia"/>
                <w:sz w:val="24"/>
              </w:rPr>
            </w:pPr>
          </w:p>
          <w:p w14:paraId="4C047622">
            <w:pPr>
              <w:spacing w:line="440" w:lineRule="exact"/>
              <w:jc w:val="center"/>
              <w:rPr>
                <w:rFonts w:hint="eastAsia"/>
                <w:sz w:val="24"/>
              </w:rPr>
            </w:pPr>
          </w:p>
          <w:p w14:paraId="08257696">
            <w:pPr>
              <w:spacing w:line="440" w:lineRule="exact"/>
              <w:jc w:val="center"/>
              <w:rPr>
                <w:sz w:val="24"/>
              </w:rPr>
            </w:pPr>
          </w:p>
        </w:tc>
        <w:tc>
          <w:tcPr>
            <w:tcW w:w="4680" w:type="dxa"/>
            <w:tcBorders>
              <w:top w:val="single" w:color="auto" w:sz="4" w:space="0"/>
              <w:left w:val="single" w:color="auto" w:sz="4" w:space="0"/>
              <w:bottom w:val="single" w:color="auto" w:sz="4" w:space="0"/>
              <w:right w:val="single" w:color="auto" w:sz="4" w:space="0"/>
            </w:tcBorders>
            <w:vAlign w:val="center"/>
          </w:tcPr>
          <w:p w14:paraId="786422AD">
            <w:pPr>
              <w:spacing w:line="440" w:lineRule="exact"/>
              <w:jc w:val="center"/>
              <w:rPr>
                <w:rFonts w:hint="eastAsia"/>
                <w:sz w:val="24"/>
              </w:rPr>
            </w:pPr>
          </w:p>
          <w:p w14:paraId="00A0F21D">
            <w:pPr>
              <w:spacing w:line="440" w:lineRule="exact"/>
              <w:jc w:val="center"/>
              <w:rPr>
                <w:rFonts w:hint="eastAsia" w:eastAsia="宋体"/>
                <w:sz w:val="24"/>
                <w:lang w:eastAsia="zh-CN"/>
              </w:rPr>
            </w:pPr>
            <w:r>
              <w:rPr>
                <w:rFonts w:hint="eastAsia" w:ascii="宋体" w:hAnsi="宋体" w:cs="宋体"/>
                <w:b/>
                <w:bCs/>
                <w:sz w:val="24"/>
                <w:lang w:val="en-US" w:eastAsia="zh-CN"/>
              </w:rPr>
              <w:t xml:space="preserve"> </w:t>
            </w:r>
          </w:p>
          <w:p w14:paraId="327C6ADF">
            <w:pPr>
              <w:spacing w:line="440" w:lineRule="exact"/>
              <w:jc w:val="center"/>
              <w:rPr>
                <w:sz w:val="24"/>
              </w:rPr>
            </w:pPr>
          </w:p>
        </w:tc>
      </w:tr>
      <w:tr w14:paraId="4BBA7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900" w:type="dxa"/>
            <w:vMerge w:val="continue"/>
            <w:tcBorders>
              <w:left w:val="single" w:color="auto" w:sz="4" w:space="0"/>
              <w:right w:val="single" w:color="auto" w:sz="4" w:space="0"/>
            </w:tcBorders>
          </w:tcPr>
          <w:p w14:paraId="6400BCA9">
            <w:pPr>
              <w:spacing w:line="440" w:lineRule="exact"/>
              <w:jc w:val="center"/>
              <w:rPr>
                <w:sz w:val="24"/>
              </w:rPr>
            </w:pPr>
          </w:p>
        </w:tc>
        <w:tc>
          <w:tcPr>
            <w:tcW w:w="1124" w:type="dxa"/>
            <w:tcBorders>
              <w:top w:val="single" w:color="auto" w:sz="4" w:space="0"/>
              <w:left w:val="single" w:color="auto" w:sz="4" w:space="0"/>
              <w:bottom w:val="single" w:color="auto" w:sz="4" w:space="0"/>
              <w:right w:val="single" w:color="auto" w:sz="4" w:space="0"/>
            </w:tcBorders>
          </w:tcPr>
          <w:p w14:paraId="53C0C514">
            <w:pPr>
              <w:spacing w:line="440" w:lineRule="exact"/>
              <w:jc w:val="center"/>
              <w:rPr>
                <w:sz w:val="24"/>
              </w:rPr>
            </w:pPr>
            <w:r>
              <w:rPr>
                <w:rFonts w:hint="eastAsia"/>
                <w:sz w:val="24"/>
              </w:rPr>
              <w:t>……</w:t>
            </w:r>
          </w:p>
        </w:tc>
        <w:tc>
          <w:tcPr>
            <w:tcW w:w="2476" w:type="dxa"/>
            <w:tcBorders>
              <w:top w:val="single" w:color="auto" w:sz="4" w:space="0"/>
              <w:left w:val="single" w:color="auto" w:sz="4" w:space="0"/>
              <w:bottom w:val="single" w:color="auto" w:sz="4" w:space="0"/>
              <w:right w:val="single" w:color="auto" w:sz="4" w:space="0"/>
            </w:tcBorders>
          </w:tcPr>
          <w:p w14:paraId="40F2CA34">
            <w:pPr>
              <w:spacing w:line="440" w:lineRule="exact"/>
              <w:jc w:val="center"/>
              <w:rPr>
                <w:sz w:val="24"/>
              </w:rPr>
            </w:pPr>
            <w:r>
              <w:rPr>
                <w:rFonts w:hint="eastAsia"/>
                <w:sz w:val="24"/>
              </w:rPr>
              <w:t>……</w:t>
            </w:r>
          </w:p>
        </w:tc>
        <w:tc>
          <w:tcPr>
            <w:tcW w:w="4680" w:type="dxa"/>
            <w:tcBorders>
              <w:top w:val="single" w:color="auto" w:sz="4" w:space="0"/>
              <w:left w:val="single" w:color="auto" w:sz="4" w:space="0"/>
              <w:bottom w:val="single" w:color="auto" w:sz="4" w:space="0"/>
              <w:right w:val="single" w:color="auto" w:sz="4" w:space="0"/>
            </w:tcBorders>
          </w:tcPr>
          <w:p w14:paraId="1C85EC17">
            <w:pPr>
              <w:spacing w:line="440" w:lineRule="exact"/>
              <w:jc w:val="center"/>
              <w:rPr>
                <w:sz w:val="24"/>
              </w:rPr>
            </w:pPr>
            <w:r>
              <w:rPr>
                <w:rFonts w:hint="eastAsia"/>
                <w:sz w:val="24"/>
              </w:rPr>
              <w:t>……</w:t>
            </w:r>
          </w:p>
        </w:tc>
      </w:tr>
    </w:tbl>
    <w:p w14:paraId="4C4AD3A0">
      <w:pPr>
        <w:spacing w:line="360" w:lineRule="auto"/>
        <w:rPr>
          <w:rFonts w:ascii="宋体" w:hAnsi="宋体"/>
          <w:sz w:val="24"/>
        </w:rPr>
      </w:pPr>
      <w:r>
        <w:rPr>
          <w:rFonts w:hint="eastAsia" w:ascii="宋体" w:hAnsi="宋体"/>
          <w:sz w:val="24"/>
        </w:rPr>
        <w:t>注：</w:t>
      </w:r>
    </w:p>
    <w:p w14:paraId="009F1592">
      <w:pPr>
        <w:spacing w:line="360" w:lineRule="auto"/>
        <w:rPr>
          <w:rFonts w:ascii="宋体" w:hAnsi="宋体"/>
          <w:sz w:val="24"/>
        </w:rPr>
      </w:pPr>
      <w:r>
        <w:t xml:space="preserve">    </w:t>
      </w:r>
      <w:r>
        <w:rPr>
          <w:rFonts w:hint="eastAsia" w:ascii="宋体" w:hAnsi="宋体"/>
          <w:sz w:val="24"/>
        </w:rPr>
        <w:t>（1）招标人应科学合理地设定评标办法,以保证足够的竞争性。</w:t>
      </w:r>
    </w:p>
    <w:p w14:paraId="5CAB04E7">
      <w:pPr>
        <w:spacing w:line="360" w:lineRule="auto"/>
        <w:rPr>
          <w:rFonts w:ascii="宋体" w:hAnsi="宋体"/>
          <w:sz w:val="24"/>
        </w:rPr>
      </w:pPr>
      <w:r>
        <w:rPr>
          <w:rFonts w:hint="eastAsia" w:ascii="宋体" w:hAnsi="宋体"/>
          <w:sz w:val="24"/>
        </w:rPr>
        <w:t>（2）不得设定特定行政区域或者特定行业的奖项作为加分条件,不得设定与招标项目的具体特点不相适应的奖项作为加分条件,不得设定全国评比达标表彰工作协调小组办公室按照 《评比达标表彰活动管理办法》公布的目录以外的奖项作为加分条件;招标项目的技术指标达到相应奖项申报条件的,方可设置相应奖项作为加分条件;设定奖项年限为近3年的,个数不得超过1个,设定奖项年限为近5年及以上的,个数不得超过2个;评标办法中各类奖项加分总分值不得超过3分 。</w:t>
      </w:r>
    </w:p>
    <w:p w14:paraId="3E5DB7AC">
      <w:pPr>
        <w:spacing w:line="360" w:lineRule="auto"/>
        <w:rPr>
          <w:rFonts w:ascii="宋体" w:hAnsi="宋体"/>
          <w:sz w:val="24"/>
        </w:rPr>
      </w:pPr>
      <w:r>
        <w:rPr>
          <w:rFonts w:hint="eastAsia" w:ascii="宋体" w:hAnsi="宋体"/>
          <w:sz w:val="24"/>
        </w:rPr>
        <w:t xml:space="preserve">（3）不得设定特定行政区域或者特定行业的业绩作为加分条件;不得设定与招标项目的具体特点不相适应的业绩作为加分条件;设定的业绩每类别个数不得超过3个(含资格条件个数)。 </w:t>
      </w:r>
    </w:p>
    <w:p w14:paraId="2484981A">
      <w:pPr>
        <w:spacing w:line="360" w:lineRule="auto"/>
        <w:rPr>
          <w:rFonts w:ascii="宋体" w:hAnsi="宋体"/>
          <w:sz w:val="24"/>
        </w:rPr>
      </w:pPr>
      <w:r>
        <w:rPr>
          <w:rFonts w:hint="eastAsia" w:ascii="宋体" w:hAnsi="宋体"/>
          <w:sz w:val="24"/>
        </w:rPr>
        <w:t>（4）按照 《国务院办公厅关于加快推进社会信用体系建设构建以信用为基础的新型监管机制的指导意见》(国办发(2019)35号)精神,不得设定不属于国家有关部门或其授权的行业协会商会开展的信用评价作为加分条件。</w:t>
      </w:r>
    </w:p>
    <w:p w14:paraId="1AEFBAB9">
      <w:pPr>
        <w:spacing w:line="360" w:lineRule="auto"/>
        <w:rPr>
          <w:rFonts w:ascii="宋体" w:hAnsi="宋体"/>
          <w:sz w:val="24"/>
        </w:rPr>
      </w:pPr>
      <w:r>
        <w:rPr>
          <w:rFonts w:hint="eastAsia" w:ascii="宋体" w:hAnsi="宋体"/>
          <w:sz w:val="24"/>
        </w:rPr>
        <w:t>（5）不得将施工员、质量员、安全员等现场管理人员岗位证书设定为加分条件,也不得将其他未列入国家职业资格目录的人员资格设定为加分条件。</w:t>
      </w:r>
    </w:p>
    <w:p w14:paraId="5146E934">
      <w:pPr>
        <w:spacing w:line="360" w:lineRule="auto"/>
        <w:rPr>
          <w:rFonts w:ascii="宋体" w:hAnsi="宋体"/>
          <w:sz w:val="24"/>
        </w:rPr>
      </w:pPr>
      <w:r>
        <w:rPr>
          <w:rFonts w:hint="eastAsia" w:ascii="宋体" w:hAnsi="宋体"/>
          <w:sz w:val="24"/>
        </w:rPr>
        <w:t>（6）评标委员会在评标过程中，如要求投标人澄清或说明的，评标委员会要求投标人在线澄清或说明的时间距投标人收到评标委员会通知的时间不得少于 60分钟。</w:t>
      </w:r>
    </w:p>
    <w:p w14:paraId="21628857">
      <w:pPr>
        <w:spacing w:line="360" w:lineRule="auto"/>
        <w:rPr>
          <w:rFonts w:ascii="宋体" w:hAnsi="宋体"/>
          <w:sz w:val="24"/>
        </w:rPr>
      </w:pPr>
      <w:r>
        <w:t xml:space="preserve">    </w:t>
      </w:r>
      <w:r>
        <w:rPr>
          <w:rFonts w:hint="eastAsia" w:ascii="宋体" w:hAnsi="宋体"/>
          <w:sz w:val="24"/>
        </w:rPr>
        <w:t>评标委员会认为投标人的澄清或说明不够明确，应再次要求投标人对不明确的内容进行澄清或说明，评标委员会要求投标人再次在线澄清或说明的时间距投标人收到评标委员会通知的时间不得少于 30 分钟。</w:t>
      </w:r>
    </w:p>
    <w:p w14:paraId="24C51D3B">
      <w:pPr>
        <w:spacing w:line="360" w:lineRule="auto"/>
        <w:rPr>
          <w:rFonts w:ascii="宋体" w:hAnsi="宋体"/>
          <w:sz w:val="24"/>
        </w:rPr>
      </w:pPr>
      <w:r>
        <w:t xml:space="preserve">    </w:t>
      </w:r>
      <w:r>
        <w:rPr>
          <w:rFonts w:hint="eastAsia" w:ascii="宋体" w:hAnsi="宋体"/>
          <w:sz w:val="24"/>
        </w:rPr>
        <w:t>投标人未在规定时间内作出澄清或说明的，或者评标委员会成员认为该投标人的两次澄清或说明都不符合评标委员会要求的，作否决投标处理。</w:t>
      </w:r>
    </w:p>
    <w:p w14:paraId="340B4B3A">
      <w:pPr>
        <w:spacing w:line="360" w:lineRule="auto"/>
        <w:rPr>
          <w:rFonts w:ascii="宋体" w:hAnsi="宋体"/>
          <w:sz w:val="24"/>
        </w:rPr>
      </w:pPr>
      <w:r>
        <w:t xml:space="preserve">    </w:t>
      </w:r>
      <w:r>
        <w:rPr>
          <w:rFonts w:hint="eastAsia" w:ascii="宋体" w:hAnsi="宋体"/>
          <w:sz w:val="24"/>
        </w:rPr>
        <w:t>（</w:t>
      </w:r>
      <w:r>
        <w:rPr>
          <w:rFonts w:ascii="宋体" w:hAnsi="宋体"/>
          <w:sz w:val="24"/>
        </w:rPr>
        <w:t>7</w:t>
      </w:r>
      <w:r>
        <w:rPr>
          <w:rFonts w:hint="eastAsia" w:ascii="宋体" w:hAnsi="宋体"/>
          <w:sz w:val="24"/>
        </w:rPr>
        <w:t>）投标人串通投标或弄虚作假或有其他违法行为，评标委员会在评标过程中发现，证据确凿的，经评标委员会成员三分之二以上同意，其投标作否决投标处理；证据不够确凿的，其投标不能作否决投标处理，但评标委员会在向招标人提交书面评标报告时，应予说明。</w:t>
      </w:r>
    </w:p>
    <w:p w14:paraId="158E7983">
      <w:pPr>
        <w:spacing w:line="360" w:lineRule="auto"/>
        <w:rPr>
          <w:rFonts w:ascii="宋体" w:hAnsi="宋体"/>
          <w:sz w:val="24"/>
        </w:rPr>
      </w:pPr>
      <w:r>
        <w:t xml:space="preserve">    </w:t>
      </w:r>
      <w:r>
        <w:rPr>
          <w:rFonts w:hint="eastAsia" w:ascii="宋体" w:hAnsi="宋体"/>
          <w:sz w:val="24"/>
        </w:rPr>
        <w:t>在评标结束后发现投标人串通投标或弄虚作假或有其他违法行为，查证属实的，取消其中标资格。</w:t>
      </w:r>
    </w:p>
    <w:p w14:paraId="5D4164C1">
      <w:pPr>
        <w:spacing w:line="400" w:lineRule="exact"/>
      </w:pPr>
      <w:r>
        <w:br w:type="page"/>
      </w:r>
    </w:p>
    <w:p w14:paraId="38545AD6">
      <w:pPr>
        <w:pStyle w:val="4"/>
      </w:pPr>
      <w:bookmarkStart w:id="374" w:name="_Toc247527625"/>
      <w:bookmarkStart w:id="375" w:name="_Toc247514024"/>
      <w:bookmarkStart w:id="376" w:name="_Toc152042377"/>
      <w:bookmarkStart w:id="377" w:name="_Toc144974567"/>
      <w:bookmarkStart w:id="378" w:name="_Toc300835010"/>
      <w:bookmarkStart w:id="379" w:name="_Toc152045600"/>
      <w:r>
        <w:rPr>
          <w:rFonts w:hint="eastAsia"/>
        </w:rPr>
        <w:t>1. 评标方法</w:t>
      </w:r>
      <w:bookmarkEnd w:id="374"/>
      <w:bookmarkEnd w:id="375"/>
      <w:bookmarkEnd w:id="376"/>
      <w:bookmarkEnd w:id="377"/>
      <w:bookmarkEnd w:id="378"/>
      <w:bookmarkEnd w:id="379"/>
    </w:p>
    <w:p w14:paraId="0C0D21BA">
      <w:pPr>
        <w:spacing w:line="400" w:lineRule="exact"/>
        <w:ind w:firstLine="420" w:firstLineChars="200"/>
      </w:pPr>
      <w:r>
        <w:rPr>
          <w:rFonts w:hint="eastAsia"/>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14:paraId="6A2F3C7F">
      <w:pPr>
        <w:pStyle w:val="4"/>
      </w:pPr>
      <w:bookmarkStart w:id="380" w:name="_Toc152042378"/>
      <w:bookmarkStart w:id="381" w:name="_Toc300835011"/>
      <w:bookmarkStart w:id="382" w:name="_Toc247514025"/>
      <w:bookmarkStart w:id="383" w:name="_Toc152045601"/>
      <w:bookmarkStart w:id="384" w:name="_Toc144974568"/>
      <w:bookmarkStart w:id="385" w:name="_Toc247527626"/>
      <w:r>
        <w:rPr>
          <w:rFonts w:hint="eastAsia"/>
        </w:rPr>
        <w:t>2. 评审标准</w:t>
      </w:r>
      <w:bookmarkEnd w:id="380"/>
      <w:bookmarkEnd w:id="381"/>
      <w:bookmarkEnd w:id="382"/>
      <w:bookmarkEnd w:id="383"/>
      <w:bookmarkEnd w:id="384"/>
      <w:bookmarkEnd w:id="385"/>
    </w:p>
    <w:p w14:paraId="426884CF">
      <w:pPr>
        <w:pStyle w:val="2"/>
      </w:pPr>
      <w:bookmarkStart w:id="386" w:name="_Toc247527627"/>
      <w:bookmarkStart w:id="387" w:name="_Toc247514026"/>
      <w:bookmarkStart w:id="388" w:name="_Toc152045602"/>
      <w:bookmarkStart w:id="389" w:name="_Toc152042379"/>
      <w:bookmarkStart w:id="390" w:name="_Toc300835012"/>
      <w:bookmarkStart w:id="391" w:name="_Toc144974569"/>
      <w:r>
        <w:rPr>
          <w:rFonts w:hint="eastAsia" w:ascii="Times New Roman" w:hAnsi="Times New Roman"/>
        </w:rPr>
        <w:t>2.1</w:t>
      </w:r>
      <w:r>
        <w:rPr>
          <w:rFonts w:hint="eastAsia"/>
        </w:rPr>
        <w:t xml:space="preserve"> 初步评审标准</w:t>
      </w:r>
      <w:bookmarkEnd w:id="386"/>
      <w:bookmarkEnd w:id="387"/>
      <w:bookmarkEnd w:id="388"/>
      <w:bookmarkEnd w:id="389"/>
      <w:bookmarkEnd w:id="390"/>
      <w:bookmarkEnd w:id="391"/>
    </w:p>
    <w:p w14:paraId="5A66FC61">
      <w:pPr>
        <w:spacing w:line="400" w:lineRule="exact"/>
        <w:ind w:firstLine="420" w:firstLineChars="200"/>
      </w:pPr>
      <w:r>
        <w:rPr>
          <w:rFonts w:hint="eastAsia"/>
        </w:rPr>
        <w:t>2.1.1 形式评审标准：见评标办法前附表。</w:t>
      </w:r>
    </w:p>
    <w:p w14:paraId="4C9AA1AB">
      <w:pPr>
        <w:spacing w:line="400" w:lineRule="exact"/>
        <w:ind w:firstLine="420" w:firstLineChars="200"/>
      </w:pPr>
      <w:r>
        <w:rPr>
          <w:rFonts w:hint="eastAsia"/>
        </w:rPr>
        <w:t>2.1.2 资格评审标准：见评标办法前附表。</w:t>
      </w:r>
    </w:p>
    <w:p w14:paraId="41741D8D">
      <w:pPr>
        <w:spacing w:line="400" w:lineRule="exact"/>
        <w:ind w:firstLine="420" w:firstLineChars="200"/>
      </w:pPr>
      <w:r>
        <w:rPr>
          <w:rFonts w:hint="eastAsia"/>
        </w:rPr>
        <w:t>2.1.3 响应性评审标准：见评标办法前附表。</w:t>
      </w:r>
    </w:p>
    <w:p w14:paraId="4671A092">
      <w:pPr>
        <w:pStyle w:val="2"/>
      </w:pPr>
      <w:bookmarkStart w:id="392" w:name="_Toc247514027"/>
      <w:bookmarkStart w:id="393" w:name="_Toc152045603"/>
      <w:bookmarkStart w:id="394" w:name="_Toc152042380"/>
      <w:bookmarkStart w:id="395" w:name="_Toc144974570"/>
      <w:bookmarkStart w:id="396" w:name="_Toc300835013"/>
      <w:bookmarkStart w:id="397" w:name="_Toc247527628"/>
      <w:r>
        <w:rPr>
          <w:rFonts w:hint="eastAsia" w:ascii="Times New Roman" w:hAnsi="Times New Roman"/>
        </w:rPr>
        <w:t>2.2</w:t>
      </w:r>
      <w:r>
        <w:rPr>
          <w:rFonts w:hint="eastAsia"/>
        </w:rPr>
        <w:t xml:space="preserve"> 分值构成与评分标准</w:t>
      </w:r>
      <w:bookmarkEnd w:id="392"/>
      <w:bookmarkEnd w:id="393"/>
      <w:bookmarkEnd w:id="394"/>
      <w:bookmarkEnd w:id="395"/>
      <w:bookmarkEnd w:id="396"/>
      <w:bookmarkEnd w:id="397"/>
    </w:p>
    <w:p w14:paraId="7178AC85">
      <w:pPr>
        <w:spacing w:line="400" w:lineRule="exact"/>
        <w:ind w:firstLine="420" w:firstLineChars="200"/>
      </w:pPr>
      <w:r>
        <w:rPr>
          <w:rFonts w:hint="eastAsia"/>
        </w:rPr>
        <w:t>2.2.1 分值构成</w:t>
      </w:r>
    </w:p>
    <w:p w14:paraId="1B83903F">
      <w:pPr>
        <w:spacing w:line="400" w:lineRule="exact"/>
        <w:ind w:firstLine="420" w:firstLineChars="200"/>
      </w:pPr>
      <w:r>
        <w:rPr>
          <w:rFonts w:hint="eastAsia"/>
        </w:rPr>
        <w:t>（1）承包人建议书：见评标办法前附表；</w:t>
      </w:r>
    </w:p>
    <w:p w14:paraId="0C3A9BA0">
      <w:pPr>
        <w:spacing w:line="400" w:lineRule="exact"/>
        <w:ind w:firstLine="420" w:firstLineChars="200"/>
      </w:pPr>
      <w:r>
        <w:rPr>
          <w:rFonts w:hint="eastAsia"/>
        </w:rPr>
        <w:t>（2）资信业绩部分：见评标办法前附表；</w:t>
      </w:r>
    </w:p>
    <w:p w14:paraId="61EADB64">
      <w:pPr>
        <w:spacing w:line="400" w:lineRule="exact"/>
        <w:ind w:firstLine="420" w:firstLineChars="200"/>
      </w:pPr>
      <w:r>
        <w:rPr>
          <w:rFonts w:hint="eastAsia"/>
        </w:rPr>
        <w:t>（3）承包人实施方案：见评标办法前附表；</w:t>
      </w:r>
    </w:p>
    <w:p w14:paraId="39083B0E">
      <w:pPr>
        <w:spacing w:line="400" w:lineRule="exact"/>
        <w:ind w:firstLine="420" w:firstLineChars="200"/>
      </w:pPr>
      <w:r>
        <w:rPr>
          <w:rFonts w:hint="eastAsia"/>
        </w:rPr>
        <w:t>（4）投标报价：见评标办法前附表；</w:t>
      </w:r>
    </w:p>
    <w:p w14:paraId="5D72B3F2">
      <w:pPr>
        <w:spacing w:line="400" w:lineRule="exact"/>
        <w:ind w:firstLine="420" w:firstLineChars="200"/>
      </w:pPr>
      <w:r>
        <w:rPr>
          <w:rFonts w:hint="eastAsia"/>
        </w:rPr>
        <w:t>（5）</w:t>
      </w:r>
      <w:r>
        <w:t>其他评分因素：</w:t>
      </w:r>
      <w:r>
        <w:rPr>
          <w:rFonts w:hint="eastAsia"/>
        </w:rPr>
        <w:t>见评标办法前附表。</w:t>
      </w:r>
    </w:p>
    <w:p w14:paraId="5E0C0FE3">
      <w:pPr>
        <w:spacing w:line="400" w:lineRule="exact"/>
        <w:ind w:firstLine="420" w:firstLineChars="200"/>
      </w:pPr>
      <w:r>
        <w:rPr>
          <w:rFonts w:hint="eastAsia"/>
        </w:rPr>
        <w:t>2.2.2 评标基准价计算</w:t>
      </w:r>
    </w:p>
    <w:p w14:paraId="45DC99F6">
      <w:pPr>
        <w:spacing w:line="400" w:lineRule="exact"/>
        <w:ind w:firstLine="420" w:firstLineChars="200"/>
      </w:pPr>
      <w:r>
        <w:rPr>
          <w:rFonts w:hint="eastAsia"/>
        </w:rPr>
        <w:t>评标基准价计算方法：见评标办法前附表。</w:t>
      </w:r>
    </w:p>
    <w:p w14:paraId="549F7E86">
      <w:pPr>
        <w:spacing w:line="400" w:lineRule="exact"/>
        <w:ind w:firstLine="420" w:firstLineChars="200"/>
      </w:pPr>
      <w:r>
        <w:rPr>
          <w:rFonts w:hint="eastAsia"/>
        </w:rPr>
        <w:t>2.2.3 投标报价的偏差率计算</w:t>
      </w:r>
    </w:p>
    <w:p w14:paraId="54A6443E">
      <w:pPr>
        <w:spacing w:line="400" w:lineRule="exact"/>
        <w:ind w:firstLine="420" w:firstLineChars="200"/>
      </w:pPr>
      <w:r>
        <w:rPr>
          <w:rFonts w:hint="eastAsia"/>
        </w:rPr>
        <w:t>投标报价的偏差率计算公式：见评标办法前附表。</w:t>
      </w:r>
    </w:p>
    <w:p w14:paraId="0A790D3D">
      <w:pPr>
        <w:spacing w:line="400" w:lineRule="exact"/>
        <w:ind w:firstLine="420" w:firstLineChars="200"/>
      </w:pPr>
      <w:r>
        <w:rPr>
          <w:rFonts w:hint="eastAsia"/>
        </w:rPr>
        <w:t>2.2.4 评分标准</w:t>
      </w:r>
    </w:p>
    <w:p w14:paraId="01DC5227">
      <w:pPr>
        <w:spacing w:line="400" w:lineRule="exact"/>
        <w:ind w:firstLine="420" w:firstLineChars="200"/>
      </w:pPr>
      <w:r>
        <w:rPr>
          <w:rFonts w:hint="eastAsia"/>
        </w:rPr>
        <w:t>（1）承包人建议书评分标准：见评标办法前附表；</w:t>
      </w:r>
    </w:p>
    <w:p w14:paraId="4583507C">
      <w:pPr>
        <w:spacing w:line="400" w:lineRule="exact"/>
        <w:ind w:firstLine="420" w:firstLineChars="200"/>
      </w:pPr>
      <w:r>
        <w:rPr>
          <w:rFonts w:hint="eastAsia"/>
        </w:rPr>
        <w:t>（2）资信业绩评分标准：见评标办法前附表；</w:t>
      </w:r>
    </w:p>
    <w:p w14:paraId="34113333">
      <w:pPr>
        <w:spacing w:line="400" w:lineRule="exact"/>
        <w:ind w:firstLine="420" w:firstLineChars="200"/>
      </w:pPr>
      <w:r>
        <w:rPr>
          <w:rFonts w:hint="eastAsia"/>
        </w:rPr>
        <w:t>（3）承包人实施方案评分标准：见评标办法前附表；</w:t>
      </w:r>
    </w:p>
    <w:p w14:paraId="2DCFAE40">
      <w:pPr>
        <w:spacing w:line="400" w:lineRule="exact"/>
        <w:ind w:firstLine="420" w:firstLineChars="200"/>
      </w:pPr>
      <w:r>
        <w:rPr>
          <w:rFonts w:hint="eastAsia"/>
        </w:rPr>
        <w:t>（4）投标报价评分标准：见评标办法前附表；</w:t>
      </w:r>
    </w:p>
    <w:p w14:paraId="59EBF09B">
      <w:pPr>
        <w:spacing w:line="400" w:lineRule="exact"/>
        <w:ind w:firstLine="420" w:firstLineChars="200"/>
      </w:pPr>
      <w:r>
        <w:rPr>
          <w:rFonts w:hint="eastAsia"/>
        </w:rPr>
        <w:t>（5）其他因素评分标准：见评标办法前附表。</w:t>
      </w:r>
    </w:p>
    <w:p w14:paraId="46D41EC7">
      <w:pPr>
        <w:pStyle w:val="4"/>
      </w:pPr>
      <w:bookmarkStart w:id="398" w:name="_Toc144974571"/>
      <w:bookmarkStart w:id="399" w:name="_Toc247514028"/>
      <w:bookmarkStart w:id="400" w:name="_Toc300835014"/>
      <w:bookmarkStart w:id="401" w:name="_Toc247527629"/>
      <w:bookmarkStart w:id="402" w:name="_Toc152045604"/>
      <w:bookmarkStart w:id="403" w:name="_Toc152042381"/>
      <w:r>
        <w:rPr>
          <w:rFonts w:hint="eastAsia"/>
        </w:rPr>
        <w:t>3. 评标程序</w:t>
      </w:r>
      <w:bookmarkEnd w:id="398"/>
      <w:bookmarkEnd w:id="399"/>
      <w:bookmarkEnd w:id="400"/>
      <w:bookmarkEnd w:id="401"/>
      <w:bookmarkEnd w:id="402"/>
      <w:bookmarkEnd w:id="403"/>
    </w:p>
    <w:p w14:paraId="1720DBB2">
      <w:pPr>
        <w:pStyle w:val="2"/>
      </w:pPr>
      <w:bookmarkStart w:id="404" w:name="_Toc152042382"/>
      <w:bookmarkStart w:id="405" w:name="_Toc300835015"/>
      <w:bookmarkStart w:id="406" w:name="_Toc152045605"/>
      <w:bookmarkStart w:id="407" w:name="_Toc247514029"/>
      <w:bookmarkStart w:id="408" w:name="_Toc144974572"/>
      <w:bookmarkStart w:id="409" w:name="_Toc247527630"/>
      <w:r>
        <w:rPr>
          <w:rFonts w:hint="eastAsia" w:ascii="Times New Roman" w:hAnsi="Times New Roman"/>
        </w:rPr>
        <w:t>3.1</w:t>
      </w:r>
      <w:r>
        <w:rPr>
          <w:rFonts w:hint="eastAsia"/>
        </w:rPr>
        <w:t xml:space="preserve"> 初步评审</w:t>
      </w:r>
      <w:bookmarkEnd w:id="404"/>
      <w:bookmarkEnd w:id="405"/>
      <w:bookmarkEnd w:id="406"/>
      <w:bookmarkEnd w:id="407"/>
      <w:bookmarkEnd w:id="408"/>
      <w:bookmarkEnd w:id="409"/>
    </w:p>
    <w:p w14:paraId="30FA6123">
      <w:pPr>
        <w:spacing w:line="400" w:lineRule="exact"/>
        <w:ind w:firstLine="420" w:firstLineChars="200"/>
      </w:pPr>
      <w:r>
        <w:rPr>
          <w:rFonts w:hint="eastAsia"/>
        </w:rPr>
        <w:t>3.1.1 评标委员会依据本章第2.1款规定的标准对投标文件进行初步评审。有一项不符合评审标准的，评标委员会应当否决其投标。（适用于未进行资格预审的）</w:t>
      </w:r>
    </w:p>
    <w:p w14:paraId="5F2E50A6">
      <w:pPr>
        <w:spacing w:line="400" w:lineRule="exact"/>
        <w:ind w:firstLine="420" w:firstLineChars="200"/>
      </w:pPr>
      <w:r>
        <w:rPr>
          <w:rFonts w:hint="eastAsia"/>
        </w:rPr>
        <w:t>3.1.1 评标委员会依据本章第2.1.1项、第2.1.3项规定的评审标准对投标文件进行初步评审。有一项不符合评审标准的，评标委员会应当否决其投标。当投标人资格预审申请文件的内容发生重大变化时，评标委员会依据本章第2.1.2项规定的标准对其更新资料进行评审。（适用于已进行资格预审的）</w:t>
      </w:r>
    </w:p>
    <w:p w14:paraId="30201938">
      <w:pPr>
        <w:spacing w:line="400" w:lineRule="exact"/>
        <w:ind w:firstLine="420" w:firstLineChars="200"/>
      </w:pPr>
      <w:r>
        <w:rPr>
          <w:rFonts w:hint="eastAsia"/>
        </w:rPr>
        <w:t>3.1.2 投标人有以下情形之一的，评标委员会应当否决其投标：</w:t>
      </w:r>
    </w:p>
    <w:p w14:paraId="7C9E148A">
      <w:pPr>
        <w:spacing w:line="400" w:lineRule="exact"/>
        <w:ind w:firstLine="420" w:firstLineChars="200"/>
      </w:pPr>
      <w:r>
        <w:rPr>
          <w:rFonts w:hint="eastAsia"/>
        </w:rPr>
        <w:t>（1）第二章“投标人须知”第1.4.3项、第1.4.4项规定的任何一种情形的；</w:t>
      </w:r>
    </w:p>
    <w:p w14:paraId="4C96B6BB">
      <w:pPr>
        <w:spacing w:line="400" w:lineRule="exact"/>
        <w:ind w:firstLine="420" w:firstLineChars="200"/>
      </w:pPr>
      <w:r>
        <w:rPr>
          <w:rFonts w:hint="eastAsia"/>
        </w:rPr>
        <w:t>（2）串通投标或弄虚作假或有其他违法行为的；</w:t>
      </w:r>
    </w:p>
    <w:p w14:paraId="44DD4DD0">
      <w:pPr>
        <w:spacing w:line="400" w:lineRule="exact"/>
        <w:ind w:firstLine="420" w:firstLineChars="200"/>
      </w:pPr>
      <w:r>
        <w:rPr>
          <w:rFonts w:hint="eastAsia"/>
        </w:rPr>
        <w:t>（3）不按评标委员会要求澄清、说明或补正的。</w:t>
      </w:r>
    </w:p>
    <w:p w14:paraId="18747E56">
      <w:pPr>
        <w:spacing w:line="400" w:lineRule="exact"/>
        <w:ind w:firstLine="420" w:firstLineChars="200"/>
      </w:pPr>
      <w:r>
        <w:rPr>
          <w:rFonts w:hint="eastAsia"/>
        </w:rPr>
        <w:t>3.1.3 投标报价有算术错误的，评标委员会按以下原则对投标报价进行修正，修正的价格经投标人书面确认后具有约束力。投标人不接受修正价格的，评标委员会应当否决其投标。</w:t>
      </w:r>
    </w:p>
    <w:p w14:paraId="3B6C17A0">
      <w:pPr>
        <w:spacing w:line="400" w:lineRule="exact"/>
        <w:ind w:firstLine="420" w:firstLineChars="200"/>
      </w:pPr>
      <w:bookmarkStart w:id="410" w:name="_Toc152042383"/>
      <w:r>
        <w:rPr>
          <w:rFonts w:hint="eastAsia"/>
        </w:rPr>
        <w:t>（1）投标文件中的大写金额与小写金额不一致的，以大写金额为准；</w:t>
      </w:r>
      <w:bookmarkEnd w:id="410"/>
    </w:p>
    <w:p w14:paraId="6D3795BA">
      <w:pPr>
        <w:spacing w:line="400" w:lineRule="exact"/>
        <w:ind w:firstLine="420" w:firstLineChars="200"/>
      </w:pPr>
      <w:r>
        <w:rPr>
          <w:rFonts w:hint="eastAsia"/>
        </w:rPr>
        <w:t>（2）总价金额与依据单价计算出的结果不一致的，以单价金额为准修正总价，但单价金额小数点有明显错误的除外。</w:t>
      </w:r>
    </w:p>
    <w:p w14:paraId="45D1D6C4">
      <w:pPr>
        <w:pStyle w:val="2"/>
      </w:pPr>
      <w:bookmarkStart w:id="411" w:name="_Toc152042384"/>
      <w:bookmarkStart w:id="412" w:name="_Toc247514030"/>
      <w:bookmarkStart w:id="413" w:name="_Toc247527631"/>
      <w:bookmarkStart w:id="414" w:name="_Toc144974573"/>
      <w:bookmarkStart w:id="415" w:name="_Toc300835016"/>
      <w:bookmarkStart w:id="416" w:name="_Toc152045606"/>
      <w:r>
        <w:rPr>
          <w:rFonts w:hint="eastAsia" w:ascii="Times New Roman" w:hAnsi="Times New Roman"/>
        </w:rPr>
        <w:t>3.2</w:t>
      </w:r>
      <w:r>
        <w:rPr>
          <w:rFonts w:hint="eastAsia"/>
        </w:rPr>
        <w:t xml:space="preserve"> 详细评审</w:t>
      </w:r>
      <w:bookmarkEnd w:id="411"/>
      <w:bookmarkEnd w:id="412"/>
      <w:bookmarkEnd w:id="413"/>
      <w:bookmarkEnd w:id="414"/>
      <w:bookmarkEnd w:id="415"/>
      <w:bookmarkEnd w:id="416"/>
    </w:p>
    <w:p w14:paraId="052E71B4">
      <w:pPr>
        <w:spacing w:line="400" w:lineRule="exact"/>
        <w:ind w:firstLine="420" w:firstLineChars="200"/>
      </w:pPr>
      <w:r>
        <w:rPr>
          <w:rFonts w:hint="eastAsia"/>
        </w:rPr>
        <w:t>3.2.1 评标委员会按本章第2.2款规定的量化因素和分值进行打分，并计算出综合评估得分。评标办法前附表对承包人建议书中的设计文件评审有特殊规定的，从其规定。</w:t>
      </w:r>
    </w:p>
    <w:p w14:paraId="1A0161F1">
      <w:pPr>
        <w:spacing w:line="400" w:lineRule="exact"/>
        <w:ind w:firstLine="420" w:firstLineChars="200"/>
      </w:pPr>
      <w:r>
        <w:rPr>
          <w:rFonts w:hint="eastAsia"/>
        </w:rPr>
        <w:t>（1）按本章第2.2.4（1）目规定的评审因素和分值对承包人建议书计算出得分A；</w:t>
      </w:r>
      <w:r>
        <w:t xml:space="preserve"> </w:t>
      </w:r>
    </w:p>
    <w:p w14:paraId="0FE2CEDA">
      <w:pPr>
        <w:spacing w:line="400" w:lineRule="exact"/>
        <w:ind w:firstLine="420" w:firstLineChars="200"/>
      </w:pPr>
      <w:r>
        <w:rPr>
          <w:rFonts w:hint="eastAsia"/>
        </w:rPr>
        <w:t>（2）按本章第2.2.4（2）目规定的评审因素和分值对资信业绩部分计算出得分B；</w:t>
      </w:r>
    </w:p>
    <w:p w14:paraId="1C22063F">
      <w:pPr>
        <w:spacing w:line="400" w:lineRule="exact"/>
        <w:ind w:firstLine="420" w:firstLineChars="200"/>
      </w:pPr>
      <w:r>
        <w:rPr>
          <w:rFonts w:hint="eastAsia"/>
        </w:rPr>
        <w:t>（3）按本章第2.2.4（3）目规定的评审因素和分值对承包人实施方案计算出得分C；</w:t>
      </w:r>
    </w:p>
    <w:p w14:paraId="753EC2E2">
      <w:pPr>
        <w:spacing w:line="400" w:lineRule="exact"/>
        <w:ind w:firstLine="420" w:firstLineChars="200"/>
      </w:pPr>
      <w:r>
        <w:rPr>
          <w:rFonts w:hint="eastAsia"/>
        </w:rPr>
        <w:t>（4）按本章第2.2.4（4）目规定的评审因素和分值对投标报价计算出得分D；</w:t>
      </w:r>
    </w:p>
    <w:p w14:paraId="4EAE66ED">
      <w:pPr>
        <w:spacing w:line="400" w:lineRule="exact"/>
        <w:ind w:firstLine="420" w:firstLineChars="200"/>
      </w:pPr>
      <w:r>
        <w:rPr>
          <w:rFonts w:hint="eastAsia"/>
        </w:rPr>
        <w:t>（5）按本章第2.2.4（5）目规定的评审因素和分值对其他部分计算出得分E。</w:t>
      </w:r>
    </w:p>
    <w:p w14:paraId="6209007B">
      <w:pPr>
        <w:spacing w:line="400" w:lineRule="exact"/>
        <w:ind w:firstLine="420" w:firstLineChars="200"/>
      </w:pPr>
      <w:r>
        <w:rPr>
          <w:rFonts w:hint="eastAsia"/>
        </w:rPr>
        <w:t>3.2.2 评分分值计算保留小数点后两位，小数点后第三位“四舍五入”。</w:t>
      </w:r>
    </w:p>
    <w:p w14:paraId="59F96375">
      <w:pPr>
        <w:spacing w:line="400" w:lineRule="exact"/>
        <w:ind w:firstLine="420" w:firstLineChars="200"/>
      </w:pPr>
      <w:r>
        <w:rPr>
          <w:rFonts w:hint="eastAsia"/>
        </w:rPr>
        <w:t>3.2.3 投标人得分=A+B+C+D+E。</w:t>
      </w:r>
    </w:p>
    <w:p w14:paraId="2374202C">
      <w:pPr>
        <w:spacing w:line="400" w:lineRule="exact"/>
        <w:ind w:firstLine="420" w:firstLineChars="200"/>
      </w:pPr>
      <w:r>
        <w:rPr>
          <w:rFonts w:hint="eastAsia"/>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应当否决其投标。</w:t>
      </w:r>
    </w:p>
    <w:p w14:paraId="16FAE704">
      <w:pPr>
        <w:pStyle w:val="2"/>
      </w:pPr>
      <w:bookmarkStart w:id="417" w:name="_Toc144974575"/>
      <w:bookmarkStart w:id="418" w:name="_Toc152045607"/>
      <w:bookmarkStart w:id="419" w:name="_Toc247514031"/>
      <w:bookmarkStart w:id="420" w:name="_Toc247527632"/>
      <w:bookmarkStart w:id="421" w:name="_Toc300835017"/>
      <w:bookmarkStart w:id="422" w:name="_Toc152042385"/>
      <w:r>
        <w:rPr>
          <w:rFonts w:hint="eastAsia" w:ascii="Times New Roman" w:hAnsi="Times New Roman"/>
        </w:rPr>
        <w:t>3.3</w:t>
      </w:r>
      <w:r>
        <w:rPr>
          <w:rFonts w:hint="eastAsia"/>
        </w:rPr>
        <w:t xml:space="preserve"> 投标文件的澄清</w:t>
      </w:r>
      <w:bookmarkEnd w:id="417"/>
      <w:r>
        <w:rPr>
          <w:rFonts w:hint="eastAsia"/>
        </w:rPr>
        <w:t>和补正</w:t>
      </w:r>
      <w:bookmarkEnd w:id="418"/>
      <w:bookmarkEnd w:id="419"/>
      <w:bookmarkEnd w:id="420"/>
      <w:bookmarkEnd w:id="421"/>
      <w:bookmarkEnd w:id="422"/>
    </w:p>
    <w:p w14:paraId="48CED364">
      <w:pPr>
        <w:spacing w:line="400" w:lineRule="exact"/>
        <w:ind w:firstLine="420" w:firstLineChars="200"/>
      </w:pPr>
      <w:r>
        <w:rPr>
          <w:rFonts w:hint="eastAsia"/>
        </w:rPr>
        <w:t>3.3.1 在评标过程中，评标委员会可以书面形式要求投标人对所提交投标文件中不明确的内容进行书面澄清或说明，或者对细微偏差进行补正。评标委员会不接受投标人主动提出的澄清、说明或补正。</w:t>
      </w:r>
    </w:p>
    <w:p w14:paraId="70F8B8E9">
      <w:pPr>
        <w:spacing w:line="400" w:lineRule="exact"/>
        <w:ind w:firstLine="420" w:firstLineChars="200"/>
      </w:pPr>
      <w:r>
        <w:rPr>
          <w:rFonts w:hint="eastAsia"/>
        </w:rPr>
        <w:t>3.3.2 澄清、说明和补正不得改变投标文件的实质性内容。投标人的书面澄清、说明和补正属于投标文件的组成部分。</w:t>
      </w:r>
    </w:p>
    <w:p w14:paraId="26BDE4D1">
      <w:pPr>
        <w:spacing w:line="400" w:lineRule="exact"/>
        <w:ind w:firstLine="420" w:firstLineChars="200"/>
      </w:pPr>
      <w:r>
        <w:rPr>
          <w:rFonts w:hint="eastAsia"/>
        </w:rPr>
        <w:t>3.3.3 评标委员会对投标人提交的澄清、说明或补正有疑问的，可以要求投标人进一步澄清、说明或补正，直至满足评标委员会的要求。</w:t>
      </w:r>
    </w:p>
    <w:p w14:paraId="14B0B709">
      <w:pPr>
        <w:pStyle w:val="2"/>
      </w:pPr>
      <w:bookmarkStart w:id="423" w:name="_Toc144974576"/>
      <w:bookmarkStart w:id="424" w:name="_Toc152045608"/>
      <w:bookmarkStart w:id="425" w:name="_Toc247527633"/>
      <w:bookmarkStart w:id="426" w:name="_Toc300835018"/>
      <w:bookmarkStart w:id="427" w:name="_Toc152042386"/>
      <w:bookmarkStart w:id="428" w:name="_Toc247514032"/>
      <w:r>
        <w:rPr>
          <w:rFonts w:hint="eastAsia" w:ascii="Times New Roman" w:hAnsi="Times New Roman"/>
        </w:rPr>
        <w:t>3.4</w:t>
      </w:r>
      <w:r>
        <w:rPr>
          <w:rFonts w:hint="eastAsia"/>
        </w:rPr>
        <w:t xml:space="preserve"> 评标结果</w:t>
      </w:r>
      <w:bookmarkEnd w:id="423"/>
      <w:bookmarkEnd w:id="424"/>
      <w:bookmarkEnd w:id="425"/>
      <w:bookmarkEnd w:id="426"/>
      <w:bookmarkEnd w:id="427"/>
      <w:bookmarkEnd w:id="428"/>
    </w:p>
    <w:p w14:paraId="7E370A57">
      <w:pPr>
        <w:spacing w:line="400" w:lineRule="exact"/>
        <w:ind w:firstLine="420" w:firstLineChars="200"/>
      </w:pPr>
      <w:r>
        <w:rPr>
          <w:rFonts w:hint="eastAsia"/>
        </w:rPr>
        <w:t>3.4.1 除第二章“投标人须知”前附表授权直接确定中标人外，评标委员会按照得分由高到低的顺序推荐中标候选人。</w:t>
      </w:r>
    </w:p>
    <w:p w14:paraId="30FAB65D">
      <w:pPr>
        <w:spacing w:line="400" w:lineRule="exact"/>
        <w:ind w:firstLine="420" w:firstLineChars="200"/>
      </w:pPr>
      <w:r>
        <w:rPr>
          <w:rFonts w:hint="eastAsia"/>
        </w:rPr>
        <w:t>3.4.2 评标委员会完成评标后，应当向招标人提交书面评标报告。</w:t>
      </w:r>
    </w:p>
    <w:p w14:paraId="0F0E67A9">
      <w:pPr>
        <w:pStyle w:val="4"/>
        <w:rPr>
          <w:rFonts w:ascii="宋体" w:hAnsi="宋体" w:eastAsia="宋体"/>
          <w:sz w:val="24"/>
          <w:szCs w:val="24"/>
        </w:rPr>
      </w:pPr>
      <w:r>
        <w:rPr>
          <w:rFonts w:hint="eastAsia"/>
        </w:rPr>
        <w:br w:type="page"/>
      </w:r>
      <w:r>
        <w:rPr>
          <w:rFonts w:hint="eastAsia" w:ascii="宋体" w:hAnsi="宋体" w:eastAsia="宋体"/>
          <w:sz w:val="24"/>
          <w:szCs w:val="24"/>
        </w:rPr>
        <w:t>附表1：评标委员会签到表</w:t>
      </w:r>
    </w:p>
    <w:p w14:paraId="4A757685">
      <w:pPr>
        <w:spacing w:line="360" w:lineRule="auto"/>
        <w:jc w:val="center"/>
        <w:rPr>
          <w:rFonts w:ascii="宋体" w:hAnsi="宋体"/>
          <w:b/>
          <w:sz w:val="24"/>
        </w:rPr>
      </w:pPr>
      <w:bookmarkStart w:id="429" w:name="_Toc17078_WPSOffice_Level1"/>
      <w:r>
        <w:rPr>
          <w:rFonts w:hint="eastAsia" w:ascii="宋体" w:hAnsi="宋体"/>
          <w:b/>
          <w:sz w:val="24"/>
        </w:rPr>
        <w:t>评标委员会</w:t>
      </w:r>
      <w:bookmarkEnd w:id="429"/>
      <w:r>
        <w:rPr>
          <w:rFonts w:hint="eastAsia" w:ascii="宋体" w:hAnsi="宋体"/>
          <w:b/>
          <w:sz w:val="24"/>
        </w:rPr>
        <w:t>名单</w:t>
      </w:r>
    </w:p>
    <w:p w14:paraId="7D009B35">
      <w:pPr>
        <w:spacing w:line="360" w:lineRule="auto"/>
        <w:rPr>
          <w:rFonts w:ascii="宋体" w:hAnsi="宋体" w:cs="宋体"/>
          <w:sz w:val="24"/>
        </w:rPr>
      </w:pPr>
    </w:p>
    <w:p w14:paraId="107CAAD3">
      <w:pPr>
        <w:spacing w:line="360" w:lineRule="auto"/>
        <w:ind w:firstLine="240" w:firstLineChars="100"/>
        <w:rPr>
          <w:rFonts w:ascii="宋体" w:hAnsi="宋体" w:cs="宋体"/>
          <w:sz w:val="24"/>
        </w:rPr>
      </w:pPr>
      <w:r>
        <w:rPr>
          <w:rFonts w:hint="eastAsia" w:ascii="宋体" w:hAnsi="宋体" w:cs="宋体"/>
          <w:sz w:val="24"/>
        </w:rPr>
        <w:t>工程名称：______（项目名称）</w:t>
      </w:r>
      <w:r>
        <w:rPr>
          <w:rFonts w:hint="eastAsia" w:ascii="宋体" w:hAnsi="宋体"/>
          <w:sz w:val="24"/>
        </w:rPr>
        <w:t>设计施工总承包</w:t>
      </w:r>
      <w:r>
        <w:rPr>
          <w:rFonts w:hint="eastAsia" w:ascii="宋体" w:hAnsi="宋体" w:cs="宋体"/>
          <w:sz w:val="24"/>
        </w:rPr>
        <w:t>_______标段</w:t>
      </w:r>
    </w:p>
    <w:p w14:paraId="3000EF3A">
      <w:pPr>
        <w:spacing w:line="360" w:lineRule="auto"/>
        <w:ind w:firstLine="240" w:firstLineChars="100"/>
        <w:rPr>
          <w:rFonts w:ascii="宋体" w:hAnsi="宋体" w:cs="宋体"/>
          <w:sz w:val="24"/>
        </w:rPr>
      </w:pP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9"/>
        <w:gridCol w:w="2206"/>
        <w:gridCol w:w="5145"/>
      </w:tblGrid>
      <w:tr w14:paraId="54A27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23FA8A84">
            <w:pPr>
              <w:spacing w:line="360" w:lineRule="auto"/>
              <w:jc w:val="center"/>
              <w:rPr>
                <w:rFonts w:ascii="宋体" w:hAnsi="宋体" w:cs="宋体"/>
                <w:sz w:val="24"/>
              </w:rPr>
            </w:pPr>
            <w:r>
              <w:rPr>
                <w:rFonts w:hint="eastAsia" w:ascii="宋体" w:hAnsi="宋体" w:cs="宋体"/>
                <w:sz w:val="24"/>
              </w:rPr>
              <w:t>序号</w:t>
            </w:r>
          </w:p>
        </w:tc>
        <w:tc>
          <w:tcPr>
            <w:tcW w:w="2206" w:type="dxa"/>
            <w:vAlign w:val="center"/>
          </w:tcPr>
          <w:p w14:paraId="4BF3AB95">
            <w:pPr>
              <w:spacing w:line="360" w:lineRule="auto"/>
              <w:jc w:val="center"/>
              <w:rPr>
                <w:rFonts w:ascii="宋体" w:hAnsi="宋体" w:cs="宋体"/>
                <w:sz w:val="24"/>
              </w:rPr>
            </w:pPr>
            <w:r>
              <w:rPr>
                <w:rFonts w:hint="eastAsia" w:ascii="宋体" w:hAnsi="宋体" w:cs="宋体"/>
                <w:sz w:val="24"/>
              </w:rPr>
              <w:t>姓名</w:t>
            </w:r>
          </w:p>
        </w:tc>
        <w:tc>
          <w:tcPr>
            <w:tcW w:w="5145" w:type="dxa"/>
            <w:vAlign w:val="center"/>
          </w:tcPr>
          <w:p w14:paraId="0BA72CB5">
            <w:pPr>
              <w:spacing w:line="360" w:lineRule="auto"/>
              <w:jc w:val="center"/>
              <w:rPr>
                <w:rFonts w:ascii="宋体" w:hAnsi="宋体" w:cs="宋体"/>
                <w:sz w:val="24"/>
              </w:rPr>
            </w:pPr>
            <w:r>
              <w:rPr>
                <w:rFonts w:hint="eastAsia" w:ascii="宋体" w:hAnsi="宋体" w:cs="宋体"/>
                <w:sz w:val="24"/>
              </w:rPr>
              <w:t>工作单位</w:t>
            </w:r>
          </w:p>
        </w:tc>
      </w:tr>
      <w:tr w14:paraId="0BB4C0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53EF1726">
            <w:pPr>
              <w:spacing w:line="360" w:lineRule="auto"/>
              <w:jc w:val="center"/>
              <w:rPr>
                <w:rFonts w:ascii="宋体" w:hAnsi="宋体" w:cs="宋体"/>
                <w:sz w:val="24"/>
              </w:rPr>
            </w:pPr>
            <w:r>
              <w:rPr>
                <w:rFonts w:hint="eastAsia" w:ascii="宋体" w:hAnsi="宋体" w:cs="宋体"/>
                <w:sz w:val="24"/>
              </w:rPr>
              <w:t>1</w:t>
            </w:r>
          </w:p>
        </w:tc>
        <w:tc>
          <w:tcPr>
            <w:tcW w:w="2206" w:type="dxa"/>
            <w:vAlign w:val="center"/>
          </w:tcPr>
          <w:p w14:paraId="01C6A21B">
            <w:pPr>
              <w:spacing w:line="360" w:lineRule="auto"/>
              <w:jc w:val="center"/>
              <w:rPr>
                <w:rFonts w:ascii="宋体" w:hAnsi="宋体" w:cs="宋体"/>
                <w:sz w:val="24"/>
              </w:rPr>
            </w:pPr>
          </w:p>
        </w:tc>
        <w:tc>
          <w:tcPr>
            <w:tcW w:w="5145" w:type="dxa"/>
            <w:vAlign w:val="center"/>
          </w:tcPr>
          <w:p w14:paraId="284E4E41">
            <w:pPr>
              <w:spacing w:line="360" w:lineRule="auto"/>
              <w:jc w:val="center"/>
              <w:rPr>
                <w:rFonts w:ascii="宋体" w:hAnsi="宋体" w:cs="宋体"/>
                <w:sz w:val="24"/>
              </w:rPr>
            </w:pPr>
          </w:p>
        </w:tc>
      </w:tr>
      <w:tr w14:paraId="700182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4FA6B638">
            <w:pPr>
              <w:spacing w:line="360" w:lineRule="auto"/>
              <w:jc w:val="center"/>
              <w:rPr>
                <w:rFonts w:ascii="宋体" w:hAnsi="宋体" w:cs="宋体"/>
                <w:sz w:val="24"/>
              </w:rPr>
            </w:pPr>
            <w:r>
              <w:rPr>
                <w:rFonts w:hint="eastAsia" w:ascii="宋体" w:hAnsi="宋体" w:cs="宋体"/>
                <w:sz w:val="24"/>
              </w:rPr>
              <w:t>2</w:t>
            </w:r>
          </w:p>
        </w:tc>
        <w:tc>
          <w:tcPr>
            <w:tcW w:w="2206" w:type="dxa"/>
            <w:vAlign w:val="center"/>
          </w:tcPr>
          <w:p w14:paraId="77D02393">
            <w:pPr>
              <w:spacing w:line="360" w:lineRule="auto"/>
              <w:jc w:val="center"/>
              <w:rPr>
                <w:rFonts w:ascii="宋体" w:hAnsi="宋体" w:cs="宋体"/>
                <w:sz w:val="24"/>
              </w:rPr>
            </w:pPr>
          </w:p>
        </w:tc>
        <w:tc>
          <w:tcPr>
            <w:tcW w:w="5145" w:type="dxa"/>
            <w:vAlign w:val="center"/>
          </w:tcPr>
          <w:p w14:paraId="245A3F4D">
            <w:pPr>
              <w:spacing w:line="360" w:lineRule="auto"/>
              <w:jc w:val="center"/>
              <w:rPr>
                <w:rFonts w:ascii="宋体" w:hAnsi="宋体" w:cs="宋体"/>
                <w:sz w:val="24"/>
              </w:rPr>
            </w:pPr>
          </w:p>
        </w:tc>
      </w:tr>
      <w:tr w14:paraId="41AA5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1CDE9687">
            <w:pPr>
              <w:spacing w:line="360" w:lineRule="auto"/>
              <w:jc w:val="center"/>
              <w:rPr>
                <w:rFonts w:ascii="宋体" w:hAnsi="宋体" w:cs="宋体"/>
                <w:sz w:val="24"/>
              </w:rPr>
            </w:pPr>
            <w:r>
              <w:rPr>
                <w:rFonts w:hint="eastAsia" w:ascii="宋体" w:hAnsi="宋体" w:cs="宋体"/>
                <w:sz w:val="24"/>
              </w:rPr>
              <w:t>3</w:t>
            </w:r>
          </w:p>
        </w:tc>
        <w:tc>
          <w:tcPr>
            <w:tcW w:w="2206" w:type="dxa"/>
            <w:vAlign w:val="center"/>
          </w:tcPr>
          <w:p w14:paraId="568D8593">
            <w:pPr>
              <w:spacing w:line="360" w:lineRule="auto"/>
              <w:jc w:val="center"/>
              <w:rPr>
                <w:rFonts w:ascii="宋体" w:hAnsi="宋体" w:cs="宋体"/>
                <w:sz w:val="24"/>
              </w:rPr>
            </w:pPr>
          </w:p>
        </w:tc>
        <w:tc>
          <w:tcPr>
            <w:tcW w:w="5145" w:type="dxa"/>
            <w:vAlign w:val="center"/>
          </w:tcPr>
          <w:p w14:paraId="14B926FE">
            <w:pPr>
              <w:spacing w:line="360" w:lineRule="auto"/>
              <w:jc w:val="center"/>
              <w:rPr>
                <w:rFonts w:ascii="宋体" w:hAnsi="宋体" w:cs="宋体"/>
                <w:sz w:val="24"/>
              </w:rPr>
            </w:pPr>
          </w:p>
        </w:tc>
      </w:tr>
      <w:tr w14:paraId="533C5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085DCAD2">
            <w:pPr>
              <w:spacing w:line="360" w:lineRule="auto"/>
              <w:jc w:val="center"/>
              <w:rPr>
                <w:rFonts w:ascii="宋体" w:hAnsi="宋体" w:cs="宋体"/>
                <w:sz w:val="24"/>
              </w:rPr>
            </w:pPr>
            <w:r>
              <w:rPr>
                <w:rFonts w:hint="eastAsia" w:ascii="宋体" w:hAnsi="宋体" w:cs="宋体"/>
                <w:sz w:val="24"/>
              </w:rPr>
              <w:t>4</w:t>
            </w:r>
          </w:p>
        </w:tc>
        <w:tc>
          <w:tcPr>
            <w:tcW w:w="2206" w:type="dxa"/>
            <w:vAlign w:val="center"/>
          </w:tcPr>
          <w:p w14:paraId="18BA88AB">
            <w:pPr>
              <w:spacing w:line="360" w:lineRule="auto"/>
              <w:jc w:val="center"/>
              <w:rPr>
                <w:rFonts w:ascii="宋体" w:hAnsi="宋体" w:cs="宋体"/>
                <w:sz w:val="24"/>
              </w:rPr>
            </w:pPr>
          </w:p>
        </w:tc>
        <w:tc>
          <w:tcPr>
            <w:tcW w:w="5145" w:type="dxa"/>
            <w:vAlign w:val="center"/>
          </w:tcPr>
          <w:p w14:paraId="04501CB3">
            <w:pPr>
              <w:spacing w:line="360" w:lineRule="auto"/>
              <w:jc w:val="center"/>
              <w:rPr>
                <w:rFonts w:ascii="宋体" w:hAnsi="宋体" w:cs="宋体"/>
                <w:sz w:val="24"/>
              </w:rPr>
            </w:pPr>
          </w:p>
        </w:tc>
      </w:tr>
      <w:tr w14:paraId="69C89D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4" w:hRule="atLeast"/>
          <w:jc w:val="center"/>
        </w:trPr>
        <w:tc>
          <w:tcPr>
            <w:tcW w:w="929" w:type="dxa"/>
            <w:vAlign w:val="center"/>
          </w:tcPr>
          <w:p w14:paraId="50FCCF0B">
            <w:pPr>
              <w:spacing w:line="360" w:lineRule="auto"/>
              <w:jc w:val="center"/>
              <w:rPr>
                <w:rFonts w:ascii="宋体" w:hAnsi="宋体" w:cs="宋体"/>
                <w:sz w:val="24"/>
              </w:rPr>
            </w:pPr>
            <w:r>
              <w:rPr>
                <w:rFonts w:hint="eastAsia" w:ascii="宋体" w:hAnsi="宋体" w:cs="宋体"/>
                <w:sz w:val="24"/>
              </w:rPr>
              <w:t>5</w:t>
            </w:r>
          </w:p>
        </w:tc>
        <w:tc>
          <w:tcPr>
            <w:tcW w:w="2206" w:type="dxa"/>
            <w:vAlign w:val="center"/>
          </w:tcPr>
          <w:p w14:paraId="2D58B44C">
            <w:pPr>
              <w:spacing w:line="360" w:lineRule="auto"/>
              <w:jc w:val="center"/>
              <w:rPr>
                <w:rFonts w:ascii="宋体" w:hAnsi="宋体" w:cs="宋体"/>
                <w:sz w:val="24"/>
              </w:rPr>
            </w:pPr>
          </w:p>
        </w:tc>
        <w:tc>
          <w:tcPr>
            <w:tcW w:w="5145" w:type="dxa"/>
            <w:vAlign w:val="center"/>
          </w:tcPr>
          <w:p w14:paraId="4D834D1D">
            <w:pPr>
              <w:spacing w:line="360" w:lineRule="auto"/>
              <w:jc w:val="center"/>
              <w:rPr>
                <w:rFonts w:ascii="宋体" w:hAnsi="宋体" w:cs="宋体"/>
                <w:sz w:val="24"/>
              </w:rPr>
            </w:pPr>
          </w:p>
        </w:tc>
      </w:tr>
      <w:tr w14:paraId="496D52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9" w:hRule="atLeast"/>
          <w:jc w:val="center"/>
        </w:trPr>
        <w:tc>
          <w:tcPr>
            <w:tcW w:w="929" w:type="dxa"/>
            <w:vAlign w:val="center"/>
          </w:tcPr>
          <w:p w14:paraId="743CFBE9">
            <w:pPr>
              <w:spacing w:line="360" w:lineRule="auto"/>
              <w:jc w:val="center"/>
              <w:rPr>
                <w:rFonts w:ascii="宋体" w:hAnsi="宋体" w:cs="宋体"/>
                <w:sz w:val="24"/>
              </w:rPr>
            </w:pPr>
            <w:r>
              <w:rPr>
                <w:rFonts w:hint="eastAsia" w:ascii="宋体" w:hAnsi="宋体" w:cs="宋体"/>
                <w:sz w:val="24"/>
              </w:rPr>
              <w:t>……</w:t>
            </w:r>
          </w:p>
        </w:tc>
        <w:tc>
          <w:tcPr>
            <w:tcW w:w="2206" w:type="dxa"/>
            <w:vAlign w:val="center"/>
          </w:tcPr>
          <w:p w14:paraId="15B8BE11">
            <w:pPr>
              <w:spacing w:line="360" w:lineRule="auto"/>
              <w:jc w:val="center"/>
              <w:rPr>
                <w:rFonts w:ascii="宋体" w:hAnsi="宋体" w:cs="宋体"/>
                <w:sz w:val="24"/>
              </w:rPr>
            </w:pPr>
            <w:r>
              <w:rPr>
                <w:rFonts w:hint="eastAsia" w:ascii="宋体" w:hAnsi="宋体" w:cs="宋体"/>
                <w:sz w:val="24"/>
              </w:rPr>
              <w:t>……</w:t>
            </w:r>
          </w:p>
        </w:tc>
        <w:tc>
          <w:tcPr>
            <w:tcW w:w="5145" w:type="dxa"/>
            <w:vAlign w:val="center"/>
          </w:tcPr>
          <w:p w14:paraId="08103CC8">
            <w:pPr>
              <w:spacing w:line="360" w:lineRule="auto"/>
              <w:jc w:val="center"/>
              <w:rPr>
                <w:rFonts w:ascii="宋体" w:hAnsi="宋体" w:cs="宋体"/>
                <w:sz w:val="24"/>
              </w:rPr>
            </w:pPr>
            <w:r>
              <w:rPr>
                <w:rFonts w:hint="eastAsia" w:ascii="宋体" w:hAnsi="宋体" w:cs="宋体"/>
                <w:sz w:val="24"/>
              </w:rPr>
              <w:t>……</w:t>
            </w:r>
          </w:p>
        </w:tc>
      </w:tr>
    </w:tbl>
    <w:p w14:paraId="7DC4F819"/>
    <w:p w14:paraId="239F5366">
      <w:pPr>
        <w:spacing w:line="360" w:lineRule="auto"/>
        <w:rPr>
          <w:rFonts w:ascii="宋体" w:hAnsi="宋体" w:cs="宋体"/>
          <w:sz w:val="24"/>
        </w:rPr>
      </w:pPr>
    </w:p>
    <w:p w14:paraId="1C6C6393">
      <w:pPr>
        <w:spacing w:line="360" w:lineRule="auto"/>
        <w:rPr>
          <w:rFonts w:ascii="宋体" w:hAnsi="宋体" w:cs="宋体"/>
          <w:b/>
          <w:sz w:val="24"/>
        </w:rPr>
        <w:sectPr>
          <w:pgSz w:w="11906" w:h="16838"/>
          <w:pgMar w:top="1417" w:right="1417" w:bottom="1417" w:left="1417" w:header="851" w:footer="850" w:gutter="0"/>
          <w:cols w:space="720" w:num="1"/>
          <w:docGrid w:type="lines" w:linePitch="312" w:charSpace="0"/>
        </w:sectPr>
      </w:pPr>
    </w:p>
    <w:p w14:paraId="159C6552">
      <w:pPr>
        <w:pStyle w:val="4"/>
        <w:rPr>
          <w:rFonts w:ascii="宋体" w:hAnsi="宋体" w:eastAsia="宋体"/>
          <w:sz w:val="24"/>
          <w:szCs w:val="24"/>
        </w:rPr>
      </w:pPr>
      <w:r>
        <w:rPr>
          <w:rFonts w:hint="eastAsia" w:ascii="宋体" w:hAnsi="宋体" w:eastAsia="宋体"/>
          <w:sz w:val="24"/>
          <w:szCs w:val="24"/>
        </w:rPr>
        <w:t>附表2：形式评审记录表</w:t>
      </w:r>
    </w:p>
    <w:p w14:paraId="512D6111">
      <w:pPr>
        <w:spacing w:line="360" w:lineRule="auto"/>
        <w:jc w:val="center"/>
        <w:rPr>
          <w:rFonts w:ascii="宋体" w:hAnsi="宋体" w:cs="宋体"/>
          <w:b/>
          <w:sz w:val="24"/>
        </w:rPr>
      </w:pPr>
      <w:bookmarkStart w:id="430" w:name="_Toc1910_WPSOffice_Level1"/>
      <w:r>
        <w:rPr>
          <w:rFonts w:hint="eastAsia" w:ascii="宋体" w:hAnsi="宋体" w:cs="宋体"/>
          <w:b/>
          <w:sz w:val="24"/>
        </w:rPr>
        <w:t>形式评审记录表</w:t>
      </w:r>
      <w:bookmarkEnd w:id="430"/>
    </w:p>
    <w:p w14:paraId="165B399E">
      <w:pPr>
        <w:spacing w:line="360" w:lineRule="auto"/>
        <w:jc w:val="center"/>
        <w:rPr>
          <w:rFonts w:ascii="宋体" w:hAnsi="宋体" w:cs="宋体"/>
          <w:b/>
          <w:sz w:val="24"/>
        </w:rPr>
      </w:pPr>
    </w:p>
    <w:p w14:paraId="2F7086EC">
      <w:pPr>
        <w:spacing w:line="360" w:lineRule="auto"/>
        <w:rPr>
          <w:rFonts w:ascii="宋体" w:hAnsi="宋体" w:cs="宋体"/>
          <w:sz w:val="24"/>
        </w:rPr>
      </w:pPr>
      <w:r>
        <w:rPr>
          <w:rFonts w:hint="eastAsia" w:ascii="宋体" w:hAnsi="宋体" w:cs="宋体"/>
          <w:sz w:val="24"/>
        </w:rPr>
        <w:t>工程名称：______（项目名称）</w:t>
      </w:r>
      <w:r>
        <w:rPr>
          <w:rFonts w:hint="eastAsia" w:ascii="宋体" w:hAnsi="宋体"/>
          <w:sz w:val="24"/>
        </w:rPr>
        <w:t>设计施工总承包</w:t>
      </w:r>
      <w:r>
        <w:rPr>
          <w:rFonts w:hint="eastAsia" w:ascii="宋体" w:hAnsi="宋体" w:cs="宋体"/>
          <w:sz w:val="24"/>
        </w:rPr>
        <w:t>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55"/>
        <w:gridCol w:w="2160"/>
        <w:gridCol w:w="704"/>
        <w:gridCol w:w="704"/>
        <w:gridCol w:w="704"/>
        <w:gridCol w:w="704"/>
        <w:gridCol w:w="704"/>
        <w:gridCol w:w="704"/>
        <w:gridCol w:w="704"/>
        <w:gridCol w:w="704"/>
        <w:gridCol w:w="701"/>
      </w:tblGrid>
      <w:tr w14:paraId="0C3015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Merge w:val="restart"/>
            <w:vAlign w:val="center"/>
          </w:tcPr>
          <w:p w14:paraId="2288A50C">
            <w:pPr>
              <w:spacing w:line="360" w:lineRule="auto"/>
              <w:jc w:val="center"/>
              <w:rPr>
                <w:rFonts w:ascii="宋体" w:hAnsi="宋体" w:cs="宋体"/>
                <w:sz w:val="24"/>
              </w:rPr>
            </w:pPr>
            <w:r>
              <w:rPr>
                <w:rFonts w:hint="eastAsia" w:ascii="宋体" w:hAnsi="宋体" w:cs="宋体"/>
                <w:sz w:val="24"/>
              </w:rPr>
              <w:t>序号</w:t>
            </w:r>
          </w:p>
        </w:tc>
        <w:tc>
          <w:tcPr>
            <w:tcW w:w="2160" w:type="dxa"/>
            <w:vMerge w:val="restart"/>
            <w:vAlign w:val="center"/>
          </w:tcPr>
          <w:p w14:paraId="713BCE01">
            <w:pPr>
              <w:spacing w:line="360" w:lineRule="auto"/>
              <w:jc w:val="center"/>
              <w:rPr>
                <w:rFonts w:ascii="宋体" w:hAnsi="宋体" w:cs="宋体"/>
                <w:sz w:val="24"/>
              </w:rPr>
            </w:pPr>
            <w:r>
              <w:rPr>
                <w:rFonts w:hint="eastAsia" w:ascii="宋体" w:hAnsi="宋体" w:cs="宋体"/>
                <w:sz w:val="24"/>
              </w:rPr>
              <w:t>评审因素</w:t>
            </w:r>
          </w:p>
        </w:tc>
        <w:tc>
          <w:tcPr>
            <w:tcW w:w="6333" w:type="dxa"/>
            <w:gridSpan w:val="9"/>
            <w:vAlign w:val="center"/>
          </w:tcPr>
          <w:p w14:paraId="30830985">
            <w:pPr>
              <w:spacing w:line="360" w:lineRule="auto"/>
              <w:jc w:val="center"/>
              <w:rPr>
                <w:rFonts w:ascii="宋体" w:hAnsi="宋体" w:cs="宋体"/>
                <w:sz w:val="24"/>
              </w:rPr>
            </w:pPr>
            <w:r>
              <w:rPr>
                <w:rFonts w:hint="eastAsia" w:ascii="宋体" w:hAnsi="宋体" w:cs="宋体"/>
                <w:sz w:val="24"/>
              </w:rPr>
              <w:t>投标人名称及评审意见</w:t>
            </w:r>
          </w:p>
        </w:tc>
      </w:tr>
      <w:tr w14:paraId="14064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Merge w:val="continue"/>
            <w:vAlign w:val="center"/>
          </w:tcPr>
          <w:p w14:paraId="77017479">
            <w:pPr>
              <w:spacing w:line="360" w:lineRule="auto"/>
              <w:rPr>
                <w:rFonts w:ascii="宋体" w:hAnsi="宋体" w:cs="宋体"/>
                <w:sz w:val="24"/>
              </w:rPr>
            </w:pPr>
          </w:p>
        </w:tc>
        <w:tc>
          <w:tcPr>
            <w:tcW w:w="2160" w:type="dxa"/>
            <w:vMerge w:val="continue"/>
            <w:vAlign w:val="center"/>
          </w:tcPr>
          <w:p w14:paraId="75B8800D">
            <w:pPr>
              <w:spacing w:line="360" w:lineRule="auto"/>
              <w:rPr>
                <w:rFonts w:ascii="宋体" w:hAnsi="宋体" w:cs="宋体"/>
                <w:sz w:val="24"/>
              </w:rPr>
            </w:pPr>
          </w:p>
        </w:tc>
        <w:tc>
          <w:tcPr>
            <w:tcW w:w="704" w:type="dxa"/>
            <w:vAlign w:val="center"/>
          </w:tcPr>
          <w:p w14:paraId="5E47430C">
            <w:pPr>
              <w:spacing w:line="360" w:lineRule="auto"/>
              <w:jc w:val="center"/>
              <w:rPr>
                <w:rFonts w:ascii="宋体" w:hAnsi="宋体" w:cs="宋体"/>
                <w:sz w:val="24"/>
              </w:rPr>
            </w:pPr>
          </w:p>
        </w:tc>
        <w:tc>
          <w:tcPr>
            <w:tcW w:w="704" w:type="dxa"/>
            <w:vAlign w:val="center"/>
          </w:tcPr>
          <w:p w14:paraId="5B5C8C6D">
            <w:pPr>
              <w:spacing w:line="360" w:lineRule="auto"/>
              <w:jc w:val="center"/>
              <w:rPr>
                <w:rFonts w:ascii="宋体" w:hAnsi="宋体" w:cs="宋体"/>
                <w:sz w:val="24"/>
              </w:rPr>
            </w:pPr>
          </w:p>
        </w:tc>
        <w:tc>
          <w:tcPr>
            <w:tcW w:w="704" w:type="dxa"/>
            <w:vAlign w:val="center"/>
          </w:tcPr>
          <w:p w14:paraId="72F110DB">
            <w:pPr>
              <w:spacing w:line="360" w:lineRule="auto"/>
              <w:jc w:val="center"/>
              <w:rPr>
                <w:rFonts w:ascii="宋体" w:hAnsi="宋体" w:cs="宋体"/>
                <w:sz w:val="24"/>
              </w:rPr>
            </w:pPr>
          </w:p>
        </w:tc>
        <w:tc>
          <w:tcPr>
            <w:tcW w:w="704" w:type="dxa"/>
            <w:vAlign w:val="center"/>
          </w:tcPr>
          <w:p w14:paraId="6012AC30">
            <w:pPr>
              <w:spacing w:line="360" w:lineRule="auto"/>
              <w:jc w:val="center"/>
              <w:rPr>
                <w:rFonts w:ascii="宋体" w:hAnsi="宋体" w:cs="宋体"/>
                <w:sz w:val="24"/>
              </w:rPr>
            </w:pPr>
          </w:p>
        </w:tc>
        <w:tc>
          <w:tcPr>
            <w:tcW w:w="704" w:type="dxa"/>
            <w:vAlign w:val="center"/>
          </w:tcPr>
          <w:p w14:paraId="2211AC64">
            <w:pPr>
              <w:spacing w:line="360" w:lineRule="auto"/>
              <w:jc w:val="center"/>
              <w:rPr>
                <w:rFonts w:ascii="宋体" w:hAnsi="宋体" w:cs="宋体"/>
                <w:sz w:val="24"/>
              </w:rPr>
            </w:pPr>
          </w:p>
        </w:tc>
        <w:tc>
          <w:tcPr>
            <w:tcW w:w="704" w:type="dxa"/>
            <w:vAlign w:val="center"/>
          </w:tcPr>
          <w:p w14:paraId="182C62BB">
            <w:pPr>
              <w:spacing w:line="360" w:lineRule="auto"/>
              <w:jc w:val="center"/>
              <w:rPr>
                <w:rFonts w:ascii="宋体" w:hAnsi="宋体" w:cs="宋体"/>
                <w:sz w:val="24"/>
              </w:rPr>
            </w:pPr>
          </w:p>
        </w:tc>
        <w:tc>
          <w:tcPr>
            <w:tcW w:w="704" w:type="dxa"/>
            <w:vAlign w:val="center"/>
          </w:tcPr>
          <w:p w14:paraId="431B2F57">
            <w:pPr>
              <w:spacing w:line="360" w:lineRule="auto"/>
              <w:jc w:val="center"/>
              <w:rPr>
                <w:rFonts w:ascii="宋体" w:hAnsi="宋体" w:cs="宋体"/>
                <w:sz w:val="24"/>
              </w:rPr>
            </w:pPr>
          </w:p>
        </w:tc>
        <w:tc>
          <w:tcPr>
            <w:tcW w:w="704" w:type="dxa"/>
            <w:vAlign w:val="center"/>
          </w:tcPr>
          <w:p w14:paraId="751FE689">
            <w:pPr>
              <w:spacing w:line="360" w:lineRule="auto"/>
              <w:jc w:val="center"/>
              <w:rPr>
                <w:rFonts w:ascii="宋体" w:hAnsi="宋体" w:cs="宋体"/>
                <w:sz w:val="24"/>
              </w:rPr>
            </w:pPr>
          </w:p>
        </w:tc>
        <w:tc>
          <w:tcPr>
            <w:tcW w:w="701" w:type="dxa"/>
            <w:vAlign w:val="center"/>
          </w:tcPr>
          <w:p w14:paraId="2955D8E6">
            <w:pPr>
              <w:spacing w:line="360" w:lineRule="auto"/>
              <w:jc w:val="center"/>
              <w:rPr>
                <w:rFonts w:ascii="宋体" w:hAnsi="宋体" w:cs="宋体"/>
                <w:sz w:val="24"/>
              </w:rPr>
            </w:pPr>
          </w:p>
        </w:tc>
      </w:tr>
      <w:tr w14:paraId="4697E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7899E3E2">
            <w:pPr>
              <w:spacing w:line="360" w:lineRule="auto"/>
              <w:jc w:val="center"/>
              <w:rPr>
                <w:rFonts w:ascii="宋体" w:hAnsi="宋体" w:cs="宋体"/>
                <w:sz w:val="24"/>
              </w:rPr>
            </w:pPr>
            <w:r>
              <w:rPr>
                <w:rFonts w:hint="eastAsia" w:ascii="宋体" w:hAnsi="宋体" w:cs="宋体"/>
                <w:sz w:val="24"/>
              </w:rPr>
              <w:t>1</w:t>
            </w:r>
          </w:p>
        </w:tc>
        <w:tc>
          <w:tcPr>
            <w:tcW w:w="2160" w:type="dxa"/>
            <w:vAlign w:val="center"/>
          </w:tcPr>
          <w:p w14:paraId="70421F65">
            <w:pPr>
              <w:spacing w:line="360" w:lineRule="auto"/>
              <w:jc w:val="center"/>
              <w:rPr>
                <w:rFonts w:ascii="宋体" w:hAnsi="宋体" w:cs="宋体"/>
                <w:sz w:val="24"/>
              </w:rPr>
            </w:pPr>
            <w:r>
              <w:rPr>
                <w:rFonts w:hint="eastAsia" w:ascii="宋体" w:hAnsi="宋体" w:cs="宋体"/>
                <w:sz w:val="24"/>
              </w:rPr>
              <w:t>投标人名称</w:t>
            </w:r>
          </w:p>
        </w:tc>
        <w:tc>
          <w:tcPr>
            <w:tcW w:w="704" w:type="dxa"/>
            <w:vAlign w:val="center"/>
          </w:tcPr>
          <w:p w14:paraId="1BBF0B0B">
            <w:pPr>
              <w:spacing w:line="360" w:lineRule="auto"/>
              <w:jc w:val="center"/>
              <w:rPr>
                <w:rFonts w:ascii="宋体" w:hAnsi="宋体" w:cs="宋体"/>
                <w:sz w:val="24"/>
              </w:rPr>
            </w:pPr>
          </w:p>
        </w:tc>
        <w:tc>
          <w:tcPr>
            <w:tcW w:w="704" w:type="dxa"/>
            <w:vAlign w:val="center"/>
          </w:tcPr>
          <w:p w14:paraId="03A7D16B">
            <w:pPr>
              <w:spacing w:line="360" w:lineRule="auto"/>
              <w:jc w:val="center"/>
              <w:rPr>
                <w:rFonts w:ascii="宋体" w:hAnsi="宋体" w:cs="宋体"/>
                <w:sz w:val="24"/>
              </w:rPr>
            </w:pPr>
          </w:p>
        </w:tc>
        <w:tc>
          <w:tcPr>
            <w:tcW w:w="704" w:type="dxa"/>
            <w:vAlign w:val="center"/>
          </w:tcPr>
          <w:p w14:paraId="66DB94D7">
            <w:pPr>
              <w:spacing w:line="360" w:lineRule="auto"/>
              <w:jc w:val="center"/>
              <w:rPr>
                <w:rFonts w:ascii="宋体" w:hAnsi="宋体" w:cs="宋体"/>
                <w:sz w:val="24"/>
              </w:rPr>
            </w:pPr>
          </w:p>
        </w:tc>
        <w:tc>
          <w:tcPr>
            <w:tcW w:w="704" w:type="dxa"/>
            <w:vAlign w:val="center"/>
          </w:tcPr>
          <w:p w14:paraId="7B1F96D0">
            <w:pPr>
              <w:spacing w:line="360" w:lineRule="auto"/>
              <w:jc w:val="center"/>
              <w:rPr>
                <w:rFonts w:ascii="宋体" w:hAnsi="宋体" w:cs="宋体"/>
                <w:sz w:val="24"/>
              </w:rPr>
            </w:pPr>
          </w:p>
        </w:tc>
        <w:tc>
          <w:tcPr>
            <w:tcW w:w="704" w:type="dxa"/>
            <w:vAlign w:val="center"/>
          </w:tcPr>
          <w:p w14:paraId="2CA3BE4F">
            <w:pPr>
              <w:spacing w:line="360" w:lineRule="auto"/>
              <w:jc w:val="center"/>
              <w:rPr>
                <w:rFonts w:ascii="宋体" w:hAnsi="宋体" w:cs="宋体"/>
                <w:sz w:val="24"/>
              </w:rPr>
            </w:pPr>
          </w:p>
        </w:tc>
        <w:tc>
          <w:tcPr>
            <w:tcW w:w="704" w:type="dxa"/>
            <w:vAlign w:val="center"/>
          </w:tcPr>
          <w:p w14:paraId="3AD8066C">
            <w:pPr>
              <w:spacing w:line="360" w:lineRule="auto"/>
              <w:jc w:val="center"/>
              <w:rPr>
                <w:rFonts w:ascii="宋体" w:hAnsi="宋体" w:cs="宋体"/>
                <w:sz w:val="24"/>
              </w:rPr>
            </w:pPr>
          </w:p>
        </w:tc>
        <w:tc>
          <w:tcPr>
            <w:tcW w:w="704" w:type="dxa"/>
            <w:vAlign w:val="center"/>
          </w:tcPr>
          <w:p w14:paraId="4727FAC6">
            <w:pPr>
              <w:spacing w:line="360" w:lineRule="auto"/>
              <w:jc w:val="center"/>
              <w:rPr>
                <w:rFonts w:ascii="宋体" w:hAnsi="宋体" w:cs="宋体"/>
                <w:sz w:val="24"/>
              </w:rPr>
            </w:pPr>
          </w:p>
        </w:tc>
        <w:tc>
          <w:tcPr>
            <w:tcW w:w="704" w:type="dxa"/>
            <w:vAlign w:val="center"/>
          </w:tcPr>
          <w:p w14:paraId="109AE72E">
            <w:pPr>
              <w:spacing w:line="360" w:lineRule="auto"/>
              <w:jc w:val="center"/>
              <w:rPr>
                <w:rFonts w:ascii="宋体" w:hAnsi="宋体" w:cs="宋体"/>
                <w:sz w:val="24"/>
              </w:rPr>
            </w:pPr>
          </w:p>
        </w:tc>
        <w:tc>
          <w:tcPr>
            <w:tcW w:w="701" w:type="dxa"/>
            <w:vAlign w:val="center"/>
          </w:tcPr>
          <w:p w14:paraId="2800E1E2">
            <w:pPr>
              <w:spacing w:line="360" w:lineRule="auto"/>
              <w:jc w:val="center"/>
              <w:rPr>
                <w:rFonts w:ascii="宋体" w:hAnsi="宋体" w:cs="宋体"/>
                <w:sz w:val="24"/>
              </w:rPr>
            </w:pPr>
          </w:p>
        </w:tc>
      </w:tr>
      <w:tr w14:paraId="5CB3ED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6468F567">
            <w:pPr>
              <w:spacing w:line="360" w:lineRule="auto"/>
              <w:jc w:val="center"/>
              <w:rPr>
                <w:rFonts w:ascii="宋体" w:hAnsi="宋体" w:cs="宋体"/>
                <w:sz w:val="24"/>
              </w:rPr>
            </w:pPr>
            <w:r>
              <w:rPr>
                <w:rFonts w:hint="eastAsia" w:ascii="宋体" w:hAnsi="宋体" w:cs="宋体"/>
                <w:sz w:val="24"/>
              </w:rPr>
              <w:t>2</w:t>
            </w:r>
          </w:p>
        </w:tc>
        <w:tc>
          <w:tcPr>
            <w:tcW w:w="2160" w:type="dxa"/>
            <w:vAlign w:val="center"/>
          </w:tcPr>
          <w:p w14:paraId="120DA3CA">
            <w:pPr>
              <w:spacing w:line="360" w:lineRule="auto"/>
              <w:jc w:val="center"/>
              <w:rPr>
                <w:rFonts w:ascii="宋体" w:hAnsi="宋体" w:cs="宋体"/>
                <w:sz w:val="24"/>
              </w:rPr>
            </w:pPr>
            <w:r>
              <w:rPr>
                <w:rFonts w:hint="eastAsia" w:ascii="宋体" w:hAnsi="宋体" w:cs="宋体"/>
                <w:sz w:val="24"/>
              </w:rPr>
              <w:t>签字盖章</w:t>
            </w:r>
          </w:p>
        </w:tc>
        <w:tc>
          <w:tcPr>
            <w:tcW w:w="704" w:type="dxa"/>
            <w:vAlign w:val="center"/>
          </w:tcPr>
          <w:p w14:paraId="2CB446EC">
            <w:pPr>
              <w:spacing w:line="360" w:lineRule="auto"/>
              <w:jc w:val="center"/>
              <w:rPr>
                <w:rFonts w:ascii="宋体" w:hAnsi="宋体" w:cs="宋体"/>
                <w:sz w:val="24"/>
              </w:rPr>
            </w:pPr>
          </w:p>
        </w:tc>
        <w:tc>
          <w:tcPr>
            <w:tcW w:w="704" w:type="dxa"/>
            <w:vAlign w:val="center"/>
          </w:tcPr>
          <w:p w14:paraId="3564B502">
            <w:pPr>
              <w:spacing w:line="360" w:lineRule="auto"/>
              <w:jc w:val="center"/>
              <w:rPr>
                <w:rFonts w:ascii="宋体" w:hAnsi="宋体" w:cs="宋体"/>
                <w:sz w:val="24"/>
              </w:rPr>
            </w:pPr>
          </w:p>
        </w:tc>
        <w:tc>
          <w:tcPr>
            <w:tcW w:w="704" w:type="dxa"/>
            <w:vAlign w:val="center"/>
          </w:tcPr>
          <w:p w14:paraId="21B3C761">
            <w:pPr>
              <w:spacing w:line="360" w:lineRule="auto"/>
              <w:jc w:val="center"/>
              <w:rPr>
                <w:rFonts w:ascii="宋体" w:hAnsi="宋体" w:cs="宋体"/>
                <w:sz w:val="24"/>
              </w:rPr>
            </w:pPr>
          </w:p>
        </w:tc>
        <w:tc>
          <w:tcPr>
            <w:tcW w:w="704" w:type="dxa"/>
            <w:vAlign w:val="center"/>
          </w:tcPr>
          <w:p w14:paraId="16A58679">
            <w:pPr>
              <w:spacing w:line="360" w:lineRule="auto"/>
              <w:jc w:val="center"/>
              <w:rPr>
                <w:rFonts w:ascii="宋体" w:hAnsi="宋体" w:cs="宋体"/>
                <w:sz w:val="24"/>
              </w:rPr>
            </w:pPr>
          </w:p>
        </w:tc>
        <w:tc>
          <w:tcPr>
            <w:tcW w:w="704" w:type="dxa"/>
            <w:vAlign w:val="center"/>
          </w:tcPr>
          <w:p w14:paraId="73B015A5">
            <w:pPr>
              <w:spacing w:line="360" w:lineRule="auto"/>
              <w:jc w:val="center"/>
              <w:rPr>
                <w:rFonts w:ascii="宋体" w:hAnsi="宋体" w:cs="宋体"/>
                <w:sz w:val="24"/>
              </w:rPr>
            </w:pPr>
          </w:p>
        </w:tc>
        <w:tc>
          <w:tcPr>
            <w:tcW w:w="704" w:type="dxa"/>
            <w:vAlign w:val="center"/>
          </w:tcPr>
          <w:p w14:paraId="135D4AB0">
            <w:pPr>
              <w:spacing w:line="360" w:lineRule="auto"/>
              <w:jc w:val="center"/>
              <w:rPr>
                <w:rFonts w:ascii="宋体" w:hAnsi="宋体" w:cs="宋体"/>
                <w:sz w:val="24"/>
              </w:rPr>
            </w:pPr>
          </w:p>
        </w:tc>
        <w:tc>
          <w:tcPr>
            <w:tcW w:w="704" w:type="dxa"/>
            <w:vAlign w:val="center"/>
          </w:tcPr>
          <w:p w14:paraId="5D447DE6">
            <w:pPr>
              <w:spacing w:line="360" w:lineRule="auto"/>
              <w:jc w:val="center"/>
              <w:rPr>
                <w:rFonts w:ascii="宋体" w:hAnsi="宋体" w:cs="宋体"/>
                <w:sz w:val="24"/>
              </w:rPr>
            </w:pPr>
          </w:p>
        </w:tc>
        <w:tc>
          <w:tcPr>
            <w:tcW w:w="704" w:type="dxa"/>
            <w:vAlign w:val="center"/>
          </w:tcPr>
          <w:p w14:paraId="4B571B12">
            <w:pPr>
              <w:spacing w:line="360" w:lineRule="auto"/>
              <w:jc w:val="center"/>
              <w:rPr>
                <w:rFonts w:ascii="宋体" w:hAnsi="宋体" w:cs="宋体"/>
                <w:sz w:val="24"/>
              </w:rPr>
            </w:pPr>
          </w:p>
        </w:tc>
        <w:tc>
          <w:tcPr>
            <w:tcW w:w="701" w:type="dxa"/>
            <w:vAlign w:val="center"/>
          </w:tcPr>
          <w:p w14:paraId="14B4F639">
            <w:pPr>
              <w:spacing w:line="360" w:lineRule="auto"/>
              <w:jc w:val="center"/>
              <w:rPr>
                <w:rFonts w:ascii="宋体" w:hAnsi="宋体" w:cs="宋体"/>
                <w:sz w:val="24"/>
              </w:rPr>
            </w:pPr>
          </w:p>
        </w:tc>
      </w:tr>
      <w:tr w14:paraId="2610C8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4D6B0EA9">
            <w:pPr>
              <w:spacing w:line="360" w:lineRule="auto"/>
              <w:jc w:val="center"/>
              <w:rPr>
                <w:rFonts w:ascii="宋体" w:hAnsi="宋体" w:cs="宋体"/>
                <w:sz w:val="24"/>
              </w:rPr>
            </w:pPr>
            <w:r>
              <w:rPr>
                <w:rFonts w:hint="eastAsia" w:ascii="宋体" w:hAnsi="宋体" w:cs="宋体"/>
                <w:sz w:val="24"/>
              </w:rPr>
              <w:t>3</w:t>
            </w:r>
          </w:p>
        </w:tc>
        <w:tc>
          <w:tcPr>
            <w:tcW w:w="2160" w:type="dxa"/>
            <w:vAlign w:val="center"/>
          </w:tcPr>
          <w:p w14:paraId="752680D0">
            <w:pPr>
              <w:spacing w:line="360" w:lineRule="auto"/>
              <w:jc w:val="center"/>
              <w:rPr>
                <w:rFonts w:ascii="宋体" w:hAnsi="宋体" w:cs="宋体"/>
                <w:sz w:val="24"/>
              </w:rPr>
            </w:pPr>
            <w:r>
              <w:rPr>
                <w:rFonts w:hint="eastAsia" w:ascii="宋体" w:hAnsi="宋体" w:cs="宋体"/>
                <w:sz w:val="24"/>
              </w:rPr>
              <w:t>投标文件格式</w:t>
            </w:r>
          </w:p>
        </w:tc>
        <w:tc>
          <w:tcPr>
            <w:tcW w:w="704" w:type="dxa"/>
            <w:vAlign w:val="center"/>
          </w:tcPr>
          <w:p w14:paraId="0C1D48ED">
            <w:pPr>
              <w:spacing w:line="360" w:lineRule="auto"/>
              <w:jc w:val="center"/>
              <w:rPr>
                <w:rFonts w:ascii="宋体" w:hAnsi="宋体" w:cs="宋体"/>
                <w:sz w:val="24"/>
              </w:rPr>
            </w:pPr>
          </w:p>
        </w:tc>
        <w:tc>
          <w:tcPr>
            <w:tcW w:w="704" w:type="dxa"/>
            <w:vAlign w:val="center"/>
          </w:tcPr>
          <w:p w14:paraId="5E42AD57">
            <w:pPr>
              <w:spacing w:line="360" w:lineRule="auto"/>
              <w:jc w:val="center"/>
              <w:rPr>
                <w:rFonts w:ascii="宋体" w:hAnsi="宋体" w:cs="宋体"/>
                <w:sz w:val="24"/>
              </w:rPr>
            </w:pPr>
          </w:p>
        </w:tc>
        <w:tc>
          <w:tcPr>
            <w:tcW w:w="704" w:type="dxa"/>
            <w:vAlign w:val="center"/>
          </w:tcPr>
          <w:p w14:paraId="0DB020F9">
            <w:pPr>
              <w:spacing w:line="360" w:lineRule="auto"/>
              <w:jc w:val="center"/>
              <w:rPr>
                <w:rFonts w:ascii="宋体" w:hAnsi="宋体" w:cs="宋体"/>
                <w:sz w:val="24"/>
              </w:rPr>
            </w:pPr>
          </w:p>
        </w:tc>
        <w:tc>
          <w:tcPr>
            <w:tcW w:w="704" w:type="dxa"/>
            <w:vAlign w:val="center"/>
          </w:tcPr>
          <w:p w14:paraId="4F502C71">
            <w:pPr>
              <w:spacing w:line="360" w:lineRule="auto"/>
              <w:jc w:val="center"/>
              <w:rPr>
                <w:rFonts w:ascii="宋体" w:hAnsi="宋体" w:cs="宋体"/>
                <w:sz w:val="24"/>
              </w:rPr>
            </w:pPr>
          </w:p>
        </w:tc>
        <w:tc>
          <w:tcPr>
            <w:tcW w:w="704" w:type="dxa"/>
            <w:vAlign w:val="center"/>
          </w:tcPr>
          <w:p w14:paraId="56FDFC98">
            <w:pPr>
              <w:spacing w:line="360" w:lineRule="auto"/>
              <w:jc w:val="center"/>
              <w:rPr>
                <w:rFonts w:ascii="宋体" w:hAnsi="宋体" w:cs="宋体"/>
                <w:sz w:val="24"/>
              </w:rPr>
            </w:pPr>
          </w:p>
        </w:tc>
        <w:tc>
          <w:tcPr>
            <w:tcW w:w="704" w:type="dxa"/>
            <w:vAlign w:val="center"/>
          </w:tcPr>
          <w:p w14:paraId="1A0C22D5">
            <w:pPr>
              <w:spacing w:line="360" w:lineRule="auto"/>
              <w:jc w:val="center"/>
              <w:rPr>
                <w:rFonts w:ascii="宋体" w:hAnsi="宋体" w:cs="宋体"/>
                <w:sz w:val="24"/>
              </w:rPr>
            </w:pPr>
          </w:p>
        </w:tc>
        <w:tc>
          <w:tcPr>
            <w:tcW w:w="704" w:type="dxa"/>
            <w:vAlign w:val="center"/>
          </w:tcPr>
          <w:p w14:paraId="3B3C5356">
            <w:pPr>
              <w:spacing w:line="360" w:lineRule="auto"/>
              <w:jc w:val="center"/>
              <w:rPr>
                <w:rFonts w:ascii="宋体" w:hAnsi="宋体" w:cs="宋体"/>
                <w:sz w:val="24"/>
              </w:rPr>
            </w:pPr>
          </w:p>
        </w:tc>
        <w:tc>
          <w:tcPr>
            <w:tcW w:w="704" w:type="dxa"/>
            <w:vAlign w:val="center"/>
          </w:tcPr>
          <w:p w14:paraId="0A65C84A">
            <w:pPr>
              <w:spacing w:line="360" w:lineRule="auto"/>
              <w:jc w:val="center"/>
              <w:rPr>
                <w:rFonts w:ascii="宋体" w:hAnsi="宋体" w:cs="宋体"/>
                <w:sz w:val="24"/>
              </w:rPr>
            </w:pPr>
          </w:p>
        </w:tc>
        <w:tc>
          <w:tcPr>
            <w:tcW w:w="701" w:type="dxa"/>
            <w:vAlign w:val="center"/>
          </w:tcPr>
          <w:p w14:paraId="20B8E454">
            <w:pPr>
              <w:spacing w:line="360" w:lineRule="auto"/>
              <w:jc w:val="center"/>
              <w:rPr>
                <w:rFonts w:ascii="宋体" w:hAnsi="宋体" w:cs="宋体"/>
                <w:sz w:val="24"/>
              </w:rPr>
            </w:pPr>
          </w:p>
        </w:tc>
      </w:tr>
      <w:tr w14:paraId="3BA7B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2CAFCA91">
            <w:pPr>
              <w:spacing w:line="360" w:lineRule="auto"/>
              <w:jc w:val="center"/>
              <w:rPr>
                <w:rFonts w:ascii="宋体" w:hAnsi="宋体" w:cs="宋体"/>
                <w:sz w:val="24"/>
              </w:rPr>
            </w:pPr>
            <w:r>
              <w:rPr>
                <w:rFonts w:hint="eastAsia" w:ascii="宋体" w:hAnsi="宋体" w:cs="宋体"/>
                <w:sz w:val="24"/>
              </w:rPr>
              <w:t>4</w:t>
            </w:r>
          </w:p>
        </w:tc>
        <w:tc>
          <w:tcPr>
            <w:tcW w:w="2160" w:type="dxa"/>
            <w:vAlign w:val="center"/>
          </w:tcPr>
          <w:p w14:paraId="6B6EEED7">
            <w:pPr>
              <w:spacing w:line="360" w:lineRule="auto"/>
              <w:jc w:val="center"/>
              <w:rPr>
                <w:rFonts w:ascii="宋体" w:hAnsi="宋体" w:cs="宋体"/>
                <w:sz w:val="24"/>
              </w:rPr>
            </w:pPr>
            <w:r>
              <w:rPr>
                <w:rFonts w:hint="eastAsia" w:ascii="宋体" w:hAnsi="宋体" w:cs="宋体"/>
                <w:sz w:val="24"/>
              </w:rPr>
              <w:t>联合体投标人</w:t>
            </w:r>
          </w:p>
        </w:tc>
        <w:tc>
          <w:tcPr>
            <w:tcW w:w="704" w:type="dxa"/>
            <w:vAlign w:val="center"/>
          </w:tcPr>
          <w:p w14:paraId="0018E43F">
            <w:pPr>
              <w:spacing w:line="360" w:lineRule="auto"/>
              <w:jc w:val="center"/>
              <w:rPr>
                <w:rFonts w:ascii="宋体" w:hAnsi="宋体" w:cs="宋体"/>
                <w:sz w:val="24"/>
              </w:rPr>
            </w:pPr>
          </w:p>
        </w:tc>
        <w:tc>
          <w:tcPr>
            <w:tcW w:w="704" w:type="dxa"/>
            <w:vAlign w:val="center"/>
          </w:tcPr>
          <w:p w14:paraId="65FEFF5D">
            <w:pPr>
              <w:spacing w:line="360" w:lineRule="auto"/>
              <w:jc w:val="center"/>
              <w:rPr>
                <w:rFonts w:ascii="宋体" w:hAnsi="宋体" w:cs="宋体"/>
                <w:sz w:val="24"/>
              </w:rPr>
            </w:pPr>
          </w:p>
        </w:tc>
        <w:tc>
          <w:tcPr>
            <w:tcW w:w="704" w:type="dxa"/>
            <w:vAlign w:val="center"/>
          </w:tcPr>
          <w:p w14:paraId="24E0CF42">
            <w:pPr>
              <w:spacing w:line="360" w:lineRule="auto"/>
              <w:jc w:val="center"/>
              <w:rPr>
                <w:rFonts w:ascii="宋体" w:hAnsi="宋体" w:cs="宋体"/>
                <w:sz w:val="24"/>
              </w:rPr>
            </w:pPr>
          </w:p>
        </w:tc>
        <w:tc>
          <w:tcPr>
            <w:tcW w:w="704" w:type="dxa"/>
            <w:vAlign w:val="center"/>
          </w:tcPr>
          <w:p w14:paraId="107A9D7F">
            <w:pPr>
              <w:spacing w:line="360" w:lineRule="auto"/>
              <w:jc w:val="center"/>
              <w:rPr>
                <w:rFonts w:ascii="宋体" w:hAnsi="宋体" w:cs="宋体"/>
                <w:sz w:val="24"/>
              </w:rPr>
            </w:pPr>
          </w:p>
        </w:tc>
        <w:tc>
          <w:tcPr>
            <w:tcW w:w="704" w:type="dxa"/>
            <w:vAlign w:val="center"/>
          </w:tcPr>
          <w:p w14:paraId="6FD02953">
            <w:pPr>
              <w:spacing w:line="360" w:lineRule="auto"/>
              <w:jc w:val="center"/>
              <w:rPr>
                <w:rFonts w:ascii="宋体" w:hAnsi="宋体" w:cs="宋体"/>
                <w:sz w:val="24"/>
              </w:rPr>
            </w:pPr>
          </w:p>
        </w:tc>
        <w:tc>
          <w:tcPr>
            <w:tcW w:w="704" w:type="dxa"/>
            <w:vAlign w:val="center"/>
          </w:tcPr>
          <w:p w14:paraId="40B8E7D0">
            <w:pPr>
              <w:spacing w:line="360" w:lineRule="auto"/>
              <w:jc w:val="center"/>
              <w:rPr>
                <w:rFonts w:ascii="宋体" w:hAnsi="宋体" w:cs="宋体"/>
                <w:sz w:val="24"/>
              </w:rPr>
            </w:pPr>
          </w:p>
        </w:tc>
        <w:tc>
          <w:tcPr>
            <w:tcW w:w="704" w:type="dxa"/>
            <w:vAlign w:val="center"/>
          </w:tcPr>
          <w:p w14:paraId="7FFDB051">
            <w:pPr>
              <w:spacing w:line="360" w:lineRule="auto"/>
              <w:jc w:val="center"/>
              <w:rPr>
                <w:rFonts w:ascii="宋体" w:hAnsi="宋体" w:cs="宋体"/>
                <w:sz w:val="24"/>
              </w:rPr>
            </w:pPr>
          </w:p>
        </w:tc>
        <w:tc>
          <w:tcPr>
            <w:tcW w:w="704" w:type="dxa"/>
            <w:vAlign w:val="center"/>
          </w:tcPr>
          <w:p w14:paraId="2B7315C5">
            <w:pPr>
              <w:spacing w:line="360" w:lineRule="auto"/>
              <w:jc w:val="center"/>
              <w:rPr>
                <w:rFonts w:ascii="宋体" w:hAnsi="宋体" w:cs="宋体"/>
                <w:sz w:val="24"/>
              </w:rPr>
            </w:pPr>
          </w:p>
        </w:tc>
        <w:tc>
          <w:tcPr>
            <w:tcW w:w="701" w:type="dxa"/>
            <w:vAlign w:val="center"/>
          </w:tcPr>
          <w:p w14:paraId="79551B34">
            <w:pPr>
              <w:spacing w:line="360" w:lineRule="auto"/>
              <w:jc w:val="center"/>
              <w:rPr>
                <w:rFonts w:ascii="宋体" w:hAnsi="宋体" w:cs="宋体"/>
                <w:sz w:val="24"/>
              </w:rPr>
            </w:pPr>
          </w:p>
        </w:tc>
      </w:tr>
      <w:tr w14:paraId="31EA7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639819DD">
            <w:pPr>
              <w:spacing w:line="360" w:lineRule="auto"/>
              <w:jc w:val="center"/>
              <w:rPr>
                <w:rFonts w:ascii="宋体" w:hAnsi="宋体" w:cs="宋体"/>
                <w:sz w:val="24"/>
              </w:rPr>
            </w:pPr>
            <w:r>
              <w:rPr>
                <w:rFonts w:hint="eastAsia" w:ascii="宋体" w:hAnsi="宋体" w:cs="宋体"/>
                <w:sz w:val="24"/>
              </w:rPr>
              <w:t>5</w:t>
            </w:r>
          </w:p>
        </w:tc>
        <w:tc>
          <w:tcPr>
            <w:tcW w:w="2160" w:type="dxa"/>
            <w:vAlign w:val="center"/>
          </w:tcPr>
          <w:p w14:paraId="1E4EB33B">
            <w:pPr>
              <w:spacing w:line="360" w:lineRule="auto"/>
              <w:jc w:val="center"/>
              <w:rPr>
                <w:rFonts w:ascii="宋体" w:hAnsi="宋体" w:cs="宋体"/>
                <w:sz w:val="24"/>
              </w:rPr>
            </w:pPr>
            <w:r>
              <w:rPr>
                <w:rFonts w:hint="eastAsia" w:ascii="宋体" w:hAnsi="宋体" w:cs="宋体"/>
                <w:sz w:val="24"/>
              </w:rPr>
              <w:t>报价唯一</w:t>
            </w:r>
          </w:p>
        </w:tc>
        <w:tc>
          <w:tcPr>
            <w:tcW w:w="704" w:type="dxa"/>
            <w:vAlign w:val="center"/>
          </w:tcPr>
          <w:p w14:paraId="53EEFD92">
            <w:pPr>
              <w:spacing w:line="360" w:lineRule="auto"/>
              <w:jc w:val="center"/>
              <w:rPr>
                <w:rFonts w:ascii="宋体" w:hAnsi="宋体" w:cs="宋体"/>
                <w:sz w:val="24"/>
              </w:rPr>
            </w:pPr>
          </w:p>
        </w:tc>
        <w:tc>
          <w:tcPr>
            <w:tcW w:w="704" w:type="dxa"/>
            <w:vAlign w:val="center"/>
          </w:tcPr>
          <w:p w14:paraId="48C111C6">
            <w:pPr>
              <w:spacing w:line="360" w:lineRule="auto"/>
              <w:jc w:val="center"/>
              <w:rPr>
                <w:rFonts w:ascii="宋体" w:hAnsi="宋体" w:cs="宋体"/>
                <w:sz w:val="24"/>
              </w:rPr>
            </w:pPr>
          </w:p>
        </w:tc>
        <w:tc>
          <w:tcPr>
            <w:tcW w:w="704" w:type="dxa"/>
            <w:vAlign w:val="center"/>
          </w:tcPr>
          <w:p w14:paraId="0DC1AA18">
            <w:pPr>
              <w:spacing w:line="360" w:lineRule="auto"/>
              <w:jc w:val="center"/>
              <w:rPr>
                <w:rFonts w:ascii="宋体" w:hAnsi="宋体" w:cs="宋体"/>
                <w:sz w:val="24"/>
              </w:rPr>
            </w:pPr>
          </w:p>
        </w:tc>
        <w:tc>
          <w:tcPr>
            <w:tcW w:w="704" w:type="dxa"/>
            <w:vAlign w:val="center"/>
          </w:tcPr>
          <w:p w14:paraId="47C3B8A8">
            <w:pPr>
              <w:spacing w:line="360" w:lineRule="auto"/>
              <w:jc w:val="center"/>
              <w:rPr>
                <w:rFonts w:ascii="宋体" w:hAnsi="宋体" w:cs="宋体"/>
                <w:sz w:val="24"/>
              </w:rPr>
            </w:pPr>
          </w:p>
        </w:tc>
        <w:tc>
          <w:tcPr>
            <w:tcW w:w="704" w:type="dxa"/>
            <w:vAlign w:val="center"/>
          </w:tcPr>
          <w:p w14:paraId="2675E347">
            <w:pPr>
              <w:spacing w:line="360" w:lineRule="auto"/>
              <w:jc w:val="center"/>
              <w:rPr>
                <w:rFonts w:ascii="宋体" w:hAnsi="宋体" w:cs="宋体"/>
                <w:sz w:val="24"/>
              </w:rPr>
            </w:pPr>
          </w:p>
        </w:tc>
        <w:tc>
          <w:tcPr>
            <w:tcW w:w="704" w:type="dxa"/>
            <w:vAlign w:val="center"/>
          </w:tcPr>
          <w:p w14:paraId="114419BE">
            <w:pPr>
              <w:spacing w:line="360" w:lineRule="auto"/>
              <w:jc w:val="center"/>
              <w:rPr>
                <w:rFonts w:ascii="宋体" w:hAnsi="宋体" w:cs="宋体"/>
                <w:sz w:val="24"/>
              </w:rPr>
            </w:pPr>
          </w:p>
        </w:tc>
        <w:tc>
          <w:tcPr>
            <w:tcW w:w="704" w:type="dxa"/>
            <w:vAlign w:val="center"/>
          </w:tcPr>
          <w:p w14:paraId="1268747F">
            <w:pPr>
              <w:spacing w:line="360" w:lineRule="auto"/>
              <w:jc w:val="center"/>
              <w:rPr>
                <w:rFonts w:ascii="宋体" w:hAnsi="宋体" w:cs="宋体"/>
                <w:sz w:val="24"/>
              </w:rPr>
            </w:pPr>
          </w:p>
        </w:tc>
        <w:tc>
          <w:tcPr>
            <w:tcW w:w="704" w:type="dxa"/>
            <w:vAlign w:val="center"/>
          </w:tcPr>
          <w:p w14:paraId="0D0BD0A1">
            <w:pPr>
              <w:spacing w:line="360" w:lineRule="auto"/>
              <w:jc w:val="center"/>
              <w:rPr>
                <w:rFonts w:ascii="宋体" w:hAnsi="宋体" w:cs="宋体"/>
                <w:sz w:val="24"/>
              </w:rPr>
            </w:pPr>
          </w:p>
        </w:tc>
        <w:tc>
          <w:tcPr>
            <w:tcW w:w="701" w:type="dxa"/>
            <w:vAlign w:val="center"/>
          </w:tcPr>
          <w:p w14:paraId="3F27EEA1">
            <w:pPr>
              <w:spacing w:line="360" w:lineRule="auto"/>
              <w:jc w:val="center"/>
              <w:rPr>
                <w:rFonts w:ascii="宋体" w:hAnsi="宋体" w:cs="宋体"/>
                <w:sz w:val="24"/>
              </w:rPr>
            </w:pPr>
          </w:p>
        </w:tc>
      </w:tr>
      <w:tr w14:paraId="4AE4C7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55" w:type="dxa"/>
            <w:vAlign w:val="center"/>
          </w:tcPr>
          <w:p w14:paraId="5419DA64">
            <w:pPr>
              <w:spacing w:line="360" w:lineRule="auto"/>
              <w:jc w:val="center"/>
              <w:rPr>
                <w:rFonts w:ascii="宋体" w:hAnsi="宋体" w:cs="宋体"/>
                <w:sz w:val="24"/>
              </w:rPr>
            </w:pPr>
            <w:r>
              <w:rPr>
                <w:rFonts w:hint="eastAsia" w:ascii="宋体" w:hAnsi="宋体" w:cs="宋体"/>
                <w:sz w:val="24"/>
              </w:rPr>
              <w:t>6</w:t>
            </w:r>
          </w:p>
        </w:tc>
        <w:tc>
          <w:tcPr>
            <w:tcW w:w="2160" w:type="dxa"/>
            <w:vAlign w:val="center"/>
          </w:tcPr>
          <w:p w14:paraId="729CBF10">
            <w:pPr>
              <w:spacing w:line="360" w:lineRule="auto"/>
              <w:jc w:val="center"/>
              <w:rPr>
                <w:rFonts w:ascii="宋体" w:hAnsi="宋体" w:cs="宋体"/>
                <w:sz w:val="24"/>
              </w:rPr>
            </w:pPr>
            <w:r>
              <w:rPr>
                <w:rFonts w:hint="eastAsia" w:ascii="宋体" w:hAnsi="宋体" w:cs="宋体"/>
                <w:sz w:val="24"/>
              </w:rPr>
              <w:t>……</w:t>
            </w:r>
          </w:p>
        </w:tc>
        <w:tc>
          <w:tcPr>
            <w:tcW w:w="704" w:type="dxa"/>
            <w:vAlign w:val="center"/>
          </w:tcPr>
          <w:p w14:paraId="1DD2515C">
            <w:pPr>
              <w:spacing w:line="360" w:lineRule="auto"/>
              <w:jc w:val="center"/>
              <w:rPr>
                <w:rFonts w:ascii="宋体" w:hAnsi="宋体" w:cs="宋体"/>
                <w:sz w:val="24"/>
              </w:rPr>
            </w:pPr>
          </w:p>
        </w:tc>
        <w:tc>
          <w:tcPr>
            <w:tcW w:w="704" w:type="dxa"/>
            <w:vAlign w:val="center"/>
          </w:tcPr>
          <w:p w14:paraId="0E6CF095">
            <w:pPr>
              <w:spacing w:line="360" w:lineRule="auto"/>
              <w:jc w:val="center"/>
              <w:rPr>
                <w:rFonts w:ascii="宋体" w:hAnsi="宋体" w:cs="宋体"/>
                <w:sz w:val="24"/>
              </w:rPr>
            </w:pPr>
          </w:p>
        </w:tc>
        <w:tc>
          <w:tcPr>
            <w:tcW w:w="704" w:type="dxa"/>
            <w:vAlign w:val="center"/>
          </w:tcPr>
          <w:p w14:paraId="1A634417">
            <w:pPr>
              <w:spacing w:line="360" w:lineRule="auto"/>
              <w:jc w:val="center"/>
              <w:rPr>
                <w:rFonts w:ascii="宋体" w:hAnsi="宋体" w:cs="宋体"/>
                <w:sz w:val="24"/>
              </w:rPr>
            </w:pPr>
          </w:p>
        </w:tc>
        <w:tc>
          <w:tcPr>
            <w:tcW w:w="704" w:type="dxa"/>
            <w:vAlign w:val="center"/>
          </w:tcPr>
          <w:p w14:paraId="714A46FF">
            <w:pPr>
              <w:spacing w:line="360" w:lineRule="auto"/>
              <w:jc w:val="center"/>
              <w:rPr>
                <w:rFonts w:ascii="宋体" w:hAnsi="宋体" w:cs="宋体"/>
                <w:sz w:val="24"/>
              </w:rPr>
            </w:pPr>
          </w:p>
        </w:tc>
        <w:tc>
          <w:tcPr>
            <w:tcW w:w="704" w:type="dxa"/>
            <w:vAlign w:val="center"/>
          </w:tcPr>
          <w:p w14:paraId="4C49A8B0">
            <w:pPr>
              <w:spacing w:line="360" w:lineRule="auto"/>
              <w:jc w:val="center"/>
              <w:rPr>
                <w:rFonts w:ascii="宋体" w:hAnsi="宋体" w:cs="宋体"/>
                <w:sz w:val="24"/>
              </w:rPr>
            </w:pPr>
          </w:p>
        </w:tc>
        <w:tc>
          <w:tcPr>
            <w:tcW w:w="704" w:type="dxa"/>
            <w:vAlign w:val="center"/>
          </w:tcPr>
          <w:p w14:paraId="1C9262BB">
            <w:pPr>
              <w:spacing w:line="360" w:lineRule="auto"/>
              <w:jc w:val="center"/>
              <w:rPr>
                <w:rFonts w:ascii="宋体" w:hAnsi="宋体" w:cs="宋体"/>
                <w:sz w:val="24"/>
              </w:rPr>
            </w:pPr>
          </w:p>
        </w:tc>
        <w:tc>
          <w:tcPr>
            <w:tcW w:w="704" w:type="dxa"/>
            <w:vAlign w:val="center"/>
          </w:tcPr>
          <w:p w14:paraId="2EDDD2D8">
            <w:pPr>
              <w:spacing w:line="360" w:lineRule="auto"/>
              <w:jc w:val="center"/>
              <w:rPr>
                <w:rFonts w:ascii="宋体" w:hAnsi="宋体" w:cs="宋体"/>
                <w:sz w:val="24"/>
              </w:rPr>
            </w:pPr>
          </w:p>
        </w:tc>
        <w:tc>
          <w:tcPr>
            <w:tcW w:w="704" w:type="dxa"/>
            <w:vAlign w:val="center"/>
          </w:tcPr>
          <w:p w14:paraId="00C8091D">
            <w:pPr>
              <w:spacing w:line="360" w:lineRule="auto"/>
              <w:jc w:val="center"/>
              <w:rPr>
                <w:rFonts w:ascii="宋体" w:hAnsi="宋体" w:cs="宋体"/>
                <w:sz w:val="24"/>
              </w:rPr>
            </w:pPr>
          </w:p>
        </w:tc>
        <w:tc>
          <w:tcPr>
            <w:tcW w:w="701" w:type="dxa"/>
            <w:vAlign w:val="center"/>
          </w:tcPr>
          <w:p w14:paraId="45E83D51">
            <w:pPr>
              <w:spacing w:line="360" w:lineRule="auto"/>
              <w:jc w:val="center"/>
              <w:rPr>
                <w:rFonts w:ascii="宋体" w:hAnsi="宋体" w:cs="宋体"/>
                <w:sz w:val="24"/>
              </w:rPr>
            </w:pPr>
          </w:p>
        </w:tc>
      </w:tr>
      <w:tr w14:paraId="359ECC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815" w:type="dxa"/>
            <w:gridSpan w:val="2"/>
            <w:vAlign w:val="center"/>
          </w:tcPr>
          <w:p w14:paraId="3B97C325">
            <w:pPr>
              <w:spacing w:line="360" w:lineRule="auto"/>
              <w:jc w:val="center"/>
              <w:rPr>
                <w:rFonts w:ascii="宋体" w:hAnsi="宋体" w:cs="宋体"/>
                <w:sz w:val="24"/>
              </w:rPr>
            </w:pPr>
            <w:r>
              <w:rPr>
                <w:rFonts w:hint="eastAsia" w:ascii="宋体" w:hAnsi="宋体"/>
                <w:sz w:val="24"/>
              </w:rPr>
              <w:t>评审结论：符合/不符合</w:t>
            </w:r>
          </w:p>
        </w:tc>
        <w:tc>
          <w:tcPr>
            <w:tcW w:w="704" w:type="dxa"/>
            <w:vAlign w:val="center"/>
          </w:tcPr>
          <w:p w14:paraId="2FB274C5">
            <w:pPr>
              <w:spacing w:line="360" w:lineRule="auto"/>
              <w:jc w:val="center"/>
              <w:rPr>
                <w:rFonts w:ascii="宋体" w:hAnsi="宋体" w:cs="宋体"/>
                <w:sz w:val="24"/>
              </w:rPr>
            </w:pPr>
          </w:p>
        </w:tc>
        <w:tc>
          <w:tcPr>
            <w:tcW w:w="704" w:type="dxa"/>
            <w:vAlign w:val="center"/>
          </w:tcPr>
          <w:p w14:paraId="159CFAC2">
            <w:pPr>
              <w:spacing w:line="360" w:lineRule="auto"/>
              <w:jc w:val="center"/>
              <w:rPr>
                <w:rFonts w:ascii="宋体" w:hAnsi="宋体" w:cs="宋体"/>
                <w:sz w:val="24"/>
              </w:rPr>
            </w:pPr>
          </w:p>
        </w:tc>
        <w:tc>
          <w:tcPr>
            <w:tcW w:w="704" w:type="dxa"/>
            <w:vAlign w:val="center"/>
          </w:tcPr>
          <w:p w14:paraId="6566EAD8">
            <w:pPr>
              <w:spacing w:line="360" w:lineRule="auto"/>
              <w:jc w:val="center"/>
              <w:rPr>
                <w:rFonts w:ascii="宋体" w:hAnsi="宋体" w:cs="宋体"/>
                <w:sz w:val="24"/>
              </w:rPr>
            </w:pPr>
          </w:p>
        </w:tc>
        <w:tc>
          <w:tcPr>
            <w:tcW w:w="704" w:type="dxa"/>
            <w:vAlign w:val="center"/>
          </w:tcPr>
          <w:p w14:paraId="04D775F3">
            <w:pPr>
              <w:spacing w:line="360" w:lineRule="auto"/>
              <w:jc w:val="center"/>
              <w:rPr>
                <w:rFonts w:ascii="宋体" w:hAnsi="宋体" w:cs="宋体"/>
                <w:sz w:val="24"/>
              </w:rPr>
            </w:pPr>
          </w:p>
        </w:tc>
        <w:tc>
          <w:tcPr>
            <w:tcW w:w="704" w:type="dxa"/>
            <w:vAlign w:val="center"/>
          </w:tcPr>
          <w:p w14:paraId="58B17028">
            <w:pPr>
              <w:spacing w:line="360" w:lineRule="auto"/>
              <w:jc w:val="center"/>
              <w:rPr>
                <w:rFonts w:ascii="宋体" w:hAnsi="宋体" w:cs="宋体"/>
                <w:sz w:val="24"/>
              </w:rPr>
            </w:pPr>
          </w:p>
        </w:tc>
        <w:tc>
          <w:tcPr>
            <w:tcW w:w="704" w:type="dxa"/>
            <w:vAlign w:val="center"/>
          </w:tcPr>
          <w:p w14:paraId="45979A2F">
            <w:pPr>
              <w:spacing w:line="360" w:lineRule="auto"/>
              <w:jc w:val="center"/>
              <w:rPr>
                <w:rFonts w:ascii="宋体" w:hAnsi="宋体" w:cs="宋体"/>
                <w:sz w:val="24"/>
              </w:rPr>
            </w:pPr>
          </w:p>
        </w:tc>
        <w:tc>
          <w:tcPr>
            <w:tcW w:w="704" w:type="dxa"/>
            <w:vAlign w:val="center"/>
          </w:tcPr>
          <w:p w14:paraId="49EA7223">
            <w:pPr>
              <w:spacing w:line="360" w:lineRule="auto"/>
              <w:jc w:val="center"/>
              <w:rPr>
                <w:rFonts w:ascii="宋体" w:hAnsi="宋体" w:cs="宋体"/>
                <w:sz w:val="24"/>
              </w:rPr>
            </w:pPr>
          </w:p>
        </w:tc>
        <w:tc>
          <w:tcPr>
            <w:tcW w:w="704" w:type="dxa"/>
            <w:vAlign w:val="center"/>
          </w:tcPr>
          <w:p w14:paraId="0CB08231">
            <w:pPr>
              <w:spacing w:line="360" w:lineRule="auto"/>
              <w:jc w:val="center"/>
              <w:rPr>
                <w:rFonts w:ascii="宋体" w:hAnsi="宋体" w:cs="宋体"/>
                <w:sz w:val="24"/>
              </w:rPr>
            </w:pPr>
          </w:p>
        </w:tc>
        <w:tc>
          <w:tcPr>
            <w:tcW w:w="701" w:type="dxa"/>
            <w:vAlign w:val="center"/>
          </w:tcPr>
          <w:p w14:paraId="6ED17B15">
            <w:pPr>
              <w:spacing w:line="360" w:lineRule="auto"/>
              <w:jc w:val="center"/>
              <w:rPr>
                <w:rFonts w:ascii="宋体" w:hAnsi="宋体" w:cs="宋体"/>
                <w:sz w:val="24"/>
              </w:rPr>
            </w:pPr>
          </w:p>
        </w:tc>
      </w:tr>
    </w:tbl>
    <w:p w14:paraId="1DB8048D">
      <w:pPr>
        <w:spacing w:line="360" w:lineRule="auto"/>
        <w:rPr>
          <w:rFonts w:ascii="宋体" w:hAnsi="宋体" w:cs="宋体"/>
          <w:sz w:val="24"/>
        </w:rPr>
      </w:pPr>
      <w:r>
        <w:rPr>
          <w:rFonts w:hint="eastAsia" w:ascii="宋体" w:hAnsi="宋体" w:cs="宋体"/>
          <w:sz w:val="24"/>
        </w:rPr>
        <w:t>评标委员会全体成员签名：</w:t>
      </w:r>
    </w:p>
    <w:p w14:paraId="44DCE2BA">
      <w:pPr>
        <w:spacing w:line="360" w:lineRule="auto"/>
        <w:rPr>
          <w:rFonts w:ascii="宋体" w:hAnsi="宋体" w:cs="宋体"/>
          <w:b/>
          <w:sz w:val="24"/>
        </w:rPr>
        <w:sectPr>
          <w:pgSz w:w="11906" w:h="16838"/>
          <w:pgMar w:top="1417" w:right="1417" w:bottom="1417" w:left="1417" w:header="851" w:footer="850" w:gutter="0"/>
          <w:cols w:space="720" w:num="1"/>
          <w:docGrid w:type="lines" w:linePitch="312" w:charSpace="0"/>
        </w:sectPr>
      </w:pPr>
    </w:p>
    <w:p w14:paraId="3F393C8E">
      <w:pPr>
        <w:pStyle w:val="4"/>
        <w:rPr>
          <w:rFonts w:ascii="宋体" w:hAnsi="宋体" w:eastAsia="宋体"/>
          <w:sz w:val="24"/>
          <w:szCs w:val="24"/>
        </w:rPr>
      </w:pPr>
      <w:r>
        <w:rPr>
          <w:rFonts w:hint="eastAsia" w:ascii="宋体" w:hAnsi="宋体" w:eastAsia="宋体"/>
          <w:sz w:val="24"/>
          <w:szCs w:val="24"/>
        </w:rPr>
        <w:t>附表3：资格评审记录表</w:t>
      </w:r>
    </w:p>
    <w:p w14:paraId="5DDE3049">
      <w:pPr>
        <w:spacing w:line="360" w:lineRule="auto"/>
        <w:jc w:val="center"/>
        <w:rPr>
          <w:rFonts w:ascii="宋体" w:hAnsi="宋体" w:cs="宋体"/>
          <w:b/>
          <w:sz w:val="24"/>
        </w:rPr>
      </w:pPr>
      <w:bookmarkStart w:id="431" w:name="_Toc8651_WPSOffice_Level1"/>
      <w:r>
        <w:rPr>
          <w:rFonts w:hint="eastAsia" w:ascii="宋体" w:hAnsi="宋体" w:cs="宋体"/>
          <w:b/>
          <w:sz w:val="24"/>
        </w:rPr>
        <w:t>资格评审记录表</w:t>
      </w:r>
      <w:bookmarkEnd w:id="431"/>
    </w:p>
    <w:p w14:paraId="5AB0378C">
      <w:pPr>
        <w:spacing w:line="360" w:lineRule="auto"/>
        <w:jc w:val="center"/>
        <w:rPr>
          <w:rFonts w:ascii="宋体" w:hAnsi="宋体" w:cs="宋体"/>
          <w:b/>
          <w:sz w:val="24"/>
        </w:rPr>
      </w:pPr>
    </w:p>
    <w:p w14:paraId="3C42364F">
      <w:pPr>
        <w:spacing w:line="360" w:lineRule="auto"/>
        <w:rPr>
          <w:rFonts w:ascii="宋体" w:hAnsi="宋体" w:cs="宋体"/>
          <w:sz w:val="24"/>
        </w:rPr>
      </w:pPr>
      <w:r>
        <w:rPr>
          <w:rFonts w:hint="eastAsia" w:ascii="宋体" w:hAnsi="宋体" w:cs="宋体"/>
          <w:sz w:val="24"/>
        </w:rPr>
        <w:t>工程名称：______（项目名称）</w:t>
      </w:r>
      <w:r>
        <w:rPr>
          <w:rFonts w:hint="eastAsia" w:ascii="宋体" w:hAnsi="宋体"/>
          <w:sz w:val="24"/>
        </w:rPr>
        <w:t>设计施工总承包</w:t>
      </w:r>
      <w:r>
        <w:rPr>
          <w:rFonts w:hint="eastAsia" w:ascii="宋体" w:hAnsi="宋体" w:cs="宋体"/>
          <w:sz w:val="24"/>
        </w:rPr>
        <w:t>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8"/>
        <w:gridCol w:w="1912"/>
        <w:gridCol w:w="722"/>
        <w:gridCol w:w="724"/>
        <w:gridCol w:w="724"/>
        <w:gridCol w:w="724"/>
        <w:gridCol w:w="724"/>
        <w:gridCol w:w="724"/>
        <w:gridCol w:w="724"/>
        <w:gridCol w:w="724"/>
        <w:gridCol w:w="727"/>
      </w:tblGrid>
      <w:tr w14:paraId="632FC5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Merge w:val="restart"/>
            <w:vAlign w:val="center"/>
          </w:tcPr>
          <w:p w14:paraId="6B562DA2">
            <w:pPr>
              <w:spacing w:line="360" w:lineRule="auto"/>
              <w:jc w:val="center"/>
              <w:rPr>
                <w:rFonts w:ascii="宋体" w:hAnsi="宋体" w:cs="宋体"/>
                <w:sz w:val="24"/>
              </w:rPr>
            </w:pPr>
            <w:r>
              <w:rPr>
                <w:rFonts w:hint="eastAsia" w:ascii="宋体" w:hAnsi="宋体" w:cs="宋体"/>
                <w:sz w:val="24"/>
              </w:rPr>
              <w:t>序号</w:t>
            </w:r>
          </w:p>
        </w:tc>
        <w:tc>
          <w:tcPr>
            <w:tcW w:w="1912" w:type="dxa"/>
            <w:vMerge w:val="restart"/>
            <w:vAlign w:val="center"/>
          </w:tcPr>
          <w:p w14:paraId="20704CBC">
            <w:pPr>
              <w:spacing w:line="360" w:lineRule="auto"/>
              <w:jc w:val="center"/>
              <w:rPr>
                <w:rFonts w:ascii="宋体" w:hAnsi="宋体" w:cs="宋体"/>
                <w:sz w:val="24"/>
              </w:rPr>
            </w:pPr>
            <w:r>
              <w:rPr>
                <w:rFonts w:hint="eastAsia" w:ascii="宋体" w:hAnsi="宋体" w:cs="宋体"/>
                <w:sz w:val="24"/>
              </w:rPr>
              <w:t>评审因素</w:t>
            </w:r>
          </w:p>
        </w:tc>
        <w:tc>
          <w:tcPr>
            <w:tcW w:w="6517" w:type="dxa"/>
            <w:gridSpan w:val="9"/>
            <w:vAlign w:val="center"/>
          </w:tcPr>
          <w:p w14:paraId="60885E3C">
            <w:pPr>
              <w:spacing w:line="360" w:lineRule="auto"/>
              <w:jc w:val="center"/>
              <w:rPr>
                <w:rFonts w:ascii="宋体" w:hAnsi="宋体" w:cs="宋体"/>
                <w:sz w:val="24"/>
              </w:rPr>
            </w:pPr>
            <w:r>
              <w:rPr>
                <w:rFonts w:hint="eastAsia" w:ascii="宋体" w:hAnsi="宋体" w:cs="宋体"/>
                <w:sz w:val="24"/>
              </w:rPr>
              <w:t>投标人名称及评审意见</w:t>
            </w:r>
          </w:p>
        </w:tc>
      </w:tr>
      <w:tr w14:paraId="46EC0B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Merge w:val="continue"/>
            <w:vAlign w:val="center"/>
          </w:tcPr>
          <w:p w14:paraId="591AA5B7">
            <w:pPr>
              <w:spacing w:line="360" w:lineRule="auto"/>
              <w:rPr>
                <w:rFonts w:ascii="宋体" w:hAnsi="宋体" w:cs="宋体"/>
                <w:sz w:val="24"/>
              </w:rPr>
            </w:pPr>
          </w:p>
        </w:tc>
        <w:tc>
          <w:tcPr>
            <w:tcW w:w="1912" w:type="dxa"/>
            <w:vMerge w:val="continue"/>
            <w:vAlign w:val="center"/>
          </w:tcPr>
          <w:p w14:paraId="38B90612">
            <w:pPr>
              <w:spacing w:line="360" w:lineRule="auto"/>
              <w:rPr>
                <w:rFonts w:ascii="宋体" w:hAnsi="宋体" w:cs="宋体"/>
                <w:sz w:val="24"/>
              </w:rPr>
            </w:pPr>
          </w:p>
        </w:tc>
        <w:tc>
          <w:tcPr>
            <w:tcW w:w="722" w:type="dxa"/>
            <w:vAlign w:val="center"/>
          </w:tcPr>
          <w:p w14:paraId="689FE3D2">
            <w:pPr>
              <w:spacing w:line="360" w:lineRule="auto"/>
              <w:jc w:val="center"/>
              <w:rPr>
                <w:rFonts w:ascii="宋体" w:hAnsi="宋体" w:cs="宋体"/>
                <w:sz w:val="24"/>
              </w:rPr>
            </w:pPr>
          </w:p>
        </w:tc>
        <w:tc>
          <w:tcPr>
            <w:tcW w:w="724" w:type="dxa"/>
            <w:vAlign w:val="center"/>
          </w:tcPr>
          <w:p w14:paraId="0D74222A">
            <w:pPr>
              <w:spacing w:line="360" w:lineRule="auto"/>
              <w:jc w:val="center"/>
              <w:rPr>
                <w:rFonts w:ascii="宋体" w:hAnsi="宋体" w:cs="宋体"/>
                <w:sz w:val="24"/>
              </w:rPr>
            </w:pPr>
          </w:p>
        </w:tc>
        <w:tc>
          <w:tcPr>
            <w:tcW w:w="724" w:type="dxa"/>
            <w:vAlign w:val="center"/>
          </w:tcPr>
          <w:p w14:paraId="5FD11867">
            <w:pPr>
              <w:spacing w:line="360" w:lineRule="auto"/>
              <w:jc w:val="center"/>
              <w:rPr>
                <w:rFonts w:ascii="宋体" w:hAnsi="宋体" w:cs="宋体"/>
                <w:sz w:val="24"/>
              </w:rPr>
            </w:pPr>
          </w:p>
        </w:tc>
        <w:tc>
          <w:tcPr>
            <w:tcW w:w="724" w:type="dxa"/>
            <w:vAlign w:val="center"/>
          </w:tcPr>
          <w:p w14:paraId="7AE36B04">
            <w:pPr>
              <w:spacing w:line="360" w:lineRule="auto"/>
              <w:jc w:val="center"/>
              <w:rPr>
                <w:rFonts w:ascii="宋体" w:hAnsi="宋体" w:cs="宋体"/>
                <w:sz w:val="24"/>
              </w:rPr>
            </w:pPr>
          </w:p>
        </w:tc>
        <w:tc>
          <w:tcPr>
            <w:tcW w:w="724" w:type="dxa"/>
            <w:vAlign w:val="center"/>
          </w:tcPr>
          <w:p w14:paraId="4FC683C2">
            <w:pPr>
              <w:spacing w:line="360" w:lineRule="auto"/>
              <w:jc w:val="center"/>
              <w:rPr>
                <w:rFonts w:ascii="宋体" w:hAnsi="宋体" w:cs="宋体"/>
                <w:sz w:val="24"/>
              </w:rPr>
            </w:pPr>
          </w:p>
        </w:tc>
        <w:tc>
          <w:tcPr>
            <w:tcW w:w="724" w:type="dxa"/>
            <w:vAlign w:val="center"/>
          </w:tcPr>
          <w:p w14:paraId="0B730B4D">
            <w:pPr>
              <w:spacing w:line="360" w:lineRule="auto"/>
              <w:jc w:val="center"/>
              <w:rPr>
                <w:rFonts w:ascii="宋体" w:hAnsi="宋体" w:cs="宋体"/>
                <w:sz w:val="24"/>
              </w:rPr>
            </w:pPr>
          </w:p>
        </w:tc>
        <w:tc>
          <w:tcPr>
            <w:tcW w:w="724" w:type="dxa"/>
            <w:vAlign w:val="center"/>
          </w:tcPr>
          <w:p w14:paraId="5CE3F016">
            <w:pPr>
              <w:spacing w:line="360" w:lineRule="auto"/>
              <w:jc w:val="center"/>
              <w:rPr>
                <w:rFonts w:ascii="宋体" w:hAnsi="宋体" w:cs="宋体"/>
                <w:sz w:val="24"/>
              </w:rPr>
            </w:pPr>
          </w:p>
        </w:tc>
        <w:tc>
          <w:tcPr>
            <w:tcW w:w="724" w:type="dxa"/>
            <w:vAlign w:val="center"/>
          </w:tcPr>
          <w:p w14:paraId="57A0F351">
            <w:pPr>
              <w:spacing w:line="360" w:lineRule="auto"/>
              <w:jc w:val="center"/>
              <w:rPr>
                <w:rFonts w:ascii="宋体" w:hAnsi="宋体" w:cs="宋体"/>
                <w:sz w:val="24"/>
              </w:rPr>
            </w:pPr>
          </w:p>
        </w:tc>
        <w:tc>
          <w:tcPr>
            <w:tcW w:w="727" w:type="dxa"/>
            <w:vAlign w:val="center"/>
          </w:tcPr>
          <w:p w14:paraId="7D2DFF77">
            <w:pPr>
              <w:spacing w:line="360" w:lineRule="auto"/>
              <w:jc w:val="center"/>
              <w:rPr>
                <w:rFonts w:ascii="宋体" w:hAnsi="宋体" w:cs="宋体"/>
                <w:sz w:val="24"/>
              </w:rPr>
            </w:pPr>
          </w:p>
        </w:tc>
      </w:tr>
      <w:tr w14:paraId="10DE7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6FF47742">
            <w:pPr>
              <w:spacing w:line="360" w:lineRule="auto"/>
              <w:jc w:val="center"/>
              <w:rPr>
                <w:rFonts w:ascii="宋体" w:hAnsi="宋体" w:cs="宋体"/>
                <w:sz w:val="24"/>
              </w:rPr>
            </w:pPr>
            <w:r>
              <w:rPr>
                <w:rFonts w:hint="eastAsia" w:ascii="宋体" w:hAnsi="宋体" w:cs="宋体"/>
                <w:sz w:val="24"/>
              </w:rPr>
              <w:t>1</w:t>
            </w:r>
          </w:p>
        </w:tc>
        <w:tc>
          <w:tcPr>
            <w:tcW w:w="1912" w:type="dxa"/>
            <w:vAlign w:val="center"/>
          </w:tcPr>
          <w:p w14:paraId="6805C52A">
            <w:pPr>
              <w:spacing w:line="360" w:lineRule="auto"/>
              <w:jc w:val="center"/>
              <w:rPr>
                <w:rFonts w:ascii="宋体" w:hAnsi="宋体" w:cs="宋体"/>
                <w:sz w:val="24"/>
              </w:rPr>
            </w:pPr>
            <w:r>
              <w:rPr>
                <w:rFonts w:hint="eastAsia" w:ascii="宋体" w:hAnsi="宋体" w:cs="宋体"/>
                <w:sz w:val="24"/>
              </w:rPr>
              <w:t>营业执照</w:t>
            </w:r>
          </w:p>
        </w:tc>
        <w:tc>
          <w:tcPr>
            <w:tcW w:w="722" w:type="dxa"/>
            <w:vAlign w:val="center"/>
          </w:tcPr>
          <w:p w14:paraId="405EE249">
            <w:pPr>
              <w:spacing w:line="360" w:lineRule="auto"/>
              <w:jc w:val="center"/>
              <w:rPr>
                <w:rFonts w:ascii="宋体" w:hAnsi="宋体" w:cs="宋体"/>
                <w:sz w:val="24"/>
              </w:rPr>
            </w:pPr>
          </w:p>
        </w:tc>
        <w:tc>
          <w:tcPr>
            <w:tcW w:w="724" w:type="dxa"/>
            <w:vAlign w:val="center"/>
          </w:tcPr>
          <w:p w14:paraId="47B76420">
            <w:pPr>
              <w:spacing w:line="360" w:lineRule="auto"/>
              <w:jc w:val="center"/>
              <w:rPr>
                <w:rFonts w:ascii="宋体" w:hAnsi="宋体" w:cs="宋体"/>
                <w:sz w:val="24"/>
              </w:rPr>
            </w:pPr>
          </w:p>
        </w:tc>
        <w:tc>
          <w:tcPr>
            <w:tcW w:w="724" w:type="dxa"/>
            <w:vAlign w:val="center"/>
          </w:tcPr>
          <w:p w14:paraId="008EB34B">
            <w:pPr>
              <w:spacing w:line="360" w:lineRule="auto"/>
              <w:jc w:val="center"/>
              <w:rPr>
                <w:rFonts w:ascii="宋体" w:hAnsi="宋体" w:cs="宋体"/>
                <w:sz w:val="24"/>
              </w:rPr>
            </w:pPr>
          </w:p>
        </w:tc>
        <w:tc>
          <w:tcPr>
            <w:tcW w:w="724" w:type="dxa"/>
            <w:vAlign w:val="center"/>
          </w:tcPr>
          <w:p w14:paraId="7C478255">
            <w:pPr>
              <w:spacing w:line="360" w:lineRule="auto"/>
              <w:jc w:val="center"/>
              <w:rPr>
                <w:rFonts w:ascii="宋体" w:hAnsi="宋体" w:cs="宋体"/>
                <w:sz w:val="24"/>
              </w:rPr>
            </w:pPr>
          </w:p>
        </w:tc>
        <w:tc>
          <w:tcPr>
            <w:tcW w:w="724" w:type="dxa"/>
            <w:vAlign w:val="center"/>
          </w:tcPr>
          <w:p w14:paraId="3609E367">
            <w:pPr>
              <w:spacing w:line="360" w:lineRule="auto"/>
              <w:jc w:val="center"/>
              <w:rPr>
                <w:rFonts w:ascii="宋体" w:hAnsi="宋体" w:cs="宋体"/>
                <w:sz w:val="24"/>
              </w:rPr>
            </w:pPr>
          </w:p>
        </w:tc>
        <w:tc>
          <w:tcPr>
            <w:tcW w:w="724" w:type="dxa"/>
            <w:vAlign w:val="center"/>
          </w:tcPr>
          <w:p w14:paraId="4354229C">
            <w:pPr>
              <w:spacing w:line="360" w:lineRule="auto"/>
              <w:jc w:val="center"/>
              <w:rPr>
                <w:rFonts w:ascii="宋体" w:hAnsi="宋体" w:cs="宋体"/>
                <w:sz w:val="24"/>
              </w:rPr>
            </w:pPr>
          </w:p>
        </w:tc>
        <w:tc>
          <w:tcPr>
            <w:tcW w:w="724" w:type="dxa"/>
            <w:vAlign w:val="center"/>
          </w:tcPr>
          <w:p w14:paraId="549A902C">
            <w:pPr>
              <w:spacing w:line="360" w:lineRule="auto"/>
              <w:jc w:val="center"/>
              <w:rPr>
                <w:rFonts w:ascii="宋体" w:hAnsi="宋体" w:cs="宋体"/>
                <w:sz w:val="24"/>
              </w:rPr>
            </w:pPr>
          </w:p>
        </w:tc>
        <w:tc>
          <w:tcPr>
            <w:tcW w:w="724" w:type="dxa"/>
            <w:vAlign w:val="center"/>
          </w:tcPr>
          <w:p w14:paraId="0E91215F">
            <w:pPr>
              <w:spacing w:line="360" w:lineRule="auto"/>
              <w:jc w:val="center"/>
              <w:rPr>
                <w:rFonts w:ascii="宋体" w:hAnsi="宋体" w:cs="宋体"/>
                <w:sz w:val="24"/>
              </w:rPr>
            </w:pPr>
          </w:p>
        </w:tc>
        <w:tc>
          <w:tcPr>
            <w:tcW w:w="727" w:type="dxa"/>
            <w:vAlign w:val="center"/>
          </w:tcPr>
          <w:p w14:paraId="4727A20B">
            <w:pPr>
              <w:spacing w:line="360" w:lineRule="auto"/>
              <w:jc w:val="center"/>
              <w:rPr>
                <w:rFonts w:ascii="宋体" w:hAnsi="宋体" w:cs="宋体"/>
                <w:sz w:val="24"/>
              </w:rPr>
            </w:pPr>
          </w:p>
        </w:tc>
      </w:tr>
      <w:tr w14:paraId="59B566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7A8C8158">
            <w:pPr>
              <w:spacing w:line="360" w:lineRule="auto"/>
              <w:jc w:val="center"/>
              <w:rPr>
                <w:rFonts w:ascii="宋体" w:hAnsi="宋体" w:cs="宋体"/>
                <w:sz w:val="24"/>
              </w:rPr>
            </w:pPr>
            <w:r>
              <w:rPr>
                <w:rFonts w:hint="eastAsia" w:ascii="宋体" w:hAnsi="宋体" w:cs="宋体"/>
                <w:sz w:val="24"/>
              </w:rPr>
              <w:t>2</w:t>
            </w:r>
          </w:p>
        </w:tc>
        <w:tc>
          <w:tcPr>
            <w:tcW w:w="1912" w:type="dxa"/>
            <w:vAlign w:val="bottom"/>
          </w:tcPr>
          <w:p w14:paraId="193C3190">
            <w:pPr>
              <w:spacing w:line="360" w:lineRule="auto"/>
              <w:jc w:val="center"/>
              <w:rPr>
                <w:rFonts w:ascii="宋体" w:hAnsi="宋体" w:cs="宋体"/>
                <w:sz w:val="24"/>
              </w:rPr>
            </w:pPr>
            <w:r>
              <w:rPr>
                <w:rFonts w:hint="eastAsia" w:ascii="宋体" w:hAnsi="宋体" w:cs="宋体"/>
                <w:sz w:val="24"/>
              </w:rPr>
              <w:t>资质等级</w:t>
            </w:r>
          </w:p>
        </w:tc>
        <w:tc>
          <w:tcPr>
            <w:tcW w:w="722" w:type="dxa"/>
            <w:vAlign w:val="center"/>
          </w:tcPr>
          <w:p w14:paraId="1851C572">
            <w:pPr>
              <w:spacing w:line="360" w:lineRule="auto"/>
              <w:jc w:val="center"/>
              <w:rPr>
                <w:rFonts w:ascii="宋体" w:hAnsi="宋体" w:cs="宋体"/>
                <w:sz w:val="24"/>
              </w:rPr>
            </w:pPr>
          </w:p>
        </w:tc>
        <w:tc>
          <w:tcPr>
            <w:tcW w:w="724" w:type="dxa"/>
            <w:vAlign w:val="center"/>
          </w:tcPr>
          <w:p w14:paraId="140E6C39">
            <w:pPr>
              <w:spacing w:line="360" w:lineRule="auto"/>
              <w:jc w:val="center"/>
              <w:rPr>
                <w:rFonts w:ascii="宋体" w:hAnsi="宋体" w:cs="宋体"/>
                <w:sz w:val="24"/>
              </w:rPr>
            </w:pPr>
          </w:p>
        </w:tc>
        <w:tc>
          <w:tcPr>
            <w:tcW w:w="724" w:type="dxa"/>
            <w:vAlign w:val="center"/>
          </w:tcPr>
          <w:p w14:paraId="7B3028EA">
            <w:pPr>
              <w:spacing w:line="360" w:lineRule="auto"/>
              <w:jc w:val="center"/>
              <w:rPr>
                <w:rFonts w:ascii="宋体" w:hAnsi="宋体" w:cs="宋体"/>
                <w:sz w:val="24"/>
              </w:rPr>
            </w:pPr>
          </w:p>
        </w:tc>
        <w:tc>
          <w:tcPr>
            <w:tcW w:w="724" w:type="dxa"/>
            <w:vAlign w:val="center"/>
          </w:tcPr>
          <w:p w14:paraId="2655F504">
            <w:pPr>
              <w:spacing w:line="360" w:lineRule="auto"/>
              <w:jc w:val="center"/>
              <w:rPr>
                <w:rFonts w:ascii="宋体" w:hAnsi="宋体" w:cs="宋体"/>
                <w:sz w:val="24"/>
              </w:rPr>
            </w:pPr>
          </w:p>
        </w:tc>
        <w:tc>
          <w:tcPr>
            <w:tcW w:w="724" w:type="dxa"/>
            <w:vAlign w:val="center"/>
          </w:tcPr>
          <w:p w14:paraId="1E11099C">
            <w:pPr>
              <w:spacing w:line="360" w:lineRule="auto"/>
              <w:jc w:val="center"/>
              <w:rPr>
                <w:rFonts w:ascii="宋体" w:hAnsi="宋体" w:cs="宋体"/>
                <w:sz w:val="24"/>
              </w:rPr>
            </w:pPr>
          </w:p>
        </w:tc>
        <w:tc>
          <w:tcPr>
            <w:tcW w:w="724" w:type="dxa"/>
            <w:vAlign w:val="center"/>
          </w:tcPr>
          <w:p w14:paraId="15186250">
            <w:pPr>
              <w:spacing w:line="360" w:lineRule="auto"/>
              <w:jc w:val="center"/>
              <w:rPr>
                <w:rFonts w:ascii="宋体" w:hAnsi="宋体" w:cs="宋体"/>
                <w:sz w:val="24"/>
              </w:rPr>
            </w:pPr>
          </w:p>
        </w:tc>
        <w:tc>
          <w:tcPr>
            <w:tcW w:w="724" w:type="dxa"/>
            <w:vAlign w:val="center"/>
          </w:tcPr>
          <w:p w14:paraId="4CA426BA">
            <w:pPr>
              <w:spacing w:line="360" w:lineRule="auto"/>
              <w:jc w:val="center"/>
              <w:rPr>
                <w:rFonts w:ascii="宋体" w:hAnsi="宋体" w:cs="宋体"/>
                <w:sz w:val="24"/>
              </w:rPr>
            </w:pPr>
          </w:p>
        </w:tc>
        <w:tc>
          <w:tcPr>
            <w:tcW w:w="724" w:type="dxa"/>
            <w:vAlign w:val="center"/>
          </w:tcPr>
          <w:p w14:paraId="68876A56">
            <w:pPr>
              <w:spacing w:line="360" w:lineRule="auto"/>
              <w:jc w:val="center"/>
              <w:rPr>
                <w:rFonts w:ascii="宋体" w:hAnsi="宋体" w:cs="宋体"/>
                <w:sz w:val="24"/>
              </w:rPr>
            </w:pPr>
          </w:p>
        </w:tc>
        <w:tc>
          <w:tcPr>
            <w:tcW w:w="727" w:type="dxa"/>
            <w:vAlign w:val="center"/>
          </w:tcPr>
          <w:p w14:paraId="5EF0BAD4">
            <w:pPr>
              <w:spacing w:line="360" w:lineRule="auto"/>
              <w:jc w:val="center"/>
              <w:rPr>
                <w:rFonts w:ascii="宋体" w:hAnsi="宋体" w:cs="宋体"/>
                <w:sz w:val="24"/>
              </w:rPr>
            </w:pPr>
          </w:p>
        </w:tc>
      </w:tr>
      <w:tr w14:paraId="15F43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43347783">
            <w:pPr>
              <w:spacing w:line="360" w:lineRule="auto"/>
              <w:jc w:val="center"/>
              <w:rPr>
                <w:rFonts w:ascii="宋体" w:hAnsi="宋体" w:cs="宋体"/>
                <w:sz w:val="24"/>
              </w:rPr>
            </w:pPr>
            <w:r>
              <w:rPr>
                <w:rFonts w:hint="eastAsia" w:ascii="宋体" w:hAnsi="宋体" w:cs="宋体"/>
                <w:sz w:val="24"/>
              </w:rPr>
              <w:t>3</w:t>
            </w:r>
          </w:p>
        </w:tc>
        <w:tc>
          <w:tcPr>
            <w:tcW w:w="1912" w:type="dxa"/>
            <w:vAlign w:val="bottom"/>
          </w:tcPr>
          <w:p w14:paraId="788E9E52">
            <w:pPr>
              <w:spacing w:line="360" w:lineRule="auto"/>
              <w:jc w:val="center"/>
              <w:rPr>
                <w:rFonts w:ascii="宋体" w:hAnsi="宋体" w:cs="宋体"/>
                <w:sz w:val="24"/>
              </w:rPr>
            </w:pPr>
            <w:r>
              <w:rPr>
                <w:rFonts w:hint="eastAsia" w:ascii="宋体" w:hAnsi="宋体" w:cs="宋体"/>
                <w:sz w:val="24"/>
              </w:rPr>
              <w:t>财务状况</w:t>
            </w:r>
          </w:p>
        </w:tc>
        <w:tc>
          <w:tcPr>
            <w:tcW w:w="722" w:type="dxa"/>
            <w:vAlign w:val="center"/>
          </w:tcPr>
          <w:p w14:paraId="2A3BCF65">
            <w:pPr>
              <w:spacing w:line="360" w:lineRule="auto"/>
              <w:jc w:val="center"/>
              <w:rPr>
                <w:rFonts w:ascii="宋体" w:hAnsi="宋体" w:cs="宋体"/>
                <w:sz w:val="24"/>
              </w:rPr>
            </w:pPr>
          </w:p>
        </w:tc>
        <w:tc>
          <w:tcPr>
            <w:tcW w:w="724" w:type="dxa"/>
            <w:vAlign w:val="center"/>
          </w:tcPr>
          <w:p w14:paraId="572C0AB2">
            <w:pPr>
              <w:spacing w:line="360" w:lineRule="auto"/>
              <w:jc w:val="center"/>
              <w:rPr>
                <w:rFonts w:ascii="宋体" w:hAnsi="宋体" w:cs="宋体"/>
                <w:sz w:val="24"/>
              </w:rPr>
            </w:pPr>
          </w:p>
        </w:tc>
        <w:tc>
          <w:tcPr>
            <w:tcW w:w="724" w:type="dxa"/>
            <w:vAlign w:val="center"/>
          </w:tcPr>
          <w:p w14:paraId="042FA825">
            <w:pPr>
              <w:spacing w:line="360" w:lineRule="auto"/>
              <w:jc w:val="center"/>
              <w:rPr>
                <w:rFonts w:ascii="宋体" w:hAnsi="宋体" w:cs="宋体"/>
                <w:sz w:val="24"/>
              </w:rPr>
            </w:pPr>
          </w:p>
        </w:tc>
        <w:tc>
          <w:tcPr>
            <w:tcW w:w="724" w:type="dxa"/>
            <w:vAlign w:val="center"/>
          </w:tcPr>
          <w:p w14:paraId="28B3AC23">
            <w:pPr>
              <w:spacing w:line="360" w:lineRule="auto"/>
              <w:jc w:val="center"/>
              <w:rPr>
                <w:rFonts w:ascii="宋体" w:hAnsi="宋体" w:cs="宋体"/>
                <w:sz w:val="24"/>
              </w:rPr>
            </w:pPr>
          </w:p>
        </w:tc>
        <w:tc>
          <w:tcPr>
            <w:tcW w:w="724" w:type="dxa"/>
            <w:vAlign w:val="center"/>
          </w:tcPr>
          <w:p w14:paraId="3C61A0D8">
            <w:pPr>
              <w:spacing w:line="360" w:lineRule="auto"/>
              <w:jc w:val="center"/>
              <w:rPr>
                <w:rFonts w:ascii="宋体" w:hAnsi="宋体" w:cs="宋体"/>
                <w:sz w:val="24"/>
              </w:rPr>
            </w:pPr>
          </w:p>
        </w:tc>
        <w:tc>
          <w:tcPr>
            <w:tcW w:w="724" w:type="dxa"/>
            <w:vAlign w:val="center"/>
          </w:tcPr>
          <w:p w14:paraId="6C112C69">
            <w:pPr>
              <w:spacing w:line="360" w:lineRule="auto"/>
              <w:jc w:val="center"/>
              <w:rPr>
                <w:rFonts w:ascii="宋体" w:hAnsi="宋体" w:cs="宋体"/>
                <w:sz w:val="24"/>
              </w:rPr>
            </w:pPr>
          </w:p>
        </w:tc>
        <w:tc>
          <w:tcPr>
            <w:tcW w:w="724" w:type="dxa"/>
            <w:vAlign w:val="center"/>
          </w:tcPr>
          <w:p w14:paraId="2A4F27B3">
            <w:pPr>
              <w:spacing w:line="360" w:lineRule="auto"/>
              <w:jc w:val="center"/>
              <w:rPr>
                <w:rFonts w:ascii="宋体" w:hAnsi="宋体" w:cs="宋体"/>
                <w:sz w:val="24"/>
              </w:rPr>
            </w:pPr>
          </w:p>
        </w:tc>
        <w:tc>
          <w:tcPr>
            <w:tcW w:w="724" w:type="dxa"/>
            <w:vAlign w:val="center"/>
          </w:tcPr>
          <w:p w14:paraId="384B6617">
            <w:pPr>
              <w:spacing w:line="360" w:lineRule="auto"/>
              <w:jc w:val="center"/>
              <w:rPr>
                <w:rFonts w:ascii="宋体" w:hAnsi="宋体" w:cs="宋体"/>
                <w:sz w:val="24"/>
              </w:rPr>
            </w:pPr>
          </w:p>
        </w:tc>
        <w:tc>
          <w:tcPr>
            <w:tcW w:w="727" w:type="dxa"/>
            <w:vAlign w:val="center"/>
          </w:tcPr>
          <w:p w14:paraId="3F08F931">
            <w:pPr>
              <w:spacing w:line="360" w:lineRule="auto"/>
              <w:jc w:val="center"/>
              <w:rPr>
                <w:rFonts w:ascii="宋体" w:hAnsi="宋体" w:cs="宋体"/>
                <w:sz w:val="24"/>
              </w:rPr>
            </w:pPr>
          </w:p>
        </w:tc>
      </w:tr>
      <w:tr w14:paraId="3A913A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543E757E">
            <w:pPr>
              <w:spacing w:line="360" w:lineRule="auto"/>
              <w:jc w:val="center"/>
              <w:rPr>
                <w:rFonts w:ascii="宋体" w:hAnsi="宋体" w:cs="宋体"/>
                <w:sz w:val="24"/>
              </w:rPr>
            </w:pPr>
            <w:r>
              <w:rPr>
                <w:rFonts w:hint="eastAsia" w:ascii="宋体" w:hAnsi="宋体" w:cs="宋体"/>
                <w:sz w:val="24"/>
              </w:rPr>
              <w:t>4</w:t>
            </w:r>
          </w:p>
        </w:tc>
        <w:tc>
          <w:tcPr>
            <w:tcW w:w="1912" w:type="dxa"/>
            <w:vAlign w:val="bottom"/>
          </w:tcPr>
          <w:p w14:paraId="1158A82E">
            <w:pPr>
              <w:spacing w:line="360" w:lineRule="auto"/>
              <w:jc w:val="center"/>
              <w:rPr>
                <w:rFonts w:ascii="宋体" w:hAnsi="宋体" w:cs="宋体"/>
                <w:sz w:val="24"/>
              </w:rPr>
            </w:pPr>
            <w:r>
              <w:rPr>
                <w:rFonts w:hint="eastAsia" w:ascii="宋体" w:hAnsi="宋体" w:cs="宋体"/>
                <w:sz w:val="24"/>
              </w:rPr>
              <w:t>类似项目业绩</w:t>
            </w:r>
          </w:p>
        </w:tc>
        <w:tc>
          <w:tcPr>
            <w:tcW w:w="722" w:type="dxa"/>
            <w:vAlign w:val="center"/>
          </w:tcPr>
          <w:p w14:paraId="164EBCF7">
            <w:pPr>
              <w:spacing w:line="360" w:lineRule="auto"/>
              <w:jc w:val="center"/>
              <w:rPr>
                <w:rFonts w:ascii="宋体" w:hAnsi="宋体" w:cs="宋体"/>
                <w:sz w:val="24"/>
              </w:rPr>
            </w:pPr>
          </w:p>
        </w:tc>
        <w:tc>
          <w:tcPr>
            <w:tcW w:w="724" w:type="dxa"/>
            <w:vAlign w:val="center"/>
          </w:tcPr>
          <w:p w14:paraId="626105CB">
            <w:pPr>
              <w:spacing w:line="360" w:lineRule="auto"/>
              <w:jc w:val="center"/>
              <w:rPr>
                <w:rFonts w:ascii="宋体" w:hAnsi="宋体" w:cs="宋体"/>
                <w:sz w:val="24"/>
              </w:rPr>
            </w:pPr>
          </w:p>
        </w:tc>
        <w:tc>
          <w:tcPr>
            <w:tcW w:w="724" w:type="dxa"/>
            <w:vAlign w:val="center"/>
          </w:tcPr>
          <w:p w14:paraId="02744C88">
            <w:pPr>
              <w:spacing w:line="360" w:lineRule="auto"/>
              <w:jc w:val="center"/>
              <w:rPr>
                <w:rFonts w:ascii="宋体" w:hAnsi="宋体" w:cs="宋体"/>
                <w:sz w:val="24"/>
              </w:rPr>
            </w:pPr>
          </w:p>
        </w:tc>
        <w:tc>
          <w:tcPr>
            <w:tcW w:w="724" w:type="dxa"/>
            <w:vAlign w:val="center"/>
          </w:tcPr>
          <w:p w14:paraId="740D6D62">
            <w:pPr>
              <w:spacing w:line="360" w:lineRule="auto"/>
              <w:jc w:val="center"/>
              <w:rPr>
                <w:rFonts w:ascii="宋体" w:hAnsi="宋体" w:cs="宋体"/>
                <w:sz w:val="24"/>
              </w:rPr>
            </w:pPr>
          </w:p>
        </w:tc>
        <w:tc>
          <w:tcPr>
            <w:tcW w:w="724" w:type="dxa"/>
            <w:vAlign w:val="center"/>
          </w:tcPr>
          <w:p w14:paraId="7512C7C2">
            <w:pPr>
              <w:spacing w:line="360" w:lineRule="auto"/>
              <w:jc w:val="center"/>
              <w:rPr>
                <w:rFonts w:ascii="宋体" w:hAnsi="宋体" w:cs="宋体"/>
                <w:sz w:val="24"/>
              </w:rPr>
            </w:pPr>
          </w:p>
        </w:tc>
        <w:tc>
          <w:tcPr>
            <w:tcW w:w="724" w:type="dxa"/>
            <w:vAlign w:val="center"/>
          </w:tcPr>
          <w:p w14:paraId="4A160524">
            <w:pPr>
              <w:spacing w:line="360" w:lineRule="auto"/>
              <w:jc w:val="center"/>
              <w:rPr>
                <w:rFonts w:ascii="宋体" w:hAnsi="宋体" w:cs="宋体"/>
                <w:sz w:val="24"/>
              </w:rPr>
            </w:pPr>
          </w:p>
        </w:tc>
        <w:tc>
          <w:tcPr>
            <w:tcW w:w="724" w:type="dxa"/>
            <w:vAlign w:val="center"/>
          </w:tcPr>
          <w:p w14:paraId="496133ED">
            <w:pPr>
              <w:spacing w:line="360" w:lineRule="auto"/>
              <w:jc w:val="center"/>
              <w:rPr>
                <w:rFonts w:ascii="宋体" w:hAnsi="宋体" w:cs="宋体"/>
                <w:sz w:val="24"/>
              </w:rPr>
            </w:pPr>
          </w:p>
        </w:tc>
        <w:tc>
          <w:tcPr>
            <w:tcW w:w="724" w:type="dxa"/>
            <w:vAlign w:val="center"/>
          </w:tcPr>
          <w:p w14:paraId="58871AFD">
            <w:pPr>
              <w:spacing w:line="360" w:lineRule="auto"/>
              <w:jc w:val="center"/>
              <w:rPr>
                <w:rFonts w:ascii="宋体" w:hAnsi="宋体" w:cs="宋体"/>
                <w:sz w:val="24"/>
              </w:rPr>
            </w:pPr>
          </w:p>
        </w:tc>
        <w:tc>
          <w:tcPr>
            <w:tcW w:w="727" w:type="dxa"/>
            <w:vAlign w:val="center"/>
          </w:tcPr>
          <w:p w14:paraId="202705D1">
            <w:pPr>
              <w:spacing w:line="360" w:lineRule="auto"/>
              <w:jc w:val="center"/>
              <w:rPr>
                <w:rFonts w:ascii="宋体" w:hAnsi="宋体" w:cs="宋体"/>
                <w:sz w:val="24"/>
              </w:rPr>
            </w:pPr>
          </w:p>
        </w:tc>
      </w:tr>
      <w:tr w14:paraId="40304C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5447D669">
            <w:pPr>
              <w:spacing w:line="360" w:lineRule="auto"/>
              <w:jc w:val="center"/>
              <w:rPr>
                <w:rFonts w:ascii="宋体" w:hAnsi="宋体" w:cs="宋体"/>
                <w:sz w:val="24"/>
              </w:rPr>
            </w:pPr>
            <w:r>
              <w:rPr>
                <w:rFonts w:hint="eastAsia" w:ascii="宋体" w:hAnsi="宋体" w:cs="宋体"/>
                <w:sz w:val="24"/>
              </w:rPr>
              <w:t>5</w:t>
            </w:r>
          </w:p>
        </w:tc>
        <w:tc>
          <w:tcPr>
            <w:tcW w:w="1912" w:type="dxa"/>
            <w:vAlign w:val="bottom"/>
          </w:tcPr>
          <w:p w14:paraId="05FF0FE7">
            <w:pPr>
              <w:spacing w:line="360" w:lineRule="auto"/>
              <w:jc w:val="center"/>
              <w:rPr>
                <w:rFonts w:ascii="宋体" w:hAnsi="宋体" w:cs="宋体"/>
                <w:sz w:val="24"/>
              </w:rPr>
            </w:pPr>
            <w:r>
              <w:rPr>
                <w:rFonts w:hint="eastAsia" w:ascii="宋体" w:hAnsi="宋体" w:cs="宋体"/>
                <w:sz w:val="24"/>
              </w:rPr>
              <w:t>信誉</w:t>
            </w:r>
          </w:p>
        </w:tc>
        <w:tc>
          <w:tcPr>
            <w:tcW w:w="722" w:type="dxa"/>
            <w:vAlign w:val="center"/>
          </w:tcPr>
          <w:p w14:paraId="01CB888B">
            <w:pPr>
              <w:spacing w:line="360" w:lineRule="auto"/>
              <w:jc w:val="center"/>
              <w:rPr>
                <w:rFonts w:ascii="宋体" w:hAnsi="宋体" w:cs="宋体"/>
                <w:sz w:val="24"/>
              </w:rPr>
            </w:pPr>
          </w:p>
        </w:tc>
        <w:tc>
          <w:tcPr>
            <w:tcW w:w="724" w:type="dxa"/>
            <w:vAlign w:val="center"/>
          </w:tcPr>
          <w:p w14:paraId="275819CA">
            <w:pPr>
              <w:spacing w:line="360" w:lineRule="auto"/>
              <w:jc w:val="center"/>
              <w:rPr>
                <w:rFonts w:ascii="宋体" w:hAnsi="宋体" w:cs="宋体"/>
                <w:sz w:val="24"/>
              </w:rPr>
            </w:pPr>
          </w:p>
        </w:tc>
        <w:tc>
          <w:tcPr>
            <w:tcW w:w="724" w:type="dxa"/>
            <w:vAlign w:val="center"/>
          </w:tcPr>
          <w:p w14:paraId="0865C02F">
            <w:pPr>
              <w:spacing w:line="360" w:lineRule="auto"/>
              <w:jc w:val="center"/>
              <w:rPr>
                <w:rFonts w:ascii="宋体" w:hAnsi="宋体" w:cs="宋体"/>
                <w:sz w:val="24"/>
              </w:rPr>
            </w:pPr>
          </w:p>
        </w:tc>
        <w:tc>
          <w:tcPr>
            <w:tcW w:w="724" w:type="dxa"/>
            <w:vAlign w:val="center"/>
          </w:tcPr>
          <w:p w14:paraId="741D06B3">
            <w:pPr>
              <w:spacing w:line="360" w:lineRule="auto"/>
              <w:jc w:val="center"/>
              <w:rPr>
                <w:rFonts w:ascii="宋体" w:hAnsi="宋体" w:cs="宋体"/>
                <w:sz w:val="24"/>
              </w:rPr>
            </w:pPr>
          </w:p>
        </w:tc>
        <w:tc>
          <w:tcPr>
            <w:tcW w:w="724" w:type="dxa"/>
            <w:vAlign w:val="center"/>
          </w:tcPr>
          <w:p w14:paraId="52FCA8E2">
            <w:pPr>
              <w:spacing w:line="360" w:lineRule="auto"/>
              <w:jc w:val="center"/>
              <w:rPr>
                <w:rFonts w:ascii="宋体" w:hAnsi="宋体" w:cs="宋体"/>
                <w:sz w:val="24"/>
              </w:rPr>
            </w:pPr>
          </w:p>
        </w:tc>
        <w:tc>
          <w:tcPr>
            <w:tcW w:w="724" w:type="dxa"/>
            <w:vAlign w:val="center"/>
          </w:tcPr>
          <w:p w14:paraId="47FBCA04">
            <w:pPr>
              <w:spacing w:line="360" w:lineRule="auto"/>
              <w:jc w:val="center"/>
              <w:rPr>
                <w:rFonts w:ascii="宋体" w:hAnsi="宋体" w:cs="宋体"/>
                <w:sz w:val="24"/>
              </w:rPr>
            </w:pPr>
          </w:p>
        </w:tc>
        <w:tc>
          <w:tcPr>
            <w:tcW w:w="724" w:type="dxa"/>
            <w:vAlign w:val="center"/>
          </w:tcPr>
          <w:p w14:paraId="673653C6">
            <w:pPr>
              <w:spacing w:line="360" w:lineRule="auto"/>
              <w:jc w:val="center"/>
              <w:rPr>
                <w:rFonts w:ascii="宋体" w:hAnsi="宋体" w:cs="宋体"/>
                <w:sz w:val="24"/>
              </w:rPr>
            </w:pPr>
          </w:p>
        </w:tc>
        <w:tc>
          <w:tcPr>
            <w:tcW w:w="724" w:type="dxa"/>
            <w:vAlign w:val="center"/>
          </w:tcPr>
          <w:p w14:paraId="696E167B">
            <w:pPr>
              <w:spacing w:line="360" w:lineRule="auto"/>
              <w:jc w:val="center"/>
              <w:rPr>
                <w:rFonts w:ascii="宋体" w:hAnsi="宋体" w:cs="宋体"/>
                <w:sz w:val="24"/>
              </w:rPr>
            </w:pPr>
          </w:p>
        </w:tc>
        <w:tc>
          <w:tcPr>
            <w:tcW w:w="727" w:type="dxa"/>
            <w:vAlign w:val="center"/>
          </w:tcPr>
          <w:p w14:paraId="29AF8044">
            <w:pPr>
              <w:spacing w:line="360" w:lineRule="auto"/>
              <w:jc w:val="center"/>
              <w:rPr>
                <w:rFonts w:ascii="宋体" w:hAnsi="宋体" w:cs="宋体"/>
                <w:sz w:val="24"/>
              </w:rPr>
            </w:pPr>
          </w:p>
        </w:tc>
      </w:tr>
      <w:tr w14:paraId="304A8D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52D3CFAF">
            <w:pPr>
              <w:spacing w:line="360" w:lineRule="auto"/>
              <w:jc w:val="center"/>
              <w:rPr>
                <w:rFonts w:ascii="宋体" w:hAnsi="宋体" w:cs="宋体"/>
                <w:sz w:val="24"/>
              </w:rPr>
            </w:pPr>
            <w:r>
              <w:rPr>
                <w:rFonts w:hint="eastAsia" w:ascii="宋体" w:hAnsi="宋体" w:cs="宋体"/>
                <w:sz w:val="24"/>
              </w:rPr>
              <w:t>6</w:t>
            </w:r>
          </w:p>
        </w:tc>
        <w:tc>
          <w:tcPr>
            <w:tcW w:w="1912" w:type="dxa"/>
            <w:vAlign w:val="bottom"/>
          </w:tcPr>
          <w:p w14:paraId="0AFAF2C6">
            <w:pPr>
              <w:spacing w:line="360" w:lineRule="auto"/>
              <w:jc w:val="center"/>
              <w:rPr>
                <w:rFonts w:ascii="宋体" w:hAnsi="宋体" w:cs="宋体"/>
                <w:sz w:val="24"/>
              </w:rPr>
            </w:pPr>
            <w:r>
              <w:rPr>
                <w:rFonts w:hint="eastAsia" w:ascii="宋体" w:hAnsi="宋体" w:cs="宋体"/>
                <w:sz w:val="24"/>
              </w:rPr>
              <w:t>项目经理</w:t>
            </w:r>
          </w:p>
        </w:tc>
        <w:tc>
          <w:tcPr>
            <w:tcW w:w="722" w:type="dxa"/>
            <w:vAlign w:val="center"/>
          </w:tcPr>
          <w:p w14:paraId="7E7160D3">
            <w:pPr>
              <w:spacing w:line="360" w:lineRule="auto"/>
              <w:jc w:val="center"/>
              <w:rPr>
                <w:rFonts w:ascii="宋体" w:hAnsi="宋体" w:cs="宋体"/>
                <w:sz w:val="24"/>
              </w:rPr>
            </w:pPr>
          </w:p>
        </w:tc>
        <w:tc>
          <w:tcPr>
            <w:tcW w:w="724" w:type="dxa"/>
            <w:vAlign w:val="center"/>
          </w:tcPr>
          <w:p w14:paraId="6B34BA95">
            <w:pPr>
              <w:spacing w:line="360" w:lineRule="auto"/>
              <w:jc w:val="center"/>
              <w:rPr>
                <w:rFonts w:ascii="宋体" w:hAnsi="宋体" w:cs="宋体"/>
                <w:sz w:val="24"/>
              </w:rPr>
            </w:pPr>
          </w:p>
        </w:tc>
        <w:tc>
          <w:tcPr>
            <w:tcW w:w="724" w:type="dxa"/>
            <w:vAlign w:val="center"/>
          </w:tcPr>
          <w:p w14:paraId="70C692DD">
            <w:pPr>
              <w:spacing w:line="360" w:lineRule="auto"/>
              <w:jc w:val="center"/>
              <w:rPr>
                <w:rFonts w:ascii="宋体" w:hAnsi="宋体" w:cs="宋体"/>
                <w:sz w:val="24"/>
              </w:rPr>
            </w:pPr>
          </w:p>
        </w:tc>
        <w:tc>
          <w:tcPr>
            <w:tcW w:w="724" w:type="dxa"/>
            <w:vAlign w:val="center"/>
          </w:tcPr>
          <w:p w14:paraId="4B37D45B">
            <w:pPr>
              <w:spacing w:line="360" w:lineRule="auto"/>
              <w:jc w:val="center"/>
              <w:rPr>
                <w:rFonts w:ascii="宋体" w:hAnsi="宋体" w:cs="宋体"/>
                <w:sz w:val="24"/>
              </w:rPr>
            </w:pPr>
          </w:p>
        </w:tc>
        <w:tc>
          <w:tcPr>
            <w:tcW w:w="724" w:type="dxa"/>
            <w:vAlign w:val="center"/>
          </w:tcPr>
          <w:p w14:paraId="674044D7">
            <w:pPr>
              <w:spacing w:line="360" w:lineRule="auto"/>
              <w:jc w:val="center"/>
              <w:rPr>
                <w:rFonts w:ascii="宋体" w:hAnsi="宋体" w:cs="宋体"/>
                <w:sz w:val="24"/>
              </w:rPr>
            </w:pPr>
          </w:p>
        </w:tc>
        <w:tc>
          <w:tcPr>
            <w:tcW w:w="724" w:type="dxa"/>
            <w:vAlign w:val="center"/>
          </w:tcPr>
          <w:p w14:paraId="18C28E2E">
            <w:pPr>
              <w:spacing w:line="360" w:lineRule="auto"/>
              <w:jc w:val="center"/>
              <w:rPr>
                <w:rFonts w:ascii="宋体" w:hAnsi="宋体" w:cs="宋体"/>
                <w:sz w:val="24"/>
              </w:rPr>
            </w:pPr>
          </w:p>
        </w:tc>
        <w:tc>
          <w:tcPr>
            <w:tcW w:w="724" w:type="dxa"/>
            <w:vAlign w:val="center"/>
          </w:tcPr>
          <w:p w14:paraId="6E1BE137">
            <w:pPr>
              <w:spacing w:line="360" w:lineRule="auto"/>
              <w:jc w:val="center"/>
              <w:rPr>
                <w:rFonts w:ascii="宋体" w:hAnsi="宋体" w:cs="宋体"/>
                <w:sz w:val="24"/>
              </w:rPr>
            </w:pPr>
          </w:p>
        </w:tc>
        <w:tc>
          <w:tcPr>
            <w:tcW w:w="724" w:type="dxa"/>
            <w:vAlign w:val="center"/>
          </w:tcPr>
          <w:p w14:paraId="71BB8646">
            <w:pPr>
              <w:spacing w:line="360" w:lineRule="auto"/>
              <w:jc w:val="center"/>
              <w:rPr>
                <w:rFonts w:ascii="宋体" w:hAnsi="宋体" w:cs="宋体"/>
                <w:sz w:val="24"/>
              </w:rPr>
            </w:pPr>
          </w:p>
        </w:tc>
        <w:tc>
          <w:tcPr>
            <w:tcW w:w="727" w:type="dxa"/>
            <w:vAlign w:val="center"/>
          </w:tcPr>
          <w:p w14:paraId="534830D1">
            <w:pPr>
              <w:spacing w:line="360" w:lineRule="auto"/>
              <w:jc w:val="center"/>
              <w:rPr>
                <w:rFonts w:ascii="宋体" w:hAnsi="宋体" w:cs="宋体"/>
                <w:sz w:val="24"/>
              </w:rPr>
            </w:pPr>
          </w:p>
        </w:tc>
      </w:tr>
      <w:tr w14:paraId="2022CA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534C0799">
            <w:pPr>
              <w:spacing w:line="360" w:lineRule="auto"/>
              <w:jc w:val="center"/>
              <w:rPr>
                <w:rFonts w:ascii="宋体" w:hAnsi="宋体" w:cs="宋体"/>
                <w:sz w:val="24"/>
              </w:rPr>
            </w:pPr>
            <w:r>
              <w:rPr>
                <w:rFonts w:hint="eastAsia" w:ascii="宋体" w:hAnsi="宋体" w:cs="宋体"/>
                <w:sz w:val="24"/>
              </w:rPr>
              <w:t>7</w:t>
            </w:r>
          </w:p>
        </w:tc>
        <w:tc>
          <w:tcPr>
            <w:tcW w:w="1912" w:type="dxa"/>
            <w:vAlign w:val="bottom"/>
          </w:tcPr>
          <w:p w14:paraId="737A19E4">
            <w:pPr>
              <w:spacing w:line="360" w:lineRule="auto"/>
              <w:jc w:val="center"/>
              <w:rPr>
                <w:rFonts w:ascii="宋体" w:hAnsi="宋体" w:cs="宋体"/>
                <w:sz w:val="24"/>
              </w:rPr>
            </w:pPr>
            <w:r>
              <w:rPr>
                <w:rFonts w:hint="eastAsia" w:ascii="宋体" w:hAnsi="宋体" w:cs="宋体"/>
                <w:sz w:val="24"/>
              </w:rPr>
              <w:t>设计负责人</w:t>
            </w:r>
          </w:p>
        </w:tc>
        <w:tc>
          <w:tcPr>
            <w:tcW w:w="722" w:type="dxa"/>
            <w:vAlign w:val="center"/>
          </w:tcPr>
          <w:p w14:paraId="16EE6D4B">
            <w:pPr>
              <w:spacing w:line="360" w:lineRule="auto"/>
              <w:jc w:val="center"/>
              <w:rPr>
                <w:rFonts w:ascii="宋体" w:hAnsi="宋体" w:cs="宋体"/>
                <w:sz w:val="24"/>
              </w:rPr>
            </w:pPr>
          </w:p>
        </w:tc>
        <w:tc>
          <w:tcPr>
            <w:tcW w:w="724" w:type="dxa"/>
            <w:vAlign w:val="center"/>
          </w:tcPr>
          <w:p w14:paraId="6DFDF044">
            <w:pPr>
              <w:spacing w:line="360" w:lineRule="auto"/>
              <w:jc w:val="center"/>
              <w:rPr>
                <w:rFonts w:ascii="宋体" w:hAnsi="宋体" w:cs="宋体"/>
                <w:sz w:val="24"/>
              </w:rPr>
            </w:pPr>
          </w:p>
        </w:tc>
        <w:tc>
          <w:tcPr>
            <w:tcW w:w="724" w:type="dxa"/>
            <w:vAlign w:val="center"/>
          </w:tcPr>
          <w:p w14:paraId="47C1B8B5">
            <w:pPr>
              <w:spacing w:line="360" w:lineRule="auto"/>
              <w:jc w:val="center"/>
              <w:rPr>
                <w:rFonts w:ascii="宋体" w:hAnsi="宋体" w:cs="宋体"/>
                <w:sz w:val="24"/>
              </w:rPr>
            </w:pPr>
          </w:p>
        </w:tc>
        <w:tc>
          <w:tcPr>
            <w:tcW w:w="724" w:type="dxa"/>
            <w:vAlign w:val="center"/>
          </w:tcPr>
          <w:p w14:paraId="3720A067">
            <w:pPr>
              <w:spacing w:line="360" w:lineRule="auto"/>
              <w:jc w:val="center"/>
              <w:rPr>
                <w:rFonts w:ascii="宋体" w:hAnsi="宋体" w:cs="宋体"/>
                <w:sz w:val="24"/>
              </w:rPr>
            </w:pPr>
          </w:p>
        </w:tc>
        <w:tc>
          <w:tcPr>
            <w:tcW w:w="724" w:type="dxa"/>
            <w:vAlign w:val="center"/>
          </w:tcPr>
          <w:p w14:paraId="347AEE70">
            <w:pPr>
              <w:spacing w:line="360" w:lineRule="auto"/>
              <w:jc w:val="center"/>
              <w:rPr>
                <w:rFonts w:ascii="宋体" w:hAnsi="宋体" w:cs="宋体"/>
                <w:sz w:val="24"/>
              </w:rPr>
            </w:pPr>
          </w:p>
        </w:tc>
        <w:tc>
          <w:tcPr>
            <w:tcW w:w="724" w:type="dxa"/>
            <w:vAlign w:val="center"/>
          </w:tcPr>
          <w:p w14:paraId="37A72BBB">
            <w:pPr>
              <w:spacing w:line="360" w:lineRule="auto"/>
              <w:jc w:val="center"/>
              <w:rPr>
                <w:rFonts w:ascii="宋体" w:hAnsi="宋体" w:cs="宋体"/>
                <w:sz w:val="24"/>
              </w:rPr>
            </w:pPr>
          </w:p>
        </w:tc>
        <w:tc>
          <w:tcPr>
            <w:tcW w:w="724" w:type="dxa"/>
            <w:vAlign w:val="center"/>
          </w:tcPr>
          <w:p w14:paraId="665D1200">
            <w:pPr>
              <w:spacing w:line="360" w:lineRule="auto"/>
              <w:jc w:val="center"/>
              <w:rPr>
                <w:rFonts w:ascii="宋体" w:hAnsi="宋体" w:cs="宋体"/>
                <w:sz w:val="24"/>
              </w:rPr>
            </w:pPr>
          </w:p>
        </w:tc>
        <w:tc>
          <w:tcPr>
            <w:tcW w:w="724" w:type="dxa"/>
            <w:vAlign w:val="center"/>
          </w:tcPr>
          <w:p w14:paraId="085D94CF">
            <w:pPr>
              <w:spacing w:line="360" w:lineRule="auto"/>
              <w:jc w:val="center"/>
              <w:rPr>
                <w:rFonts w:ascii="宋体" w:hAnsi="宋体" w:cs="宋体"/>
                <w:sz w:val="24"/>
              </w:rPr>
            </w:pPr>
          </w:p>
        </w:tc>
        <w:tc>
          <w:tcPr>
            <w:tcW w:w="727" w:type="dxa"/>
            <w:vAlign w:val="center"/>
          </w:tcPr>
          <w:p w14:paraId="3C3F5852">
            <w:pPr>
              <w:spacing w:line="360" w:lineRule="auto"/>
              <w:jc w:val="center"/>
              <w:rPr>
                <w:rFonts w:ascii="宋体" w:hAnsi="宋体" w:cs="宋体"/>
                <w:sz w:val="24"/>
              </w:rPr>
            </w:pPr>
          </w:p>
        </w:tc>
      </w:tr>
      <w:tr w14:paraId="3302E4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13A1AC72">
            <w:pPr>
              <w:spacing w:line="360" w:lineRule="auto"/>
              <w:jc w:val="center"/>
              <w:rPr>
                <w:rFonts w:ascii="宋体" w:hAnsi="宋体" w:cs="宋体"/>
                <w:sz w:val="24"/>
              </w:rPr>
            </w:pPr>
            <w:r>
              <w:rPr>
                <w:rFonts w:ascii="宋体" w:hAnsi="宋体" w:cs="宋体"/>
                <w:sz w:val="24"/>
              </w:rPr>
              <w:t>8</w:t>
            </w:r>
          </w:p>
        </w:tc>
        <w:tc>
          <w:tcPr>
            <w:tcW w:w="1912" w:type="dxa"/>
            <w:vAlign w:val="center"/>
          </w:tcPr>
          <w:p w14:paraId="412C1615">
            <w:pPr>
              <w:spacing w:line="360" w:lineRule="auto"/>
              <w:jc w:val="center"/>
              <w:rPr>
                <w:rFonts w:ascii="宋体" w:hAnsi="宋体" w:cs="宋体"/>
                <w:sz w:val="24"/>
              </w:rPr>
            </w:pPr>
            <w:r>
              <w:rPr>
                <w:rFonts w:hint="eastAsia" w:ascii="宋体" w:hAnsi="宋体" w:cs="宋体"/>
                <w:sz w:val="24"/>
              </w:rPr>
              <w:t>施工负责人</w:t>
            </w:r>
          </w:p>
        </w:tc>
        <w:tc>
          <w:tcPr>
            <w:tcW w:w="722" w:type="dxa"/>
            <w:vAlign w:val="center"/>
          </w:tcPr>
          <w:p w14:paraId="6143CD23">
            <w:pPr>
              <w:spacing w:line="360" w:lineRule="auto"/>
              <w:jc w:val="center"/>
              <w:rPr>
                <w:rFonts w:ascii="宋体" w:hAnsi="宋体" w:cs="宋体"/>
                <w:sz w:val="24"/>
              </w:rPr>
            </w:pPr>
          </w:p>
        </w:tc>
        <w:tc>
          <w:tcPr>
            <w:tcW w:w="724" w:type="dxa"/>
            <w:vAlign w:val="center"/>
          </w:tcPr>
          <w:p w14:paraId="7F047292">
            <w:pPr>
              <w:spacing w:line="360" w:lineRule="auto"/>
              <w:jc w:val="center"/>
              <w:rPr>
                <w:rFonts w:ascii="宋体" w:hAnsi="宋体" w:cs="宋体"/>
                <w:sz w:val="24"/>
              </w:rPr>
            </w:pPr>
          </w:p>
        </w:tc>
        <w:tc>
          <w:tcPr>
            <w:tcW w:w="724" w:type="dxa"/>
            <w:vAlign w:val="center"/>
          </w:tcPr>
          <w:p w14:paraId="389A2DEB">
            <w:pPr>
              <w:spacing w:line="360" w:lineRule="auto"/>
              <w:jc w:val="center"/>
              <w:rPr>
                <w:rFonts w:ascii="宋体" w:hAnsi="宋体" w:cs="宋体"/>
                <w:sz w:val="24"/>
              </w:rPr>
            </w:pPr>
          </w:p>
        </w:tc>
        <w:tc>
          <w:tcPr>
            <w:tcW w:w="724" w:type="dxa"/>
            <w:vAlign w:val="center"/>
          </w:tcPr>
          <w:p w14:paraId="3C768CDD">
            <w:pPr>
              <w:spacing w:line="360" w:lineRule="auto"/>
              <w:jc w:val="center"/>
              <w:rPr>
                <w:rFonts w:ascii="宋体" w:hAnsi="宋体" w:cs="宋体"/>
                <w:sz w:val="24"/>
              </w:rPr>
            </w:pPr>
          </w:p>
        </w:tc>
        <w:tc>
          <w:tcPr>
            <w:tcW w:w="724" w:type="dxa"/>
            <w:vAlign w:val="center"/>
          </w:tcPr>
          <w:p w14:paraId="4F0B77D2">
            <w:pPr>
              <w:spacing w:line="360" w:lineRule="auto"/>
              <w:jc w:val="center"/>
              <w:rPr>
                <w:rFonts w:ascii="宋体" w:hAnsi="宋体" w:cs="宋体"/>
                <w:sz w:val="24"/>
              </w:rPr>
            </w:pPr>
          </w:p>
        </w:tc>
        <w:tc>
          <w:tcPr>
            <w:tcW w:w="724" w:type="dxa"/>
            <w:vAlign w:val="center"/>
          </w:tcPr>
          <w:p w14:paraId="09B7881A">
            <w:pPr>
              <w:spacing w:line="360" w:lineRule="auto"/>
              <w:jc w:val="center"/>
              <w:rPr>
                <w:rFonts w:ascii="宋体" w:hAnsi="宋体" w:cs="宋体"/>
                <w:sz w:val="24"/>
              </w:rPr>
            </w:pPr>
          </w:p>
        </w:tc>
        <w:tc>
          <w:tcPr>
            <w:tcW w:w="724" w:type="dxa"/>
            <w:vAlign w:val="center"/>
          </w:tcPr>
          <w:p w14:paraId="784A2282">
            <w:pPr>
              <w:spacing w:line="360" w:lineRule="auto"/>
              <w:jc w:val="center"/>
              <w:rPr>
                <w:rFonts w:ascii="宋体" w:hAnsi="宋体" w:cs="宋体"/>
                <w:sz w:val="24"/>
              </w:rPr>
            </w:pPr>
          </w:p>
        </w:tc>
        <w:tc>
          <w:tcPr>
            <w:tcW w:w="724" w:type="dxa"/>
            <w:vAlign w:val="center"/>
          </w:tcPr>
          <w:p w14:paraId="13A977BC">
            <w:pPr>
              <w:spacing w:line="360" w:lineRule="auto"/>
              <w:jc w:val="center"/>
              <w:rPr>
                <w:rFonts w:ascii="宋体" w:hAnsi="宋体" w:cs="宋体"/>
                <w:sz w:val="24"/>
              </w:rPr>
            </w:pPr>
          </w:p>
        </w:tc>
        <w:tc>
          <w:tcPr>
            <w:tcW w:w="727" w:type="dxa"/>
            <w:vAlign w:val="center"/>
          </w:tcPr>
          <w:p w14:paraId="519597B8">
            <w:pPr>
              <w:spacing w:line="360" w:lineRule="auto"/>
              <w:jc w:val="center"/>
              <w:rPr>
                <w:rFonts w:ascii="宋体" w:hAnsi="宋体" w:cs="宋体"/>
                <w:sz w:val="24"/>
              </w:rPr>
            </w:pPr>
          </w:p>
        </w:tc>
      </w:tr>
      <w:tr w14:paraId="165E8D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11F53ADB">
            <w:pPr>
              <w:spacing w:line="360" w:lineRule="auto"/>
              <w:jc w:val="center"/>
              <w:rPr>
                <w:rFonts w:ascii="宋体" w:hAnsi="宋体" w:cs="宋体"/>
                <w:sz w:val="24"/>
              </w:rPr>
            </w:pPr>
            <w:r>
              <w:rPr>
                <w:rFonts w:ascii="宋体" w:hAnsi="宋体" w:cs="宋体"/>
                <w:sz w:val="24"/>
              </w:rPr>
              <w:t>9</w:t>
            </w:r>
          </w:p>
        </w:tc>
        <w:tc>
          <w:tcPr>
            <w:tcW w:w="1912" w:type="dxa"/>
            <w:vAlign w:val="center"/>
          </w:tcPr>
          <w:p w14:paraId="1BC371F6">
            <w:pPr>
              <w:spacing w:line="360" w:lineRule="auto"/>
              <w:jc w:val="center"/>
              <w:rPr>
                <w:rFonts w:ascii="宋体" w:hAnsi="宋体" w:cs="宋体"/>
                <w:sz w:val="24"/>
              </w:rPr>
            </w:pPr>
            <w:r>
              <w:rPr>
                <w:rFonts w:hint="eastAsia" w:ascii="宋体" w:hAnsi="宋体" w:cs="宋体"/>
                <w:sz w:val="24"/>
              </w:rPr>
              <w:t>安全生产许可证</w:t>
            </w:r>
          </w:p>
        </w:tc>
        <w:tc>
          <w:tcPr>
            <w:tcW w:w="722" w:type="dxa"/>
            <w:vAlign w:val="center"/>
          </w:tcPr>
          <w:p w14:paraId="775249C1">
            <w:pPr>
              <w:spacing w:line="360" w:lineRule="auto"/>
              <w:jc w:val="center"/>
              <w:rPr>
                <w:rFonts w:ascii="宋体" w:hAnsi="宋体" w:cs="宋体"/>
                <w:sz w:val="24"/>
              </w:rPr>
            </w:pPr>
          </w:p>
        </w:tc>
        <w:tc>
          <w:tcPr>
            <w:tcW w:w="724" w:type="dxa"/>
            <w:vAlign w:val="center"/>
          </w:tcPr>
          <w:p w14:paraId="6FE95729">
            <w:pPr>
              <w:spacing w:line="360" w:lineRule="auto"/>
              <w:jc w:val="center"/>
              <w:rPr>
                <w:rFonts w:ascii="宋体" w:hAnsi="宋体" w:cs="宋体"/>
                <w:sz w:val="24"/>
              </w:rPr>
            </w:pPr>
          </w:p>
        </w:tc>
        <w:tc>
          <w:tcPr>
            <w:tcW w:w="724" w:type="dxa"/>
            <w:vAlign w:val="center"/>
          </w:tcPr>
          <w:p w14:paraId="593B20FF">
            <w:pPr>
              <w:spacing w:line="360" w:lineRule="auto"/>
              <w:jc w:val="center"/>
              <w:rPr>
                <w:rFonts w:ascii="宋体" w:hAnsi="宋体" w:cs="宋体"/>
                <w:sz w:val="24"/>
              </w:rPr>
            </w:pPr>
          </w:p>
        </w:tc>
        <w:tc>
          <w:tcPr>
            <w:tcW w:w="724" w:type="dxa"/>
            <w:vAlign w:val="center"/>
          </w:tcPr>
          <w:p w14:paraId="02303BC8">
            <w:pPr>
              <w:spacing w:line="360" w:lineRule="auto"/>
              <w:jc w:val="center"/>
              <w:rPr>
                <w:rFonts w:ascii="宋体" w:hAnsi="宋体" w:cs="宋体"/>
                <w:sz w:val="24"/>
              </w:rPr>
            </w:pPr>
          </w:p>
        </w:tc>
        <w:tc>
          <w:tcPr>
            <w:tcW w:w="724" w:type="dxa"/>
            <w:vAlign w:val="center"/>
          </w:tcPr>
          <w:p w14:paraId="70121DDA">
            <w:pPr>
              <w:spacing w:line="360" w:lineRule="auto"/>
              <w:jc w:val="center"/>
              <w:rPr>
                <w:rFonts w:ascii="宋体" w:hAnsi="宋体" w:cs="宋体"/>
                <w:sz w:val="24"/>
              </w:rPr>
            </w:pPr>
          </w:p>
        </w:tc>
        <w:tc>
          <w:tcPr>
            <w:tcW w:w="724" w:type="dxa"/>
            <w:vAlign w:val="center"/>
          </w:tcPr>
          <w:p w14:paraId="1EC855E8">
            <w:pPr>
              <w:spacing w:line="360" w:lineRule="auto"/>
              <w:jc w:val="center"/>
              <w:rPr>
                <w:rFonts w:ascii="宋体" w:hAnsi="宋体" w:cs="宋体"/>
                <w:sz w:val="24"/>
              </w:rPr>
            </w:pPr>
          </w:p>
        </w:tc>
        <w:tc>
          <w:tcPr>
            <w:tcW w:w="724" w:type="dxa"/>
            <w:vAlign w:val="center"/>
          </w:tcPr>
          <w:p w14:paraId="3F0EB743">
            <w:pPr>
              <w:spacing w:line="360" w:lineRule="auto"/>
              <w:jc w:val="center"/>
              <w:rPr>
                <w:rFonts w:ascii="宋体" w:hAnsi="宋体" w:cs="宋体"/>
                <w:sz w:val="24"/>
              </w:rPr>
            </w:pPr>
          </w:p>
        </w:tc>
        <w:tc>
          <w:tcPr>
            <w:tcW w:w="724" w:type="dxa"/>
            <w:vAlign w:val="center"/>
          </w:tcPr>
          <w:p w14:paraId="499B0BA3">
            <w:pPr>
              <w:spacing w:line="360" w:lineRule="auto"/>
              <w:jc w:val="center"/>
              <w:rPr>
                <w:rFonts w:ascii="宋体" w:hAnsi="宋体" w:cs="宋体"/>
                <w:sz w:val="24"/>
              </w:rPr>
            </w:pPr>
          </w:p>
        </w:tc>
        <w:tc>
          <w:tcPr>
            <w:tcW w:w="727" w:type="dxa"/>
            <w:vAlign w:val="center"/>
          </w:tcPr>
          <w:p w14:paraId="10162E15">
            <w:pPr>
              <w:spacing w:line="360" w:lineRule="auto"/>
              <w:jc w:val="center"/>
              <w:rPr>
                <w:rFonts w:ascii="宋体" w:hAnsi="宋体" w:cs="宋体"/>
                <w:sz w:val="24"/>
              </w:rPr>
            </w:pPr>
          </w:p>
        </w:tc>
      </w:tr>
      <w:tr w14:paraId="25FC1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5F1DE3FF">
            <w:pPr>
              <w:spacing w:line="360" w:lineRule="auto"/>
              <w:jc w:val="center"/>
              <w:rPr>
                <w:rFonts w:ascii="宋体" w:hAnsi="宋体" w:cs="宋体"/>
                <w:sz w:val="24"/>
              </w:rPr>
            </w:pPr>
            <w:r>
              <w:rPr>
                <w:rFonts w:hint="eastAsia" w:ascii="宋体" w:hAnsi="宋体" w:cs="宋体"/>
                <w:sz w:val="24"/>
              </w:rPr>
              <w:t>10</w:t>
            </w:r>
          </w:p>
        </w:tc>
        <w:tc>
          <w:tcPr>
            <w:tcW w:w="1912" w:type="dxa"/>
            <w:vAlign w:val="center"/>
          </w:tcPr>
          <w:p w14:paraId="659AAE61">
            <w:pPr>
              <w:spacing w:line="360" w:lineRule="auto"/>
              <w:jc w:val="center"/>
              <w:rPr>
                <w:rFonts w:ascii="宋体" w:hAnsi="宋体" w:cs="宋体"/>
                <w:sz w:val="24"/>
              </w:rPr>
            </w:pPr>
            <w:r>
              <w:rPr>
                <w:rFonts w:hint="eastAsia" w:ascii="宋体" w:hAnsi="宋体" w:cs="宋体"/>
                <w:sz w:val="24"/>
              </w:rPr>
              <w:t>其他要求</w:t>
            </w:r>
          </w:p>
        </w:tc>
        <w:tc>
          <w:tcPr>
            <w:tcW w:w="722" w:type="dxa"/>
            <w:vAlign w:val="center"/>
          </w:tcPr>
          <w:p w14:paraId="5FC06E71">
            <w:pPr>
              <w:spacing w:line="360" w:lineRule="auto"/>
              <w:jc w:val="center"/>
              <w:rPr>
                <w:rFonts w:ascii="宋体" w:hAnsi="宋体" w:cs="宋体"/>
                <w:sz w:val="24"/>
              </w:rPr>
            </w:pPr>
          </w:p>
        </w:tc>
        <w:tc>
          <w:tcPr>
            <w:tcW w:w="724" w:type="dxa"/>
            <w:vAlign w:val="center"/>
          </w:tcPr>
          <w:p w14:paraId="48106D96">
            <w:pPr>
              <w:spacing w:line="360" w:lineRule="auto"/>
              <w:jc w:val="center"/>
              <w:rPr>
                <w:rFonts w:ascii="宋体" w:hAnsi="宋体" w:cs="宋体"/>
                <w:sz w:val="24"/>
              </w:rPr>
            </w:pPr>
          </w:p>
        </w:tc>
        <w:tc>
          <w:tcPr>
            <w:tcW w:w="724" w:type="dxa"/>
            <w:vAlign w:val="center"/>
          </w:tcPr>
          <w:p w14:paraId="2DDE6208">
            <w:pPr>
              <w:spacing w:line="360" w:lineRule="auto"/>
              <w:jc w:val="center"/>
              <w:rPr>
                <w:rFonts w:ascii="宋体" w:hAnsi="宋体" w:cs="宋体"/>
                <w:sz w:val="24"/>
              </w:rPr>
            </w:pPr>
          </w:p>
        </w:tc>
        <w:tc>
          <w:tcPr>
            <w:tcW w:w="724" w:type="dxa"/>
            <w:vAlign w:val="center"/>
          </w:tcPr>
          <w:p w14:paraId="0831231A">
            <w:pPr>
              <w:spacing w:line="360" w:lineRule="auto"/>
              <w:jc w:val="center"/>
              <w:rPr>
                <w:rFonts w:ascii="宋体" w:hAnsi="宋体" w:cs="宋体"/>
                <w:sz w:val="24"/>
              </w:rPr>
            </w:pPr>
          </w:p>
        </w:tc>
        <w:tc>
          <w:tcPr>
            <w:tcW w:w="724" w:type="dxa"/>
            <w:vAlign w:val="center"/>
          </w:tcPr>
          <w:p w14:paraId="3D1E3E7C">
            <w:pPr>
              <w:spacing w:line="360" w:lineRule="auto"/>
              <w:jc w:val="center"/>
              <w:rPr>
                <w:rFonts w:ascii="宋体" w:hAnsi="宋体" w:cs="宋体"/>
                <w:sz w:val="24"/>
              </w:rPr>
            </w:pPr>
          </w:p>
        </w:tc>
        <w:tc>
          <w:tcPr>
            <w:tcW w:w="724" w:type="dxa"/>
            <w:vAlign w:val="center"/>
          </w:tcPr>
          <w:p w14:paraId="2839F5AA">
            <w:pPr>
              <w:spacing w:line="360" w:lineRule="auto"/>
              <w:jc w:val="center"/>
              <w:rPr>
                <w:rFonts w:ascii="宋体" w:hAnsi="宋体" w:cs="宋体"/>
                <w:sz w:val="24"/>
              </w:rPr>
            </w:pPr>
          </w:p>
        </w:tc>
        <w:tc>
          <w:tcPr>
            <w:tcW w:w="724" w:type="dxa"/>
            <w:vAlign w:val="center"/>
          </w:tcPr>
          <w:p w14:paraId="082584E7">
            <w:pPr>
              <w:spacing w:line="360" w:lineRule="auto"/>
              <w:jc w:val="center"/>
              <w:rPr>
                <w:rFonts w:ascii="宋体" w:hAnsi="宋体" w:cs="宋体"/>
                <w:sz w:val="24"/>
              </w:rPr>
            </w:pPr>
          </w:p>
        </w:tc>
        <w:tc>
          <w:tcPr>
            <w:tcW w:w="724" w:type="dxa"/>
            <w:vAlign w:val="center"/>
          </w:tcPr>
          <w:p w14:paraId="2580309E">
            <w:pPr>
              <w:spacing w:line="360" w:lineRule="auto"/>
              <w:jc w:val="center"/>
              <w:rPr>
                <w:rFonts w:ascii="宋体" w:hAnsi="宋体" w:cs="宋体"/>
                <w:sz w:val="24"/>
              </w:rPr>
            </w:pPr>
          </w:p>
        </w:tc>
        <w:tc>
          <w:tcPr>
            <w:tcW w:w="727" w:type="dxa"/>
            <w:vAlign w:val="center"/>
          </w:tcPr>
          <w:p w14:paraId="581CD269">
            <w:pPr>
              <w:spacing w:line="360" w:lineRule="auto"/>
              <w:jc w:val="center"/>
              <w:rPr>
                <w:rFonts w:ascii="宋体" w:hAnsi="宋体" w:cs="宋体"/>
                <w:sz w:val="24"/>
              </w:rPr>
            </w:pPr>
          </w:p>
        </w:tc>
      </w:tr>
      <w:tr w14:paraId="380721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10EA525C">
            <w:pPr>
              <w:spacing w:line="360" w:lineRule="auto"/>
              <w:jc w:val="center"/>
              <w:rPr>
                <w:rFonts w:ascii="宋体" w:hAnsi="宋体" w:cs="宋体"/>
                <w:sz w:val="24"/>
              </w:rPr>
            </w:pPr>
            <w:r>
              <w:rPr>
                <w:rFonts w:hint="eastAsia" w:ascii="宋体" w:hAnsi="宋体" w:cs="宋体"/>
                <w:sz w:val="24"/>
              </w:rPr>
              <w:t>11</w:t>
            </w:r>
          </w:p>
        </w:tc>
        <w:tc>
          <w:tcPr>
            <w:tcW w:w="1912" w:type="dxa"/>
            <w:vAlign w:val="center"/>
          </w:tcPr>
          <w:p w14:paraId="453A93F5">
            <w:pPr>
              <w:spacing w:line="360" w:lineRule="auto"/>
              <w:jc w:val="center"/>
              <w:rPr>
                <w:rFonts w:ascii="宋体" w:hAnsi="宋体" w:cs="宋体"/>
                <w:sz w:val="24"/>
              </w:rPr>
            </w:pPr>
            <w:r>
              <w:rPr>
                <w:rFonts w:hint="eastAsia" w:ascii="宋体" w:hAnsi="宋体" w:cs="宋体"/>
                <w:sz w:val="24"/>
              </w:rPr>
              <w:t>联合体投标人</w:t>
            </w:r>
          </w:p>
        </w:tc>
        <w:tc>
          <w:tcPr>
            <w:tcW w:w="722" w:type="dxa"/>
            <w:vAlign w:val="center"/>
          </w:tcPr>
          <w:p w14:paraId="6CAC285B">
            <w:pPr>
              <w:spacing w:line="360" w:lineRule="auto"/>
              <w:jc w:val="center"/>
              <w:rPr>
                <w:rFonts w:ascii="宋体" w:hAnsi="宋体" w:cs="宋体"/>
                <w:sz w:val="24"/>
              </w:rPr>
            </w:pPr>
          </w:p>
        </w:tc>
        <w:tc>
          <w:tcPr>
            <w:tcW w:w="724" w:type="dxa"/>
            <w:vAlign w:val="center"/>
          </w:tcPr>
          <w:p w14:paraId="0F64B0C5">
            <w:pPr>
              <w:spacing w:line="360" w:lineRule="auto"/>
              <w:jc w:val="center"/>
              <w:rPr>
                <w:rFonts w:ascii="宋体" w:hAnsi="宋体" w:cs="宋体"/>
                <w:sz w:val="24"/>
              </w:rPr>
            </w:pPr>
          </w:p>
        </w:tc>
        <w:tc>
          <w:tcPr>
            <w:tcW w:w="724" w:type="dxa"/>
            <w:vAlign w:val="center"/>
          </w:tcPr>
          <w:p w14:paraId="684A6C95">
            <w:pPr>
              <w:spacing w:line="360" w:lineRule="auto"/>
              <w:jc w:val="center"/>
              <w:rPr>
                <w:rFonts w:ascii="宋体" w:hAnsi="宋体" w:cs="宋体"/>
                <w:sz w:val="24"/>
              </w:rPr>
            </w:pPr>
          </w:p>
        </w:tc>
        <w:tc>
          <w:tcPr>
            <w:tcW w:w="724" w:type="dxa"/>
            <w:vAlign w:val="center"/>
          </w:tcPr>
          <w:p w14:paraId="22B8F6AC">
            <w:pPr>
              <w:spacing w:line="360" w:lineRule="auto"/>
              <w:jc w:val="center"/>
              <w:rPr>
                <w:rFonts w:ascii="宋体" w:hAnsi="宋体" w:cs="宋体"/>
                <w:sz w:val="24"/>
              </w:rPr>
            </w:pPr>
          </w:p>
        </w:tc>
        <w:tc>
          <w:tcPr>
            <w:tcW w:w="724" w:type="dxa"/>
            <w:vAlign w:val="center"/>
          </w:tcPr>
          <w:p w14:paraId="6943C99F">
            <w:pPr>
              <w:spacing w:line="360" w:lineRule="auto"/>
              <w:jc w:val="center"/>
              <w:rPr>
                <w:rFonts w:ascii="宋体" w:hAnsi="宋体" w:cs="宋体"/>
                <w:sz w:val="24"/>
              </w:rPr>
            </w:pPr>
          </w:p>
        </w:tc>
        <w:tc>
          <w:tcPr>
            <w:tcW w:w="724" w:type="dxa"/>
            <w:vAlign w:val="center"/>
          </w:tcPr>
          <w:p w14:paraId="1FBFB1CD">
            <w:pPr>
              <w:spacing w:line="360" w:lineRule="auto"/>
              <w:jc w:val="center"/>
              <w:rPr>
                <w:rFonts w:ascii="宋体" w:hAnsi="宋体" w:cs="宋体"/>
                <w:sz w:val="24"/>
              </w:rPr>
            </w:pPr>
          </w:p>
        </w:tc>
        <w:tc>
          <w:tcPr>
            <w:tcW w:w="724" w:type="dxa"/>
            <w:vAlign w:val="center"/>
          </w:tcPr>
          <w:p w14:paraId="286D0955">
            <w:pPr>
              <w:spacing w:line="360" w:lineRule="auto"/>
              <w:jc w:val="center"/>
              <w:rPr>
                <w:rFonts w:ascii="宋体" w:hAnsi="宋体" w:cs="宋体"/>
                <w:sz w:val="24"/>
              </w:rPr>
            </w:pPr>
          </w:p>
        </w:tc>
        <w:tc>
          <w:tcPr>
            <w:tcW w:w="724" w:type="dxa"/>
            <w:vAlign w:val="center"/>
          </w:tcPr>
          <w:p w14:paraId="46D1FF0D">
            <w:pPr>
              <w:spacing w:line="360" w:lineRule="auto"/>
              <w:jc w:val="center"/>
              <w:rPr>
                <w:rFonts w:ascii="宋体" w:hAnsi="宋体" w:cs="宋体"/>
                <w:sz w:val="24"/>
              </w:rPr>
            </w:pPr>
          </w:p>
        </w:tc>
        <w:tc>
          <w:tcPr>
            <w:tcW w:w="727" w:type="dxa"/>
            <w:vAlign w:val="center"/>
          </w:tcPr>
          <w:p w14:paraId="75E4DE5F">
            <w:pPr>
              <w:spacing w:line="360" w:lineRule="auto"/>
              <w:jc w:val="center"/>
              <w:rPr>
                <w:rFonts w:ascii="宋体" w:hAnsi="宋体" w:cs="宋体"/>
                <w:sz w:val="24"/>
              </w:rPr>
            </w:pPr>
          </w:p>
        </w:tc>
      </w:tr>
      <w:tr w14:paraId="1C5E7A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6C9588BB">
            <w:pPr>
              <w:spacing w:line="360" w:lineRule="auto"/>
              <w:jc w:val="center"/>
              <w:rPr>
                <w:rFonts w:ascii="宋体" w:hAnsi="宋体" w:cs="宋体"/>
                <w:sz w:val="24"/>
              </w:rPr>
            </w:pPr>
            <w:r>
              <w:rPr>
                <w:rFonts w:hint="eastAsia" w:ascii="宋体" w:hAnsi="宋体" w:cs="宋体"/>
                <w:sz w:val="24"/>
              </w:rPr>
              <w:t>12</w:t>
            </w:r>
          </w:p>
        </w:tc>
        <w:tc>
          <w:tcPr>
            <w:tcW w:w="1912" w:type="dxa"/>
            <w:vAlign w:val="center"/>
          </w:tcPr>
          <w:p w14:paraId="28470C5D">
            <w:pPr>
              <w:spacing w:line="360" w:lineRule="auto"/>
              <w:jc w:val="center"/>
              <w:rPr>
                <w:rFonts w:ascii="宋体" w:hAnsi="宋体" w:cs="宋体"/>
                <w:sz w:val="24"/>
              </w:rPr>
            </w:pPr>
            <w:r>
              <w:rPr>
                <w:rFonts w:hint="eastAsia" w:ascii="宋体" w:hAnsi="宋体" w:cs="宋体"/>
                <w:sz w:val="24"/>
              </w:rPr>
              <w:t>投标要求</w:t>
            </w:r>
          </w:p>
        </w:tc>
        <w:tc>
          <w:tcPr>
            <w:tcW w:w="722" w:type="dxa"/>
            <w:vAlign w:val="center"/>
          </w:tcPr>
          <w:p w14:paraId="682465EF">
            <w:pPr>
              <w:spacing w:line="360" w:lineRule="auto"/>
              <w:jc w:val="center"/>
              <w:rPr>
                <w:rFonts w:ascii="宋体" w:hAnsi="宋体" w:cs="宋体"/>
                <w:sz w:val="24"/>
              </w:rPr>
            </w:pPr>
          </w:p>
        </w:tc>
        <w:tc>
          <w:tcPr>
            <w:tcW w:w="724" w:type="dxa"/>
            <w:vAlign w:val="center"/>
          </w:tcPr>
          <w:p w14:paraId="0A71B169">
            <w:pPr>
              <w:spacing w:line="360" w:lineRule="auto"/>
              <w:jc w:val="center"/>
              <w:rPr>
                <w:rFonts w:ascii="宋体" w:hAnsi="宋体" w:cs="宋体"/>
                <w:sz w:val="24"/>
              </w:rPr>
            </w:pPr>
          </w:p>
        </w:tc>
        <w:tc>
          <w:tcPr>
            <w:tcW w:w="724" w:type="dxa"/>
            <w:vAlign w:val="center"/>
          </w:tcPr>
          <w:p w14:paraId="32659672">
            <w:pPr>
              <w:spacing w:line="360" w:lineRule="auto"/>
              <w:jc w:val="center"/>
              <w:rPr>
                <w:rFonts w:ascii="宋体" w:hAnsi="宋体" w:cs="宋体"/>
                <w:sz w:val="24"/>
              </w:rPr>
            </w:pPr>
          </w:p>
        </w:tc>
        <w:tc>
          <w:tcPr>
            <w:tcW w:w="724" w:type="dxa"/>
            <w:vAlign w:val="center"/>
          </w:tcPr>
          <w:p w14:paraId="08CB2DF4">
            <w:pPr>
              <w:spacing w:line="360" w:lineRule="auto"/>
              <w:jc w:val="center"/>
              <w:rPr>
                <w:rFonts w:ascii="宋体" w:hAnsi="宋体" w:cs="宋体"/>
                <w:sz w:val="24"/>
              </w:rPr>
            </w:pPr>
          </w:p>
        </w:tc>
        <w:tc>
          <w:tcPr>
            <w:tcW w:w="724" w:type="dxa"/>
            <w:vAlign w:val="center"/>
          </w:tcPr>
          <w:p w14:paraId="41C342F2">
            <w:pPr>
              <w:spacing w:line="360" w:lineRule="auto"/>
              <w:jc w:val="center"/>
              <w:rPr>
                <w:rFonts w:ascii="宋体" w:hAnsi="宋体" w:cs="宋体"/>
                <w:sz w:val="24"/>
              </w:rPr>
            </w:pPr>
          </w:p>
        </w:tc>
        <w:tc>
          <w:tcPr>
            <w:tcW w:w="724" w:type="dxa"/>
            <w:vAlign w:val="center"/>
          </w:tcPr>
          <w:p w14:paraId="7A8959E9">
            <w:pPr>
              <w:spacing w:line="360" w:lineRule="auto"/>
              <w:jc w:val="center"/>
              <w:rPr>
                <w:rFonts w:ascii="宋体" w:hAnsi="宋体" w:cs="宋体"/>
                <w:sz w:val="24"/>
              </w:rPr>
            </w:pPr>
          </w:p>
        </w:tc>
        <w:tc>
          <w:tcPr>
            <w:tcW w:w="724" w:type="dxa"/>
            <w:vAlign w:val="center"/>
          </w:tcPr>
          <w:p w14:paraId="28BE0D4C">
            <w:pPr>
              <w:spacing w:line="360" w:lineRule="auto"/>
              <w:jc w:val="center"/>
              <w:rPr>
                <w:rFonts w:ascii="宋体" w:hAnsi="宋体" w:cs="宋体"/>
                <w:sz w:val="24"/>
              </w:rPr>
            </w:pPr>
          </w:p>
        </w:tc>
        <w:tc>
          <w:tcPr>
            <w:tcW w:w="724" w:type="dxa"/>
            <w:vAlign w:val="center"/>
          </w:tcPr>
          <w:p w14:paraId="71D096C8">
            <w:pPr>
              <w:spacing w:line="360" w:lineRule="auto"/>
              <w:jc w:val="center"/>
              <w:rPr>
                <w:rFonts w:ascii="宋体" w:hAnsi="宋体" w:cs="宋体"/>
                <w:sz w:val="24"/>
              </w:rPr>
            </w:pPr>
          </w:p>
        </w:tc>
        <w:tc>
          <w:tcPr>
            <w:tcW w:w="727" w:type="dxa"/>
            <w:vAlign w:val="center"/>
          </w:tcPr>
          <w:p w14:paraId="53D4AD58">
            <w:pPr>
              <w:spacing w:line="360" w:lineRule="auto"/>
              <w:jc w:val="center"/>
              <w:rPr>
                <w:rFonts w:ascii="宋体" w:hAnsi="宋体" w:cs="宋体"/>
                <w:sz w:val="24"/>
              </w:rPr>
            </w:pPr>
          </w:p>
        </w:tc>
      </w:tr>
      <w:tr w14:paraId="6546D0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08" w:type="dxa"/>
            <w:vAlign w:val="center"/>
          </w:tcPr>
          <w:p w14:paraId="656CEA3C">
            <w:pPr>
              <w:spacing w:line="360" w:lineRule="auto"/>
              <w:jc w:val="center"/>
              <w:rPr>
                <w:rFonts w:ascii="宋体" w:hAnsi="宋体" w:cs="宋体"/>
                <w:sz w:val="24"/>
              </w:rPr>
            </w:pPr>
            <w:r>
              <w:rPr>
                <w:rFonts w:hint="eastAsia" w:ascii="宋体" w:hAnsi="宋体" w:cs="宋体"/>
                <w:w w:val="99"/>
                <w:sz w:val="24"/>
              </w:rPr>
              <w:t>…</w:t>
            </w:r>
          </w:p>
        </w:tc>
        <w:tc>
          <w:tcPr>
            <w:tcW w:w="1912" w:type="dxa"/>
            <w:vAlign w:val="center"/>
          </w:tcPr>
          <w:p w14:paraId="793193B3">
            <w:pPr>
              <w:spacing w:line="360" w:lineRule="auto"/>
              <w:jc w:val="center"/>
              <w:rPr>
                <w:rFonts w:ascii="宋体" w:hAnsi="宋体" w:cs="宋体"/>
                <w:sz w:val="24"/>
              </w:rPr>
            </w:pPr>
            <w:r>
              <w:rPr>
                <w:rFonts w:hint="eastAsia" w:ascii="宋体" w:hAnsi="宋体" w:cs="宋体"/>
                <w:w w:val="99"/>
                <w:sz w:val="24"/>
              </w:rPr>
              <w:t>……</w:t>
            </w:r>
          </w:p>
        </w:tc>
        <w:tc>
          <w:tcPr>
            <w:tcW w:w="722" w:type="dxa"/>
            <w:vAlign w:val="center"/>
          </w:tcPr>
          <w:p w14:paraId="3011D887">
            <w:pPr>
              <w:spacing w:line="360" w:lineRule="auto"/>
              <w:jc w:val="center"/>
              <w:rPr>
                <w:rFonts w:ascii="宋体" w:hAnsi="宋体" w:cs="宋体"/>
                <w:sz w:val="24"/>
              </w:rPr>
            </w:pPr>
          </w:p>
        </w:tc>
        <w:tc>
          <w:tcPr>
            <w:tcW w:w="724" w:type="dxa"/>
            <w:vAlign w:val="center"/>
          </w:tcPr>
          <w:p w14:paraId="4679BB07">
            <w:pPr>
              <w:spacing w:line="360" w:lineRule="auto"/>
              <w:jc w:val="center"/>
              <w:rPr>
                <w:rFonts w:ascii="宋体" w:hAnsi="宋体" w:cs="宋体"/>
                <w:sz w:val="24"/>
              </w:rPr>
            </w:pPr>
          </w:p>
        </w:tc>
        <w:tc>
          <w:tcPr>
            <w:tcW w:w="724" w:type="dxa"/>
            <w:vAlign w:val="center"/>
          </w:tcPr>
          <w:p w14:paraId="364F75B1">
            <w:pPr>
              <w:spacing w:line="360" w:lineRule="auto"/>
              <w:jc w:val="center"/>
              <w:rPr>
                <w:rFonts w:ascii="宋体" w:hAnsi="宋体" w:cs="宋体"/>
                <w:sz w:val="24"/>
              </w:rPr>
            </w:pPr>
          </w:p>
        </w:tc>
        <w:tc>
          <w:tcPr>
            <w:tcW w:w="724" w:type="dxa"/>
            <w:vAlign w:val="center"/>
          </w:tcPr>
          <w:p w14:paraId="42B41F28">
            <w:pPr>
              <w:spacing w:line="360" w:lineRule="auto"/>
              <w:jc w:val="center"/>
              <w:rPr>
                <w:rFonts w:ascii="宋体" w:hAnsi="宋体" w:cs="宋体"/>
                <w:sz w:val="24"/>
              </w:rPr>
            </w:pPr>
          </w:p>
        </w:tc>
        <w:tc>
          <w:tcPr>
            <w:tcW w:w="724" w:type="dxa"/>
            <w:vAlign w:val="center"/>
          </w:tcPr>
          <w:p w14:paraId="5BAA9E62">
            <w:pPr>
              <w:spacing w:line="360" w:lineRule="auto"/>
              <w:jc w:val="center"/>
              <w:rPr>
                <w:rFonts w:ascii="宋体" w:hAnsi="宋体" w:cs="宋体"/>
                <w:sz w:val="24"/>
              </w:rPr>
            </w:pPr>
          </w:p>
        </w:tc>
        <w:tc>
          <w:tcPr>
            <w:tcW w:w="724" w:type="dxa"/>
            <w:vAlign w:val="center"/>
          </w:tcPr>
          <w:p w14:paraId="7799BA91">
            <w:pPr>
              <w:spacing w:line="360" w:lineRule="auto"/>
              <w:jc w:val="center"/>
              <w:rPr>
                <w:rFonts w:ascii="宋体" w:hAnsi="宋体" w:cs="宋体"/>
                <w:sz w:val="24"/>
              </w:rPr>
            </w:pPr>
          </w:p>
        </w:tc>
        <w:tc>
          <w:tcPr>
            <w:tcW w:w="724" w:type="dxa"/>
            <w:vAlign w:val="center"/>
          </w:tcPr>
          <w:p w14:paraId="2C0A21CE">
            <w:pPr>
              <w:spacing w:line="360" w:lineRule="auto"/>
              <w:jc w:val="center"/>
              <w:rPr>
                <w:rFonts w:ascii="宋体" w:hAnsi="宋体" w:cs="宋体"/>
                <w:sz w:val="24"/>
              </w:rPr>
            </w:pPr>
          </w:p>
        </w:tc>
        <w:tc>
          <w:tcPr>
            <w:tcW w:w="724" w:type="dxa"/>
            <w:vAlign w:val="center"/>
          </w:tcPr>
          <w:p w14:paraId="16BE45F9">
            <w:pPr>
              <w:spacing w:line="360" w:lineRule="auto"/>
              <w:jc w:val="center"/>
              <w:rPr>
                <w:rFonts w:ascii="宋体" w:hAnsi="宋体" w:cs="宋体"/>
                <w:sz w:val="24"/>
              </w:rPr>
            </w:pPr>
          </w:p>
        </w:tc>
        <w:tc>
          <w:tcPr>
            <w:tcW w:w="727" w:type="dxa"/>
            <w:vAlign w:val="center"/>
          </w:tcPr>
          <w:p w14:paraId="2B5B6245">
            <w:pPr>
              <w:spacing w:line="360" w:lineRule="auto"/>
              <w:jc w:val="center"/>
              <w:rPr>
                <w:rFonts w:ascii="宋体" w:hAnsi="宋体" w:cs="宋体"/>
                <w:sz w:val="24"/>
              </w:rPr>
            </w:pPr>
          </w:p>
        </w:tc>
      </w:tr>
      <w:tr w14:paraId="5E9424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620" w:type="dxa"/>
            <w:gridSpan w:val="2"/>
            <w:vAlign w:val="center"/>
          </w:tcPr>
          <w:p w14:paraId="52B2BDD2">
            <w:pPr>
              <w:spacing w:line="360" w:lineRule="auto"/>
              <w:jc w:val="center"/>
              <w:rPr>
                <w:rFonts w:ascii="宋体" w:hAnsi="宋体" w:cs="宋体"/>
                <w:sz w:val="24"/>
              </w:rPr>
            </w:pPr>
            <w:r>
              <w:rPr>
                <w:rFonts w:hint="eastAsia" w:ascii="宋体" w:hAnsi="宋体"/>
                <w:sz w:val="24"/>
              </w:rPr>
              <w:t>评审结论：符合/不符合</w:t>
            </w:r>
          </w:p>
        </w:tc>
        <w:tc>
          <w:tcPr>
            <w:tcW w:w="722" w:type="dxa"/>
            <w:vAlign w:val="center"/>
          </w:tcPr>
          <w:p w14:paraId="100D8386">
            <w:pPr>
              <w:spacing w:line="360" w:lineRule="auto"/>
              <w:jc w:val="center"/>
              <w:rPr>
                <w:rFonts w:ascii="宋体" w:hAnsi="宋体" w:cs="宋体"/>
                <w:sz w:val="24"/>
              </w:rPr>
            </w:pPr>
          </w:p>
        </w:tc>
        <w:tc>
          <w:tcPr>
            <w:tcW w:w="724" w:type="dxa"/>
            <w:vAlign w:val="center"/>
          </w:tcPr>
          <w:p w14:paraId="659C48C1">
            <w:pPr>
              <w:spacing w:line="360" w:lineRule="auto"/>
              <w:jc w:val="center"/>
              <w:rPr>
                <w:rFonts w:ascii="宋体" w:hAnsi="宋体" w:cs="宋体"/>
                <w:sz w:val="24"/>
              </w:rPr>
            </w:pPr>
          </w:p>
        </w:tc>
        <w:tc>
          <w:tcPr>
            <w:tcW w:w="724" w:type="dxa"/>
            <w:vAlign w:val="center"/>
          </w:tcPr>
          <w:p w14:paraId="21453FEE">
            <w:pPr>
              <w:spacing w:line="360" w:lineRule="auto"/>
              <w:jc w:val="center"/>
              <w:rPr>
                <w:rFonts w:ascii="宋体" w:hAnsi="宋体" w:cs="宋体"/>
                <w:sz w:val="24"/>
              </w:rPr>
            </w:pPr>
          </w:p>
        </w:tc>
        <w:tc>
          <w:tcPr>
            <w:tcW w:w="724" w:type="dxa"/>
            <w:vAlign w:val="center"/>
          </w:tcPr>
          <w:p w14:paraId="754E4992">
            <w:pPr>
              <w:spacing w:line="360" w:lineRule="auto"/>
              <w:jc w:val="center"/>
              <w:rPr>
                <w:rFonts w:ascii="宋体" w:hAnsi="宋体" w:cs="宋体"/>
                <w:sz w:val="24"/>
              </w:rPr>
            </w:pPr>
          </w:p>
        </w:tc>
        <w:tc>
          <w:tcPr>
            <w:tcW w:w="724" w:type="dxa"/>
            <w:vAlign w:val="center"/>
          </w:tcPr>
          <w:p w14:paraId="6C20DD45">
            <w:pPr>
              <w:spacing w:line="360" w:lineRule="auto"/>
              <w:jc w:val="center"/>
              <w:rPr>
                <w:rFonts w:ascii="宋体" w:hAnsi="宋体" w:cs="宋体"/>
                <w:sz w:val="24"/>
              </w:rPr>
            </w:pPr>
          </w:p>
        </w:tc>
        <w:tc>
          <w:tcPr>
            <w:tcW w:w="724" w:type="dxa"/>
            <w:vAlign w:val="center"/>
          </w:tcPr>
          <w:p w14:paraId="65D50A43">
            <w:pPr>
              <w:spacing w:line="360" w:lineRule="auto"/>
              <w:jc w:val="center"/>
              <w:rPr>
                <w:rFonts w:ascii="宋体" w:hAnsi="宋体" w:cs="宋体"/>
                <w:sz w:val="24"/>
              </w:rPr>
            </w:pPr>
          </w:p>
        </w:tc>
        <w:tc>
          <w:tcPr>
            <w:tcW w:w="724" w:type="dxa"/>
            <w:vAlign w:val="center"/>
          </w:tcPr>
          <w:p w14:paraId="5550E200">
            <w:pPr>
              <w:spacing w:line="360" w:lineRule="auto"/>
              <w:jc w:val="center"/>
              <w:rPr>
                <w:rFonts w:ascii="宋体" w:hAnsi="宋体" w:cs="宋体"/>
                <w:sz w:val="24"/>
              </w:rPr>
            </w:pPr>
          </w:p>
        </w:tc>
        <w:tc>
          <w:tcPr>
            <w:tcW w:w="724" w:type="dxa"/>
            <w:vAlign w:val="center"/>
          </w:tcPr>
          <w:p w14:paraId="477A7499">
            <w:pPr>
              <w:spacing w:line="360" w:lineRule="auto"/>
              <w:jc w:val="center"/>
              <w:rPr>
                <w:rFonts w:ascii="宋体" w:hAnsi="宋体" w:cs="宋体"/>
                <w:sz w:val="24"/>
              </w:rPr>
            </w:pPr>
          </w:p>
        </w:tc>
        <w:tc>
          <w:tcPr>
            <w:tcW w:w="727" w:type="dxa"/>
            <w:vAlign w:val="center"/>
          </w:tcPr>
          <w:p w14:paraId="06701EC3">
            <w:pPr>
              <w:spacing w:line="360" w:lineRule="auto"/>
              <w:jc w:val="center"/>
              <w:rPr>
                <w:rFonts w:ascii="宋体" w:hAnsi="宋体" w:cs="宋体"/>
                <w:sz w:val="24"/>
              </w:rPr>
            </w:pPr>
          </w:p>
        </w:tc>
      </w:tr>
    </w:tbl>
    <w:p w14:paraId="0E2262BB">
      <w:pPr>
        <w:spacing w:line="360" w:lineRule="auto"/>
        <w:rPr>
          <w:rFonts w:ascii="宋体" w:hAnsi="宋体" w:cs="宋体"/>
          <w:sz w:val="24"/>
        </w:rPr>
      </w:pPr>
      <w:r>
        <w:rPr>
          <w:rFonts w:hint="eastAsia" w:ascii="宋体" w:hAnsi="宋体" w:cs="宋体"/>
          <w:sz w:val="24"/>
        </w:rPr>
        <w:t>评标委员会全体成员签名：</w:t>
      </w:r>
    </w:p>
    <w:p w14:paraId="1BEBAD87">
      <w:pPr>
        <w:spacing w:line="360" w:lineRule="auto"/>
        <w:rPr>
          <w:rFonts w:ascii="宋体" w:hAnsi="宋体" w:cs="宋体"/>
          <w:sz w:val="24"/>
        </w:rPr>
      </w:pPr>
      <w:r>
        <w:rPr>
          <w:rFonts w:hint="eastAsia" w:ascii="宋体" w:hAnsi="宋体" w:cs="宋体"/>
          <w:sz w:val="24"/>
        </w:rPr>
        <w:t xml:space="preserve">    </w:t>
      </w:r>
    </w:p>
    <w:p w14:paraId="348096B7">
      <w:pPr>
        <w:spacing w:line="360" w:lineRule="auto"/>
        <w:rPr>
          <w:rFonts w:ascii="宋体" w:hAnsi="宋体" w:cs="宋体"/>
          <w:b/>
          <w:sz w:val="24"/>
        </w:rPr>
        <w:sectPr>
          <w:pgSz w:w="11906" w:h="16838"/>
          <w:pgMar w:top="1417" w:right="1417" w:bottom="1417" w:left="1417" w:header="851" w:footer="850" w:gutter="0"/>
          <w:cols w:space="720" w:num="1"/>
          <w:docGrid w:type="lines" w:linePitch="312" w:charSpace="0"/>
        </w:sectPr>
      </w:pPr>
    </w:p>
    <w:p w14:paraId="5D957F9F">
      <w:pPr>
        <w:pStyle w:val="4"/>
        <w:rPr>
          <w:rFonts w:ascii="宋体" w:hAnsi="宋体" w:eastAsia="宋体"/>
          <w:sz w:val="24"/>
          <w:szCs w:val="24"/>
        </w:rPr>
      </w:pPr>
      <w:r>
        <w:rPr>
          <w:rFonts w:hint="eastAsia" w:ascii="宋体" w:hAnsi="宋体" w:eastAsia="宋体"/>
          <w:sz w:val="24"/>
          <w:szCs w:val="24"/>
        </w:rPr>
        <w:t>附表4：响应性评审记录表</w:t>
      </w:r>
    </w:p>
    <w:p w14:paraId="224D2938">
      <w:pPr>
        <w:spacing w:line="360" w:lineRule="auto"/>
        <w:jc w:val="center"/>
        <w:rPr>
          <w:rFonts w:ascii="宋体" w:hAnsi="宋体" w:cs="宋体"/>
          <w:b/>
          <w:sz w:val="24"/>
        </w:rPr>
      </w:pPr>
      <w:r>
        <w:rPr>
          <w:rFonts w:hint="eastAsia" w:ascii="宋体" w:hAnsi="宋体" w:cs="宋体"/>
          <w:b/>
          <w:sz w:val="24"/>
        </w:rPr>
        <w:t>响应性评审记录表</w:t>
      </w:r>
    </w:p>
    <w:p w14:paraId="67E5CBA3">
      <w:pPr>
        <w:spacing w:line="360" w:lineRule="auto"/>
        <w:jc w:val="center"/>
        <w:rPr>
          <w:rFonts w:ascii="宋体" w:hAnsi="宋体" w:cs="宋体"/>
          <w:b/>
          <w:sz w:val="24"/>
        </w:rPr>
      </w:pPr>
    </w:p>
    <w:p w14:paraId="61A171F3">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7"/>
        <w:gridCol w:w="2033"/>
        <w:gridCol w:w="722"/>
        <w:gridCol w:w="724"/>
        <w:gridCol w:w="724"/>
        <w:gridCol w:w="724"/>
        <w:gridCol w:w="724"/>
        <w:gridCol w:w="724"/>
        <w:gridCol w:w="724"/>
        <w:gridCol w:w="724"/>
        <w:gridCol w:w="727"/>
      </w:tblGrid>
      <w:tr w14:paraId="40DBF8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Merge w:val="restart"/>
            <w:vAlign w:val="center"/>
          </w:tcPr>
          <w:p w14:paraId="6CA77E01">
            <w:pPr>
              <w:spacing w:line="360" w:lineRule="auto"/>
              <w:jc w:val="center"/>
              <w:rPr>
                <w:rFonts w:ascii="宋体" w:hAnsi="宋体" w:cs="宋体"/>
                <w:sz w:val="24"/>
              </w:rPr>
            </w:pPr>
            <w:r>
              <w:rPr>
                <w:rFonts w:hint="eastAsia" w:ascii="宋体" w:hAnsi="宋体" w:cs="宋体"/>
                <w:sz w:val="24"/>
              </w:rPr>
              <w:t>序号</w:t>
            </w:r>
          </w:p>
        </w:tc>
        <w:tc>
          <w:tcPr>
            <w:tcW w:w="2033" w:type="dxa"/>
            <w:vMerge w:val="restart"/>
            <w:vAlign w:val="center"/>
          </w:tcPr>
          <w:p w14:paraId="6F294BAA">
            <w:pPr>
              <w:spacing w:line="360" w:lineRule="auto"/>
              <w:jc w:val="center"/>
              <w:rPr>
                <w:rFonts w:ascii="宋体" w:hAnsi="宋体" w:cs="宋体"/>
                <w:sz w:val="24"/>
              </w:rPr>
            </w:pPr>
            <w:r>
              <w:rPr>
                <w:rFonts w:hint="eastAsia" w:ascii="宋体" w:hAnsi="宋体" w:cs="宋体"/>
                <w:sz w:val="24"/>
              </w:rPr>
              <w:t>评审因素</w:t>
            </w:r>
          </w:p>
        </w:tc>
        <w:tc>
          <w:tcPr>
            <w:tcW w:w="6517" w:type="dxa"/>
            <w:gridSpan w:val="9"/>
            <w:vAlign w:val="center"/>
          </w:tcPr>
          <w:p w14:paraId="49C8B080">
            <w:pPr>
              <w:spacing w:line="360" w:lineRule="auto"/>
              <w:jc w:val="center"/>
              <w:rPr>
                <w:rFonts w:ascii="宋体" w:hAnsi="宋体" w:cs="宋体"/>
                <w:sz w:val="24"/>
              </w:rPr>
            </w:pPr>
            <w:r>
              <w:rPr>
                <w:rFonts w:hint="eastAsia" w:ascii="宋体" w:hAnsi="宋体" w:cs="宋体"/>
                <w:sz w:val="24"/>
              </w:rPr>
              <w:t>投标人名称及评审意见</w:t>
            </w:r>
          </w:p>
        </w:tc>
      </w:tr>
      <w:tr w14:paraId="2C3141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Merge w:val="continue"/>
            <w:vAlign w:val="center"/>
          </w:tcPr>
          <w:p w14:paraId="54496BBE">
            <w:pPr>
              <w:spacing w:line="360" w:lineRule="auto"/>
              <w:rPr>
                <w:rFonts w:ascii="宋体" w:hAnsi="宋体" w:cs="宋体"/>
                <w:sz w:val="24"/>
              </w:rPr>
            </w:pPr>
          </w:p>
        </w:tc>
        <w:tc>
          <w:tcPr>
            <w:tcW w:w="2033" w:type="dxa"/>
            <w:vMerge w:val="continue"/>
            <w:vAlign w:val="center"/>
          </w:tcPr>
          <w:p w14:paraId="6795F074">
            <w:pPr>
              <w:spacing w:line="360" w:lineRule="auto"/>
              <w:rPr>
                <w:rFonts w:ascii="宋体" w:hAnsi="宋体" w:cs="宋体"/>
                <w:sz w:val="24"/>
              </w:rPr>
            </w:pPr>
          </w:p>
        </w:tc>
        <w:tc>
          <w:tcPr>
            <w:tcW w:w="722" w:type="dxa"/>
            <w:vAlign w:val="center"/>
          </w:tcPr>
          <w:p w14:paraId="0B75A1D9">
            <w:pPr>
              <w:spacing w:line="360" w:lineRule="auto"/>
              <w:jc w:val="center"/>
              <w:rPr>
                <w:rFonts w:ascii="宋体" w:hAnsi="宋体" w:cs="宋体"/>
                <w:sz w:val="24"/>
              </w:rPr>
            </w:pPr>
          </w:p>
        </w:tc>
        <w:tc>
          <w:tcPr>
            <w:tcW w:w="724" w:type="dxa"/>
            <w:vAlign w:val="center"/>
          </w:tcPr>
          <w:p w14:paraId="075E32B3">
            <w:pPr>
              <w:spacing w:line="360" w:lineRule="auto"/>
              <w:jc w:val="center"/>
              <w:rPr>
                <w:rFonts w:ascii="宋体" w:hAnsi="宋体" w:cs="宋体"/>
                <w:sz w:val="24"/>
              </w:rPr>
            </w:pPr>
          </w:p>
        </w:tc>
        <w:tc>
          <w:tcPr>
            <w:tcW w:w="724" w:type="dxa"/>
            <w:vAlign w:val="center"/>
          </w:tcPr>
          <w:p w14:paraId="5725EB24">
            <w:pPr>
              <w:spacing w:line="360" w:lineRule="auto"/>
              <w:jc w:val="center"/>
              <w:rPr>
                <w:rFonts w:ascii="宋体" w:hAnsi="宋体" w:cs="宋体"/>
                <w:sz w:val="24"/>
              </w:rPr>
            </w:pPr>
          </w:p>
        </w:tc>
        <w:tc>
          <w:tcPr>
            <w:tcW w:w="724" w:type="dxa"/>
            <w:vAlign w:val="center"/>
          </w:tcPr>
          <w:p w14:paraId="4293A10A">
            <w:pPr>
              <w:spacing w:line="360" w:lineRule="auto"/>
              <w:jc w:val="center"/>
              <w:rPr>
                <w:rFonts w:ascii="宋体" w:hAnsi="宋体" w:cs="宋体"/>
                <w:sz w:val="24"/>
              </w:rPr>
            </w:pPr>
          </w:p>
        </w:tc>
        <w:tc>
          <w:tcPr>
            <w:tcW w:w="724" w:type="dxa"/>
            <w:vAlign w:val="center"/>
          </w:tcPr>
          <w:p w14:paraId="68CAF5D4">
            <w:pPr>
              <w:spacing w:line="360" w:lineRule="auto"/>
              <w:jc w:val="center"/>
              <w:rPr>
                <w:rFonts w:ascii="宋体" w:hAnsi="宋体" w:cs="宋体"/>
                <w:sz w:val="24"/>
              </w:rPr>
            </w:pPr>
          </w:p>
        </w:tc>
        <w:tc>
          <w:tcPr>
            <w:tcW w:w="724" w:type="dxa"/>
            <w:vAlign w:val="center"/>
          </w:tcPr>
          <w:p w14:paraId="79AC4E1F">
            <w:pPr>
              <w:spacing w:line="360" w:lineRule="auto"/>
              <w:jc w:val="center"/>
              <w:rPr>
                <w:rFonts w:ascii="宋体" w:hAnsi="宋体" w:cs="宋体"/>
                <w:sz w:val="24"/>
              </w:rPr>
            </w:pPr>
          </w:p>
        </w:tc>
        <w:tc>
          <w:tcPr>
            <w:tcW w:w="724" w:type="dxa"/>
            <w:vAlign w:val="center"/>
          </w:tcPr>
          <w:p w14:paraId="52821D8D">
            <w:pPr>
              <w:spacing w:line="360" w:lineRule="auto"/>
              <w:jc w:val="center"/>
              <w:rPr>
                <w:rFonts w:ascii="宋体" w:hAnsi="宋体" w:cs="宋体"/>
                <w:sz w:val="24"/>
              </w:rPr>
            </w:pPr>
          </w:p>
        </w:tc>
        <w:tc>
          <w:tcPr>
            <w:tcW w:w="724" w:type="dxa"/>
            <w:vAlign w:val="center"/>
          </w:tcPr>
          <w:p w14:paraId="3E0DCF6E">
            <w:pPr>
              <w:spacing w:line="360" w:lineRule="auto"/>
              <w:jc w:val="center"/>
              <w:rPr>
                <w:rFonts w:ascii="宋体" w:hAnsi="宋体" w:cs="宋体"/>
                <w:sz w:val="24"/>
              </w:rPr>
            </w:pPr>
          </w:p>
        </w:tc>
        <w:tc>
          <w:tcPr>
            <w:tcW w:w="727" w:type="dxa"/>
            <w:vAlign w:val="center"/>
          </w:tcPr>
          <w:p w14:paraId="141F3E90">
            <w:pPr>
              <w:spacing w:line="360" w:lineRule="auto"/>
              <w:jc w:val="center"/>
              <w:rPr>
                <w:rFonts w:ascii="宋体" w:hAnsi="宋体" w:cs="宋体"/>
                <w:sz w:val="24"/>
              </w:rPr>
            </w:pPr>
          </w:p>
        </w:tc>
      </w:tr>
      <w:tr w14:paraId="448298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42861A8D">
            <w:pPr>
              <w:spacing w:line="360" w:lineRule="auto"/>
              <w:jc w:val="center"/>
              <w:rPr>
                <w:rFonts w:ascii="宋体" w:hAnsi="宋体" w:cs="宋体"/>
                <w:sz w:val="24"/>
              </w:rPr>
            </w:pPr>
            <w:r>
              <w:rPr>
                <w:rFonts w:hint="eastAsia" w:ascii="宋体" w:hAnsi="宋体" w:cs="宋体"/>
                <w:sz w:val="24"/>
              </w:rPr>
              <w:t>1</w:t>
            </w:r>
          </w:p>
        </w:tc>
        <w:tc>
          <w:tcPr>
            <w:tcW w:w="2033" w:type="dxa"/>
            <w:vAlign w:val="center"/>
          </w:tcPr>
          <w:p w14:paraId="1214F0CF">
            <w:pPr>
              <w:spacing w:line="360" w:lineRule="auto"/>
              <w:jc w:val="center"/>
              <w:rPr>
                <w:rFonts w:ascii="宋体" w:hAnsi="宋体" w:cs="宋体"/>
                <w:sz w:val="24"/>
              </w:rPr>
            </w:pPr>
            <w:r>
              <w:rPr>
                <w:rFonts w:hint="eastAsia" w:ascii="宋体" w:hAnsi="宋体" w:cs="宋体"/>
                <w:sz w:val="24"/>
              </w:rPr>
              <w:t>投标报价</w:t>
            </w:r>
          </w:p>
        </w:tc>
        <w:tc>
          <w:tcPr>
            <w:tcW w:w="722" w:type="dxa"/>
            <w:vAlign w:val="center"/>
          </w:tcPr>
          <w:p w14:paraId="2EBEF4EB">
            <w:pPr>
              <w:spacing w:line="360" w:lineRule="auto"/>
              <w:jc w:val="center"/>
              <w:rPr>
                <w:rFonts w:ascii="宋体" w:hAnsi="宋体" w:cs="宋体"/>
                <w:sz w:val="24"/>
              </w:rPr>
            </w:pPr>
          </w:p>
        </w:tc>
        <w:tc>
          <w:tcPr>
            <w:tcW w:w="724" w:type="dxa"/>
            <w:vAlign w:val="center"/>
          </w:tcPr>
          <w:p w14:paraId="6F98BC2F">
            <w:pPr>
              <w:spacing w:line="360" w:lineRule="auto"/>
              <w:jc w:val="center"/>
              <w:rPr>
                <w:rFonts w:ascii="宋体" w:hAnsi="宋体" w:cs="宋体"/>
                <w:sz w:val="24"/>
              </w:rPr>
            </w:pPr>
          </w:p>
        </w:tc>
        <w:tc>
          <w:tcPr>
            <w:tcW w:w="724" w:type="dxa"/>
            <w:vAlign w:val="center"/>
          </w:tcPr>
          <w:p w14:paraId="25B61CCC">
            <w:pPr>
              <w:spacing w:line="360" w:lineRule="auto"/>
              <w:jc w:val="center"/>
              <w:rPr>
                <w:rFonts w:ascii="宋体" w:hAnsi="宋体" w:cs="宋体"/>
                <w:sz w:val="24"/>
              </w:rPr>
            </w:pPr>
          </w:p>
        </w:tc>
        <w:tc>
          <w:tcPr>
            <w:tcW w:w="724" w:type="dxa"/>
            <w:vAlign w:val="center"/>
          </w:tcPr>
          <w:p w14:paraId="2F843CAB">
            <w:pPr>
              <w:spacing w:line="360" w:lineRule="auto"/>
              <w:jc w:val="center"/>
              <w:rPr>
                <w:rFonts w:ascii="宋体" w:hAnsi="宋体" w:cs="宋体"/>
                <w:sz w:val="24"/>
              </w:rPr>
            </w:pPr>
          </w:p>
        </w:tc>
        <w:tc>
          <w:tcPr>
            <w:tcW w:w="724" w:type="dxa"/>
            <w:vAlign w:val="center"/>
          </w:tcPr>
          <w:p w14:paraId="14B1B9D3">
            <w:pPr>
              <w:spacing w:line="360" w:lineRule="auto"/>
              <w:jc w:val="center"/>
              <w:rPr>
                <w:rFonts w:ascii="宋体" w:hAnsi="宋体" w:cs="宋体"/>
                <w:sz w:val="24"/>
              </w:rPr>
            </w:pPr>
          </w:p>
        </w:tc>
        <w:tc>
          <w:tcPr>
            <w:tcW w:w="724" w:type="dxa"/>
            <w:vAlign w:val="center"/>
          </w:tcPr>
          <w:p w14:paraId="66D6677F">
            <w:pPr>
              <w:spacing w:line="360" w:lineRule="auto"/>
              <w:jc w:val="center"/>
              <w:rPr>
                <w:rFonts w:ascii="宋体" w:hAnsi="宋体" w:cs="宋体"/>
                <w:sz w:val="24"/>
              </w:rPr>
            </w:pPr>
          </w:p>
        </w:tc>
        <w:tc>
          <w:tcPr>
            <w:tcW w:w="724" w:type="dxa"/>
            <w:vAlign w:val="center"/>
          </w:tcPr>
          <w:p w14:paraId="16EDDE4C">
            <w:pPr>
              <w:spacing w:line="360" w:lineRule="auto"/>
              <w:jc w:val="center"/>
              <w:rPr>
                <w:rFonts w:ascii="宋体" w:hAnsi="宋体" w:cs="宋体"/>
                <w:sz w:val="24"/>
              </w:rPr>
            </w:pPr>
          </w:p>
        </w:tc>
        <w:tc>
          <w:tcPr>
            <w:tcW w:w="724" w:type="dxa"/>
            <w:vAlign w:val="center"/>
          </w:tcPr>
          <w:p w14:paraId="525FD139">
            <w:pPr>
              <w:spacing w:line="360" w:lineRule="auto"/>
              <w:jc w:val="center"/>
              <w:rPr>
                <w:rFonts w:ascii="宋体" w:hAnsi="宋体" w:cs="宋体"/>
                <w:sz w:val="24"/>
              </w:rPr>
            </w:pPr>
          </w:p>
        </w:tc>
        <w:tc>
          <w:tcPr>
            <w:tcW w:w="727" w:type="dxa"/>
            <w:vAlign w:val="center"/>
          </w:tcPr>
          <w:p w14:paraId="49D916C3">
            <w:pPr>
              <w:spacing w:line="360" w:lineRule="auto"/>
              <w:jc w:val="center"/>
              <w:rPr>
                <w:rFonts w:ascii="宋体" w:hAnsi="宋体" w:cs="宋体"/>
                <w:sz w:val="24"/>
              </w:rPr>
            </w:pPr>
          </w:p>
        </w:tc>
      </w:tr>
      <w:tr w14:paraId="5D9F87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567EC9B9">
            <w:pPr>
              <w:spacing w:line="360" w:lineRule="auto"/>
              <w:jc w:val="center"/>
              <w:rPr>
                <w:rFonts w:ascii="宋体" w:hAnsi="宋体" w:cs="宋体"/>
                <w:sz w:val="24"/>
              </w:rPr>
            </w:pPr>
            <w:r>
              <w:rPr>
                <w:rFonts w:hint="eastAsia" w:ascii="宋体" w:hAnsi="宋体" w:cs="宋体"/>
                <w:sz w:val="24"/>
              </w:rPr>
              <w:t>2</w:t>
            </w:r>
          </w:p>
        </w:tc>
        <w:tc>
          <w:tcPr>
            <w:tcW w:w="2033" w:type="dxa"/>
            <w:vAlign w:val="bottom"/>
          </w:tcPr>
          <w:p w14:paraId="149C6C7F">
            <w:pPr>
              <w:spacing w:line="360" w:lineRule="auto"/>
              <w:jc w:val="center"/>
              <w:rPr>
                <w:rFonts w:ascii="宋体" w:hAnsi="宋体" w:cs="宋体"/>
                <w:sz w:val="24"/>
              </w:rPr>
            </w:pPr>
            <w:r>
              <w:rPr>
                <w:rFonts w:hint="eastAsia" w:ascii="宋体" w:hAnsi="宋体" w:cs="宋体"/>
                <w:sz w:val="24"/>
              </w:rPr>
              <w:t>投标内容</w:t>
            </w:r>
          </w:p>
        </w:tc>
        <w:tc>
          <w:tcPr>
            <w:tcW w:w="722" w:type="dxa"/>
            <w:vAlign w:val="center"/>
          </w:tcPr>
          <w:p w14:paraId="2205D53E">
            <w:pPr>
              <w:spacing w:line="360" w:lineRule="auto"/>
              <w:jc w:val="center"/>
              <w:rPr>
                <w:rFonts w:ascii="宋体" w:hAnsi="宋体" w:cs="宋体"/>
                <w:sz w:val="24"/>
              </w:rPr>
            </w:pPr>
          </w:p>
        </w:tc>
        <w:tc>
          <w:tcPr>
            <w:tcW w:w="724" w:type="dxa"/>
            <w:vAlign w:val="center"/>
          </w:tcPr>
          <w:p w14:paraId="34D9D8B9">
            <w:pPr>
              <w:spacing w:line="360" w:lineRule="auto"/>
              <w:jc w:val="center"/>
              <w:rPr>
                <w:rFonts w:ascii="宋体" w:hAnsi="宋体" w:cs="宋体"/>
                <w:sz w:val="24"/>
              </w:rPr>
            </w:pPr>
          </w:p>
        </w:tc>
        <w:tc>
          <w:tcPr>
            <w:tcW w:w="724" w:type="dxa"/>
            <w:vAlign w:val="center"/>
          </w:tcPr>
          <w:p w14:paraId="11838A76">
            <w:pPr>
              <w:spacing w:line="360" w:lineRule="auto"/>
              <w:jc w:val="center"/>
              <w:rPr>
                <w:rFonts w:ascii="宋体" w:hAnsi="宋体" w:cs="宋体"/>
                <w:sz w:val="24"/>
              </w:rPr>
            </w:pPr>
          </w:p>
        </w:tc>
        <w:tc>
          <w:tcPr>
            <w:tcW w:w="724" w:type="dxa"/>
            <w:vAlign w:val="center"/>
          </w:tcPr>
          <w:p w14:paraId="21A64F51">
            <w:pPr>
              <w:spacing w:line="360" w:lineRule="auto"/>
              <w:jc w:val="center"/>
              <w:rPr>
                <w:rFonts w:ascii="宋体" w:hAnsi="宋体" w:cs="宋体"/>
                <w:sz w:val="24"/>
              </w:rPr>
            </w:pPr>
          </w:p>
        </w:tc>
        <w:tc>
          <w:tcPr>
            <w:tcW w:w="724" w:type="dxa"/>
            <w:vAlign w:val="center"/>
          </w:tcPr>
          <w:p w14:paraId="69CD516B">
            <w:pPr>
              <w:spacing w:line="360" w:lineRule="auto"/>
              <w:jc w:val="center"/>
              <w:rPr>
                <w:rFonts w:ascii="宋体" w:hAnsi="宋体" w:cs="宋体"/>
                <w:sz w:val="24"/>
              </w:rPr>
            </w:pPr>
          </w:p>
        </w:tc>
        <w:tc>
          <w:tcPr>
            <w:tcW w:w="724" w:type="dxa"/>
            <w:vAlign w:val="center"/>
          </w:tcPr>
          <w:p w14:paraId="660EBADC">
            <w:pPr>
              <w:spacing w:line="360" w:lineRule="auto"/>
              <w:jc w:val="center"/>
              <w:rPr>
                <w:rFonts w:ascii="宋体" w:hAnsi="宋体" w:cs="宋体"/>
                <w:sz w:val="24"/>
              </w:rPr>
            </w:pPr>
          </w:p>
        </w:tc>
        <w:tc>
          <w:tcPr>
            <w:tcW w:w="724" w:type="dxa"/>
            <w:vAlign w:val="center"/>
          </w:tcPr>
          <w:p w14:paraId="5C9F9819">
            <w:pPr>
              <w:spacing w:line="360" w:lineRule="auto"/>
              <w:jc w:val="center"/>
              <w:rPr>
                <w:rFonts w:ascii="宋体" w:hAnsi="宋体" w:cs="宋体"/>
                <w:sz w:val="24"/>
              </w:rPr>
            </w:pPr>
          </w:p>
        </w:tc>
        <w:tc>
          <w:tcPr>
            <w:tcW w:w="724" w:type="dxa"/>
            <w:vAlign w:val="center"/>
          </w:tcPr>
          <w:p w14:paraId="6F91DB84">
            <w:pPr>
              <w:spacing w:line="360" w:lineRule="auto"/>
              <w:jc w:val="center"/>
              <w:rPr>
                <w:rFonts w:ascii="宋体" w:hAnsi="宋体" w:cs="宋体"/>
                <w:sz w:val="24"/>
              </w:rPr>
            </w:pPr>
          </w:p>
        </w:tc>
        <w:tc>
          <w:tcPr>
            <w:tcW w:w="727" w:type="dxa"/>
            <w:vAlign w:val="center"/>
          </w:tcPr>
          <w:p w14:paraId="69C9C9C0">
            <w:pPr>
              <w:spacing w:line="360" w:lineRule="auto"/>
              <w:jc w:val="center"/>
              <w:rPr>
                <w:rFonts w:ascii="宋体" w:hAnsi="宋体" w:cs="宋体"/>
                <w:sz w:val="24"/>
              </w:rPr>
            </w:pPr>
          </w:p>
        </w:tc>
      </w:tr>
      <w:tr w14:paraId="21A754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4AF6868C">
            <w:pPr>
              <w:spacing w:line="360" w:lineRule="auto"/>
              <w:jc w:val="center"/>
              <w:rPr>
                <w:rFonts w:ascii="宋体" w:hAnsi="宋体" w:cs="宋体"/>
                <w:sz w:val="24"/>
              </w:rPr>
            </w:pPr>
            <w:r>
              <w:rPr>
                <w:rFonts w:hint="eastAsia" w:ascii="宋体" w:hAnsi="宋体" w:cs="宋体"/>
                <w:sz w:val="24"/>
              </w:rPr>
              <w:t>3</w:t>
            </w:r>
          </w:p>
        </w:tc>
        <w:tc>
          <w:tcPr>
            <w:tcW w:w="2033" w:type="dxa"/>
            <w:vAlign w:val="bottom"/>
          </w:tcPr>
          <w:p w14:paraId="5C180150">
            <w:pPr>
              <w:spacing w:line="360" w:lineRule="auto"/>
              <w:jc w:val="center"/>
              <w:rPr>
                <w:rFonts w:ascii="宋体" w:hAnsi="宋体" w:cs="宋体"/>
                <w:sz w:val="24"/>
              </w:rPr>
            </w:pPr>
            <w:r>
              <w:rPr>
                <w:rFonts w:hint="eastAsia" w:ascii="宋体" w:hAnsi="宋体" w:cs="宋体"/>
                <w:sz w:val="24"/>
              </w:rPr>
              <w:t>工期</w:t>
            </w:r>
          </w:p>
        </w:tc>
        <w:tc>
          <w:tcPr>
            <w:tcW w:w="722" w:type="dxa"/>
            <w:vAlign w:val="center"/>
          </w:tcPr>
          <w:p w14:paraId="771569BC">
            <w:pPr>
              <w:spacing w:line="360" w:lineRule="auto"/>
              <w:jc w:val="center"/>
              <w:rPr>
                <w:rFonts w:ascii="宋体" w:hAnsi="宋体" w:cs="宋体"/>
                <w:sz w:val="24"/>
              </w:rPr>
            </w:pPr>
          </w:p>
        </w:tc>
        <w:tc>
          <w:tcPr>
            <w:tcW w:w="724" w:type="dxa"/>
            <w:vAlign w:val="center"/>
          </w:tcPr>
          <w:p w14:paraId="11F35462">
            <w:pPr>
              <w:spacing w:line="360" w:lineRule="auto"/>
              <w:jc w:val="center"/>
              <w:rPr>
                <w:rFonts w:ascii="宋体" w:hAnsi="宋体" w:cs="宋体"/>
                <w:sz w:val="24"/>
              </w:rPr>
            </w:pPr>
          </w:p>
        </w:tc>
        <w:tc>
          <w:tcPr>
            <w:tcW w:w="724" w:type="dxa"/>
            <w:vAlign w:val="center"/>
          </w:tcPr>
          <w:p w14:paraId="41781B48">
            <w:pPr>
              <w:spacing w:line="360" w:lineRule="auto"/>
              <w:jc w:val="center"/>
              <w:rPr>
                <w:rFonts w:ascii="宋体" w:hAnsi="宋体" w:cs="宋体"/>
                <w:sz w:val="24"/>
              </w:rPr>
            </w:pPr>
          </w:p>
        </w:tc>
        <w:tc>
          <w:tcPr>
            <w:tcW w:w="724" w:type="dxa"/>
            <w:vAlign w:val="center"/>
          </w:tcPr>
          <w:p w14:paraId="68C0BD3C">
            <w:pPr>
              <w:spacing w:line="360" w:lineRule="auto"/>
              <w:jc w:val="center"/>
              <w:rPr>
                <w:rFonts w:ascii="宋体" w:hAnsi="宋体" w:cs="宋体"/>
                <w:sz w:val="24"/>
              </w:rPr>
            </w:pPr>
          </w:p>
        </w:tc>
        <w:tc>
          <w:tcPr>
            <w:tcW w:w="724" w:type="dxa"/>
            <w:vAlign w:val="center"/>
          </w:tcPr>
          <w:p w14:paraId="715997DE">
            <w:pPr>
              <w:spacing w:line="360" w:lineRule="auto"/>
              <w:jc w:val="center"/>
              <w:rPr>
                <w:rFonts w:ascii="宋体" w:hAnsi="宋体" w:cs="宋体"/>
                <w:sz w:val="24"/>
              </w:rPr>
            </w:pPr>
          </w:p>
        </w:tc>
        <w:tc>
          <w:tcPr>
            <w:tcW w:w="724" w:type="dxa"/>
            <w:vAlign w:val="center"/>
          </w:tcPr>
          <w:p w14:paraId="0FB7804A">
            <w:pPr>
              <w:spacing w:line="360" w:lineRule="auto"/>
              <w:jc w:val="center"/>
              <w:rPr>
                <w:rFonts w:ascii="宋体" w:hAnsi="宋体" w:cs="宋体"/>
                <w:sz w:val="24"/>
              </w:rPr>
            </w:pPr>
          </w:p>
        </w:tc>
        <w:tc>
          <w:tcPr>
            <w:tcW w:w="724" w:type="dxa"/>
            <w:vAlign w:val="center"/>
          </w:tcPr>
          <w:p w14:paraId="03279600">
            <w:pPr>
              <w:spacing w:line="360" w:lineRule="auto"/>
              <w:jc w:val="center"/>
              <w:rPr>
                <w:rFonts w:ascii="宋体" w:hAnsi="宋体" w:cs="宋体"/>
                <w:sz w:val="24"/>
              </w:rPr>
            </w:pPr>
          </w:p>
        </w:tc>
        <w:tc>
          <w:tcPr>
            <w:tcW w:w="724" w:type="dxa"/>
            <w:vAlign w:val="center"/>
          </w:tcPr>
          <w:p w14:paraId="0BEB93BF">
            <w:pPr>
              <w:spacing w:line="360" w:lineRule="auto"/>
              <w:jc w:val="center"/>
              <w:rPr>
                <w:rFonts w:ascii="宋体" w:hAnsi="宋体" w:cs="宋体"/>
                <w:sz w:val="24"/>
              </w:rPr>
            </w:pPr>
          </w:p>
        </w:tc>
        <w:tc>
          <w:tcPr>
            <w:tcW w:w="727" w:type="dxa"/>
            <w:vAlign w:val="center"/>
          </w:tcPr>
          <w:p w14:paraId="009C027A">
            <w:pPr>
              <w:spacing w:line="360" w:lineRule="auto"/>
              <w:jc w:val="center"/>
              <w:rPr>
                <w:rFonts w:ascii="宋体" w:hAnsi="宋体" w:cs="宋体"/>
                <w:sz w:val="24"/>
              </w:rPr>
            </w:pPr>
          </w:p>
        </w:tc>
      </w:tr>
      <w:tr w14:paraId="52625B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161CECF7">
            <w:pPr>
              <w:spacing w:line="360" w:lineRule="auto"/>
              <w:jc w:val="center"/>
              <w:rPr>
                <w:rFonts w:ascii="宋体" w:hAnsi="宋体" w:cs="宋体"/>
                <w:sz w:val="24"/>
              </w:rPr>
            </w:pPr>
            <w:r>
              <w:rPr>
                <w:rFonts w:hint="eastAsia" w:ascii="宋体" w:hAnsi="宋体" w:cs="宋体"/>
                <w:sz w:val="24"/>
              </w:rPr>
              <w:t>4</w:t>
            </w:r>
          </w:p>
        </w:tc>
        <w:tc>
          <w:tcPr>
            <w:tcW w:w="2033" w:type="dxa"/>
            <w:vAlign w:val="bottom"/>
          </w:tcPr>
          <w:p w14:paraId="7190E278">
            <w:pPr>
              <w:spacing w:line="360" w:lineRule="auto"/>
              <w:jc w:val="center"/>
              <w:rPr>
                <w:rFonts w:ascii="宋体" w:hAnsi="宋体" w:cs="宋体"/>
                <w:sz w:val="24"/>
              </w:rPr>
            </w:pPr>
            <w:r>
              <w:rPr>
                <w:rFonts w:hint="eastAsia" w:ascii="宋体" w:hAnsi="宋体" w:cs="宋体"/>
                <w:sz w:val="24"/>
              </w:rPr>
              <w:t>质量标准</w:t>
            </w:r>
          </w:p>
        </w:tc>
        <w:tc>
          <w:tcPr>
            <w:tcW w:w="722" w:type="dxa"/>
            <w:vAlign w:val="center"/>
          </w:tcPr>
          <w:p w14:paraId="5A3A6207">
            <w:pPr>
              <w:spacing w:line="360" w:lineRule="auto"/>
              <w:jc w:val="center"/>
              <w:rPr>
                <w:rFonts w:ascii="宋体" w:hAnsi="宋体" w:cs="宋体"/>
                <w:sz w:val="24"/>
              </w:rPr>
            </w:pPr>
          </w:p>
        </w:tc>
        <w:tc>
          <w:tcPr>
            <w:tcW w:w="724" w:type="dxa"/>
            <w:vAlign w:val="center"/>
          </w:tcPr>
          <w:p w14:paraId="39E50886">
            <w:pPr>
              <w:spacing w:line="360" w:lineRule="auto"/>
              <w:jc w:val="center"/>
              <w:rPr>
                <w:rFonts w:ascii="宋体" w:hAnsi="宋体" w:cs="宋体"/>
                <w:sz w:val="24"/>
              </w:rPr>
            </w:pPr>
          </w:p>
        </w:tc>
        <w:tc>
          <w:tcPr>
            <w:tcW w:w="724" w:type="dxa"/>
            <w:vAlign w:val="center"/>
          </w:tcPr>
          <w:p w14:paraId="1EE0F7BF">
            <w:pPr>
              <w:spacing w:line="360" w:lineRule="auto"/>
              <w:jc w:val="center"/>
              <w:rPr>
                <w:rFonts w:ascii="宋体" w:hAnsi="宋体" w:cs="宋体"/>
                <w:sz w:val="24"/>
              </w:rPr>
            </w:pPr>
          </w:p>
        </w:tc>
        <w:tc>
          <w:tcPr>
            <w:tcW w:w="724" w:type="dxa"/>
            <w:vAlign w:val="center"/>
          </w:tcPr>
          <w:p w14:paraId="32DA1245">
            <w:pPr>
              <w:spacing w:line="360" w:lineRule="auto"/>
              <w:jc w:val="center"/>
              <w:rPr>
                <w:rFonts w:ascii="宋体" w:hAnsi="宋体" w:cs="宋体"/>
                <w:sz w:val="24"/>
              </w:rPr>
            </w:pPr>
          </w:p>
        </w:tc>
        <w:tc>
          <w:tcPr>
            <w:tcW w:w="724" w:type="dxa"/>
            <w:vAlign w:val="center"/>
          </w:tcPr>
          <w:p w14:paraId="2D3166D9">
            <w:pPr>
              <w:spacing w:line="360" w:lineRule="auto"/>
              <w:jc w:val="center"/>
              <w:rPr>
                <w:rFonts w:ascii="宋体" w:hAnsi="宋体" w:cs="宋体"/>
                <w:sz w:val="24"/>
              </w:rPr>
            </w:pPr>
          </w:p>
        </w:tc>
        <w:tc>
          <w:tcPr>
            <w:tcW w:w="724" w:type="dxa"/>
            <w:vAlign w:val="center"/>
          </w:tcPr>
          <w:p w14:paraId="25DB79F4">
            <w:pPr>
              <w:spacing w:line="360" w:lineRule="auto"/>
              <w:jc w:val="center"/>
              <w:rPr>
                <w:rFonts w:ascii="宋体" w:hAnsi="宋体" w:cs="宋体"/>
                <w:sz w:val="24"/>
              </w:rPr>
            </w:pPr>
          </w:p>
        </w:tc>
        <w:tc>
          <w:tcPr>
            <w:tcW w:w="724" w:type="dxa"/>
            <w:vAlign w:val="center"/>
          </w:tcPr>
          <w:p w14:paraId="07FC9E45">
            <w:pPr>
              <w:spacing w:line="360" w:lineRule="auto"/>
              <w:jc w:val="center"/>
              <w:rPr>
                <w:rFonts w:ascii="宋体" w:hAnsi="宋体" w:cs="宋体"/>
                <w:sz w:val="24"/>
              </w:rPr>
            </w:pPr>
          </w:p>
        </w:tc>
        <w:tc>
          <w:tcPr>
            <w:tcW w:w="724" w:type="dxa"/>
            <w:vAlign w:val="center"/>
          </w:tcPr>
          <w:p w14:paraId="0CB2A180">
            <w:pPr>
              <w:spacing w:line="360" w:lineRule="auto"/>
              <w:jc w:val="center"/>
              <w:rPr>
                <w:rFonts w:ascii="宋体" w:hAnsi="宋体" w:cs="宋体"/>
                <w:sz w:val="24"/>
              </w:rPr>
            </w:pPr>
          </w:p>
        </w:tc>
        <w:tc>
          <w:tcPr>
            <w:tcW w:w="727" w:type="dxa"/>
            <w:vAlign w:val="center"/>
          </w:tcPr>
          <w:p w14:paraId="6FBA256C">
            <w:pPr>
              <w:spacing w:line="360" w:lineRule="auto"/>
              <w:jc w:val="center"/>
              <w:rPr>
                <w:rFonts w:ascii="宋体" w:hAnsi="宋体" w:cs="宋体"/>
                <w:sz w:val="24"/>
              </w:rPr>
            </w:pPr>
          </w:p>
        </w:tc>
      </w:tr>
      <w:tr w14:paraId="0F07E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536F4960">
            <w:pPr>
              <w:spacing w:line="360" w:lineRule="auto"/>
              <w:jc w:val="center"/>
              <w:rPr>
                <w:rFonts w:ascii="宋体" w:hAnsi="宋体" w:cs="宋体"/>
                <w:sz w:val="24"/>
              </w:rPr>
            </w:pPr>
            <w:r>
              <w:rPr>
                <w:rFonts w:hint="eastAsia" w:ascii="宋体" w:hAnsi="宋体" w:cs="宋体"/>
                <w:sz w:val="24"/>
              </w:rPr>
              <w:t>5</w:t>
            </w:r>
          </w:p>
        </w:tc>
        <w:tc>
          <w:tcPr>
            <w:tcW w:w="2033" w:type="dxa"/>
            <w:vAlign w:val="bottom"/>
          </w:tcPr>
          <w:p w14:paraId="30E2396B">
            <w:pPr>
              <w:spacing w:line="360" w:lineRule="auto"/>
              <w:jc w:val="center"/>
              <w:rPr>
                <w:rFonts w:ascii="宋体" w:hAnsi="宋体" w:cs="宋体"/>
                <w:sz w:val="24"/>
              </w:rPr>
            </w:pPr>
            <w:r>
              <w:rPr>
                <w:rFonts w:hint="eastAsia" w:ascii="宋体" w:hAnsi="宋体" w:cs="宋体"/>
                <w:sz w:val="24"/>
              </w:rPr>
              <w:t>投标有效期</w:t>
            </w:r>
          </w:p>
        </w:tc>
        <w:tc>
          <w:tcPr>
            <w:tcW w:w="722" w:type="dxa"/>
            <w:vAlign w:val="center"/>
          </w:tcPr>
          <w:p w14:paraId="5BAA0A5C">
            <w:pPr>
              <w:spacing w:line="360" w:lineRule="auto"/>
              <w:jc w:val="center"/>
              <w:rPr>
                <w:rFonts w:ascii="宋体" w:hAnsi="宋体" w:cs="宋体"/>
                <w:sz w:val="24"/>
              </w:rPr>
            </w:pPr>
          </w:p>
        </w:tc>
        <w:tc>
          <w:tcPr>
            <w:tcW w:w="724" w:type="dxa"/>
            <w:vAlign w:val="center"/>
          </w:tcPr>
          <w:p w14:paraId="787F66F9">
            <w:pPr>
              <w:spacing w:line="360" w:lineRule="auto"/>
              <w:jc w:val="center"/>
              <w:rPr>
                <w:rFonts w:ascii="宋体" w:hAnsi="宋体" w:cs="宋体"/>
                <w:sz w:val="24"/>
              </w:rPr>
            </w:pPr>
          </w:p>
        </w:tc>
        <w:tc>
          <w:tcPr>
            <w:tcW w:w="724" w:type="dxa"/>
            <w:vAlign w:val="center"/>
          </w:tcPr>
          <w:p w14:paraId="24E811E7">
            <w:pPr>
              <w:spacing w:line="360" w:lineRule="auto"/>
              <w:jc w:val="center"/>
              <w:rPr>
                <w:rFonts w:ascii="宋体" w:hAnsi="宋体" w:cs="宋体"/>
                <w:sz w:val="24"/>
              </w:rPr>
            </w:pPr>
          </w:p>
        </w:tc>
        <w:tc>
          <w:tcPr>
            <w:tcW w:w="724" w:type="dxa"/>
            <w:vAlign w:val="center"/>
          </w:tcPr>
          <w:p w14:paraId="674ACD5A">
            <w:pPr>
              <w:spacing w:line="360" w:lineRule="auto"/>
              <w:jc w:val="center"/>
              <w:rPr>
                <w:rFonts w:ascii="宋体" w:hAnsi="宋体" w:cs="宋体"/>
                <w:sz w:val="24"/>
              </w:rPr>
            </w:pPr>
          </w:p>
        </w:tc>
        <w:tc>
          <w:tcPr>
            <w:tcW w:w="724" w:type="dxa"/>
            <w:vAlign w:val="center"/>
          </w:tcPr>
          <w:p w14:paraId="7EE3411F">
            <w:pPr>
              <w:spacing w:line="360" w:lineRule="auto"/>
              <w:jc w:val="center"/>
              <w:rPr>
                <w:rFonts w:ascii="宋体" w:hAnsi="宋体" w:cs="宋体"/>
                <w:sz w:val="24"/>
              </w:rPr>
            </w:pPr>
          </w:p>
        </w:tc>
        <w:tc>
          <w:tcPr>
            <w:tcW w:w="724" w:type="dxa"/>
            <w:vAlign w:val="center"/>
          </w:tcPr>
          <w:p w14:paraId="63C14A7B">
            <w:pPr>
              <w:spacing w:line="360" w:lineRule="auto"/>
              <w:jc w:val="center"/>
              <w:rPr>
                <w:rFonts w:ascii="宋体" w:hAnsi="宋体" w:cs="宋体"/>
                <w:sz w:val="24"/>
              </w:rPr>
            </w:pPr>
          </w:p>
        </w:tc>
        <w:tc>
          <w:tcPr>
            <w:tcW w:w="724" w:type="dxa"/>
            <w:vAlign w:val="center"/>
          </w:tcPr>
          <w:p w14:paraId="47F976FB">
            <w:pPr>
              <w:spacing w:line="360" w:lineRule="auto"/>
              <w:jc w:val="center"/>
              <w:rPr>
                <w:rFonts w:ascii="宋体" w:hAnsi="宋体" w:cs="宋体"/>
                <w:sz w:val="24"/>
              </w:rPr>
            </w:pPr>
          </w:p>
        </w:tc>
        <w:tc>
          <w:tcPr>
            <w:tcW w:w="724" w:type="dxa"/>
            <w:vAlign w:val="center"/>
          </w:tcPr>
          <w:p w14:paraId="3C5B3672">
            <w:pPr>
              <w:spacing w:line="360" w:lineRule="auto"/>
              <w:jc w:val="center"/>
              <w:rPr>
                <w:rFonts w:ascii="宋体" w:hAnsi="宋体" w:cs="宋体"/>
                <w:sz w:val="24"/>
              </w:rPr>
            </w:pPr>
          </w:p>
        </w:tc>
        <w:tc>
          <w:tcPr>
            <w:tcW w:w="727" w:type="dxa"/>
            <w:vAlign w:val="center"/>
          </w:tcPr>
          <w:p w14:paraId="50F51829">
            <w:pPr>
              <w:spacing w:line="360" w:lineRule="auto"/>
              <w:jc w:val="center"/>
              <w:rPr>
                <w:rFonts w:ascii="宋体" w:hAnsi="宋体" w:cs="宋体"/>
                <w:sz w:val="24"/>
              </w:rPr>
            </w:pPr>
          </w:p>
        </w:tc>
      </w:tr>
      <w:tr w14:paraId="6CBD6A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6A85D3C6">
            <w:pPr>
              <w:spacing w:line="360" w:lineRule="auto"/>
              <w:jc w:val="center"/>
              <w:rPr>
                <w:rFonts w:ascii="宋体" w:hAnsi="宋体" w:cs="宋体"/>
                <w:sz w:val="24"/>
              </w:rPr>
            </w:pPr>
            <w:r>
              <w:rPr>
                <w:rFonts w:hint="eastAsia" w:ascii="宋体" w:hAnsi="宋体" w:cs="宋体"/>
                <w:sz w:val="24"/>
              </w:rPr>
              <w:t>6</w:t>
            </w:r>
          </w:p>
        </w:tc>
        <w:tc>
          <w:tcPr>
            <w:tcW w:w="2033" w:type="dxa"/>
            <w:vAlign w:val="bottom"/>
          </w:tcPr>
          <w:p w14:paraId="289B0222">
            <w:pPr>
              <w:spacing w:line="360" w:lineRule="auto"/>
              <w:jc w:val="center"/>
              <w:rPr>
                <w:rFonts w:ascii="宋体" w:hAnsi="宋体" w:cs="宋体"/>
                <w:sz w:val="24"/>
              </w:rPr>
            </w:pPr>
            <w:r>
              <w:rPr>
                <w:rFonts w:hint="eastAsia" w:ascii="宋体" w:hAnsi="宋体" w:cs="宋体"/>
                <w:sz w:val="24"/>
              </w:rPr>
              <w:t>投标保证金</w:t>
            </w:r>
          </w:p>
        </w:tc>
        <w:tc>
          <w:tcPr>
            <w:tcW w:w="722" w:type="dxa"/>
            <w:vAlign w:val="center"/>
          </w:tcPr>
          <w:p w14:paraId="1513708D">
            <w:pPr>
              <w:spacing w:line="360" w:lineRule="auto"/>
              <w:jc w:val="center"/>
              <w:rPr>
                <w:rFonts w:ascii="宋体" w:hAnsi="宋体" w:cs="宋体"/>
                <w:sz w:val="24"/>
              </w:rPr>
            </w:pPr>
          </w:p>
        </w:tc>
        <w:tc>
          <w:tcPr>
            <w:tcW w:w="724" w:type="dxa"/>
            <w:vAlign w:val="center"/>
          </w:tcPr>
          <w:p w14:paraId="03A993FC">
            <w:pPr>
              <w:spacing w:line="360" w:lineRule="auto"/>
              <w:jc w:val="center"/>
              <w:rPr>
                <w:rFonts w:ascii="宋体" w:hAnsi="宋体" w:cs="宋体"/>
                <w:sz w:val="24"/>
              </w:rPr>
            </w:pPr>
          </w:p>
        </w:tc>
        <w:tc>
          <w:tcPr>
            <w:tcW w:w="724" w:type="dxa"/>
            <w:vAlign w:val="center"/>
          </w:tcPr>
          <w:p w14:paraId="445610CA">
            <w:pPr>
              <w:spacing w:line="360" w:lineRule="auto"/>
              <w:jc w:val="center"/>
              <w:rPr>
                <w:rFonts w:ascii="宋体" w:hAnsi="宋体" w:cs="宋体"/>
                <w:sz w:val="24"/>
              </w:rPr>
            </w:pPr>
          </w:p>
        </w:tc>
        <w:tc>
          <w:tcPr>
            <w:tcW w:w="724" w:type="dxa"/>
            <w:vAlign w:val="center"/>
          </w:tcPr>
          <w:p w14:paraId="4C4DBC18">
            <w:pPr>
              <w:spacing w:line="360" w:lineRule="auto"/>
              <w:jc w:val="center"/>
              <w:rPr>
                <w:rFonts w:ascii="宋体" w:hAnsi="宋体" w:cs="宋体"/>
                <w:sz w:val="24"/>
              </w:rPr>
            </w:pPr>
          </w:p>
        </w:tc>
        <w:tc>
          <w:tcPr>
            <w:tcW w:w="724" w:type="dxa"/>
            <w:vAlign w:val="center"/>
          </w:tcPr>
          <w:p w14:paraId="1E248718">
            <w:pPr>
              <w:spacing w:line="360" w:lineRule="auto"/>
              <w:jc w:val="center"/>
              <w:rPr>
                <w:rFonts w:ascii="宋体" w:hAnsi="宋体" w:cs="宋体"/>
                <w:sz w:val="24"/>
              </w:rPr>
            </w:pPr>
          </w:p>
        </w:tc>
        <w:tc>
          <w:tcPr>
            <w:tcW w:w="724" w:type="dxa"/>
            <w:vAlign w:val="center"/>
          </w:tcPr>
          <w:p w14:paraId="22F0B57D">
            <w:pPr>
              <w:spacing w:line="360" w:lineRule="auto"/>
              <w:jc w:val="center"/>
              <w:rPr>
                <w:rFonts w:ascii="宋体" w:hAnsi="宋体" w:cs="宋体"/>
                <w:sz w:val="24"/>
              </w:rPr>
            </w:pPr>
          </w:p>
        </w:tc>
        <w:tc>
          <w:tcPr>
            <w:tcW w:w="724" w:type="dxa"/>
            <w:vAlign w:val="center"/>
          </w:tcPr>
          <w:p w14:paraId="62695A2B">
            <w:pPr>
              <w:spacing w:line="360" w:lineRule="auto"/>
              <w:jc w:val="center"/>
              <w:rPr>
                <w:rFonts w:ascii="宋体" w:hAnsi="宋体" w:cs="宋体"/>
                <w:sz w:val="24"/>
              </w:rPr>
            </w:pPr>
          </w:p>
        </w:tc>
        <w:tc>
          <w:tcPr>
            <w:tcW w:w="724" w:type="dxa"/>
            <w:vAlign w:val="center"/>
          </w:tcPr>
          <w:p w14:paraId="71D5CA26">
            <w:pPr>
              <w:spacing w:line="360" w:lineRule="auto"/>
              <w:jc w:val="center"/>
              <w:rPr>
                <w:rFonts w:ascii="宋体" w:hAnsi="宋体" w:cs="宋体"/>
                <w:sz w:val="24"/>
              </w:rPr>
            </w:pPr>
          </w:p>
        </w:tc>
        <w:tc>
          <w:tcPr>
            <w:tcW w:w="727" w:type="dxa"/>
            <w:vAlign w:val="center"/>
          </w:tcPr>
          <w:p w14:paraId="5B229C2E">
            <w:pPr>
              <w:spacing w:line="360" w:lineRule="auto"/>
              <w:jc w:val="center"/>
              <w:rPr>
                <w:rFonts w:ascii="宋体" w:hAnsi="宋体" w:cs="宋体"/>
                <w:sz w:val="24"/>
              </w:rPr>
            </w:pPr>
          </w:p>
        </w:tc>
      </w:tr>
      <w:tr w14:paraId="2427E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2D372645">
            <w:pPr>
              <w:spacing w:line="360" w:lineRule="auto"/>
              <w:jc w:val="center"/>
              <w:rPr>
                <w:rFonts w:ascii="宋体" w:hAnsi="宋体" w:cs="宋体"/>
                <w:sz w:val="24"/>
              </w:rPr>
            </w:pPr>
            <w:r>
              <w:rPr>
                <w:rFonts w:hint="eastAsia" w:ascii="宋体" w:hAnsi="宋体" w:cs="宋体"/>
                <w:sz w:val="24"/>
              </w:rPr>
              <w:t>7</w:t>
            </w:r>
          </w:p>
        </w:tc>
        <w:tc>
          <w:tcPr>
            <w:tcW w:w="2033" w:type="dxa"/>
            <w:vAlign w:val="bottom"/>
          </w:tcPr>
          <w:p w14:paraId="10952165">
            <w:pPr>
              <w:spacing w:line="360" w:lineRule="auto"/>
              <w:jc w:val="center"/>
              <w:rPr>
                <w:rFonts w:ascii="宋体" w:hAnsi="宋体" w:cs="宋体"/>
                <w:sz w:val="24"/>
              </w:rPr>
            </w:pPr>
            <w:r>
              <w:rPr>
                <w:rFonts w:hint="eastAsia" w:ascii="宋体" w:hAnsi="宋体" w:cs="宋体"/>
                <w:sz w:val="24"/>
              </w:rPr>
              <w:t>权利义务</w:t>
            </w:r>
          </w:p>
        </w:tc>
        <w:tc>
          <w:tcPr>
            <w:tcW w:w="722" w:type="dxa"/>
            <w:vAlign w:val="center"/>
          </w:tcPr>
          <w:p w14:paraId="4B645C5E">
            <w:pPr>
              <w:spacing w:line="360" w:lineRule="auto"/>
              <w:jc w:val="center"/>
              <w:rPr>
                <w:rFonts w:ascii="宋体" w:hAnsi="宋体" w:cs="宋体"/>
                <w:sz w:val="24"/>
              </w:rPr>
            </w:pPr>
          </w:p>
        </w:tc>
        <w:tc>
          <w:tcPr>
            <w:tcW w:w="724" w:type="dxa"/>
            <w:vAlign w:val="center"/>
          </w:tcPr>
          <w:p w14:paraId="55BCA663">
            <w:pPr>
              <w:spacing w:line="360" w:lineRule="auto"/>
              <w:jc w:val="center"/>
              <w:rPr>
                <w:rFonts w:ascii="宋体" w:hAnsi="宋体" w:cs="宋体"/>
                <w:sz w:val="24"/>
              </w:rPr>
            </w:pPr>
          </w:p>
        </w:tc>
        <w:tc>
          <w:tcPr>
            <w:tcW w:w="724" w:type="dxa"/>
            <w:vAlign w:val="center"/>
          </w:tcPr>
          <w:p w14:paraId="4B88300A">
            <w:pPr>
              <w:spacing w:line="360" w:lineRule="auto"/>
              <w:jc w:val="center"/>
              <w:rPr>
                <w:rFonts w:ascii="宋体" w:hAnsi="宋体" w:cs="宋体"/>
                <w:sz w:val="24"/>
              </w:rPr>
            </w:pPr>
          </w:p>
        </w:tc>
        <w:tc>
          <w:tcPr>
            <w:tcW w:w="724" w:type="dxa"/>
            <w:vAlign w:val="center"/>
          </w:tcPr>
          <w:p w14:paraId="2E7121F6">
            <w:pPr>
              <w:spacing w:line="360" w:lineRule="auto"/>
              <w:jc w:val="center"/>
              <w:rPr>
                <w:rFonts w:ascii="宋体" w:hAnsi="宋体" w:cs="宋体"/>
                <w:sz w:val="24"/>
              </w:rPr>
            </w:pPr>
          </w:p>
        </w:tc>
        <w:tc>
          <w:tcPr>
            <w:tcW w:w="724" w:type="dxa"/>
            <w:vAlign w:val="center"/>
          </w:tcPr>
          <w:p w14:paraId="11696FF3">
            <w:pPr>
              <w:spacing w:line="360" w:lineRule="auto"/>
              <w:jc w:val="center"/>
              <w:rPr>
                <w:rFonts w:ascii="宋体" w:hAnsi="宋体" w:cs="宋体"/>
                <w:sz w:val="24"/>
              </w:rPr>
            </w:pPr>
          </w:p>
        </w:tc>
        <w:tc>
          <w:tcPr>
            <w:tcW w:w="724" w:type="dxa"/>
            <w:vAlign w:val="center"/>
          </w:tcPr>
          <w:p w14:paraId="5E3B47D6">
            <w:pPr>
              <w:spacing w:line="360" w:lineRule="auto"/>
              <w:jc w:val="center"/>
              <w:rPr>
                <w:rFonts w:ascii="宋体" w:hAnsi="宋体" w:cs="宋体"/>
                <w:sz w:val="24"/>
              </w:rPr>
            </w:pPr>
          </w:p>
        </w:tc>
        <w:tc>
          <w:tcPr>
            <w:tcW w:w="724" w:type="dxa"/>
            <w:vAlign w:val="center"/>
          </w:tcPr>
          <w:p w14:paraId="7D117716">
            <w:pPr>
              <w:spacing w:line="360" w:lineRule="auto"/>
              <w:jc w:val="center"/>
              <w:rPr>
                <w:rFonts w:ascii="宋体" w:hAnsi="宋体" w:cs="宋体"/>
                <w:sz w:val="24"/>
              </w:rPr>
            </w:pPr>
          </w:p>
        </w:tc>
        <w:tc>
          <w:tcPr>
            <w:tcW w:w="724" w:type="dxa"/>
            <w:vAlign w:val="center"/>
          </w:tcPr>
          <w:p w14:paraId="129B8542">
            <w:pPr>
              <w:spacing w:line="360" w:lineRule="auto"/>
              <w:jc w:val="center"/>
              <w:rPr>
                <w:rFonts w:ascii="宋体" w:hAnsi="宋体" w:cs="宋体"/>
                <w:sz w:val="24"/>
              </w:rPr>
            </w:pPr>
          </w:p>
        </w:tc>
        <w:tc>
          <w:tcPr>
            <w:tcW w:w="727" w:type="dxa"/>
            <w:vAlign w:val="center"/>
          </w:tcPr>
          <w:p w14:paraId="2F14C1DF">
            <w:pPr>
              <w:spacing w:line="360" w:lineRule="auto"/>
              <w:jc w:val="center"/>
              <w:rPr>
                <w:rFonts w:ascii="宋体" w:hAnsi="宋体" w:cs="宋体"/>
                <w:sz w:val="24"/>
              </w:rPr>
            </w:pPr>
          </w:p>
        </w:tc>
      </w:tr>
      <w:tr w14:paraId="595572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61E7DF8F">
            <w:pPr>
              <w:spacing w:line="360" w:lineRule="auto"/>
              <w:jc w:val="center"/>
              <w:rPr>
                <w:rFonts w:ascii="宋体" w:hAnsi="宋体" w:cs="宋体"/>
                <w:sz w:val="24"/>
              </w:rPr>
            </w:pPr>
            <w:r>
              <w:rPr>
                <w:rFonts w:hint="eastAsia" w:ascii="宋体" w:hAnsi="宋体" w:cs="宋体"/>
                <w:sz w:val="24"/>
              </w:rPr>
              <w:t>8</w:t>
            </w:r>
          </w:p>
        </w:tc>
        <w:tc>
          <w:tcPr>
            <w:tcW w:w="2033" w:type="dxa"/>
            <w:vAlign w:val="bottom"/>
          </w:tcPr>
          <w:p w14:paraId="5C507249">
            <w:pPr>
              <w:spacing w:line="360" w:lineRule="auto"/>
              <w:jc w:val="center"/>
              <w:rPr>
                <w:rFonts w:ascii="宋体" w:hAnsi="宋体" w:cs="宋体"/>
                <w:sz w:val="24"/>
              </w:rPr>
            </w:pPr>
            <w:r>
              <w:rPr>
                <w:rFonts w:hint="eastAsia" w:ascii="宋体" w:hAnsi="宋体" w:cs="宋体"/>
                <w:sz w:val="24"/>
              </w:rPr>
              <w:t>承包人建议</w:t>
            </w:r>
          </w:p>
        </w:tc>
        <w:tc>
          <w:tcPr>
            <w:tcW w:w="722" w:type="dxa"/>
            <w:vAlign w:val="center"/>
          </w:tcPr>
          <w:p w14:paraId="04418298">
            <w:pPr>
              <w:spacing w:line="360" w:lineRule="auto"/>
              <w:jc w:val="center"/>
              <w:rPr>
                <w:rFonts w:ascii="宋体" w:hAnsi="宋体" w:cs="宋体"/>
                <w:sz w:val="24"/>
              </w:rPr>
            </w:pPr>
          </w:p>
        </w:tc>
        <w:tc>
          <w:tcPr>
            <w:tcW w:w="724" w:type="dxa"/>
            <w:vAlign w:val="center"/>
          </w:tcPr>
          <w:p w14:paraId="28375966">
            <w:pPr>
              <w:spacing w:line="360" w:lineRule="auto"/>
              <w:jc w:val="center"/>
              <w:rPr>
                <w:rFonts w:ascii="宋体" w:hAnsi="宋体" w:cs="宋体"/>
                <w:sz w:val="24"/>
              </w:rPr>
            </w:pPr>
          </w:p>
        </w:tc>
        <w:tc>
          <w:tcPr>
            <w:tcW w:w="724" w:type="dxa"/>
            <w:vAlign w:val="center"/>
          </w:tcPr>
          <w:p w14:paraId="5BE16A2C">
            <w:pPr>
              <w:spacing w:line="360" w:lineRule="auto"/>
              <w:jc w:val="center"/>
              <w:rPr>
                <w:rFonts w:ascii="宋体" w:hAnsi="宋体" w:cs="宋体"/>
                <w:sz w:val="24"/>
              </w:rPr>
            </w:pPr>
          </w:p>
        </w:tc>
        <w:tc>
          <w:tcPr>
            <w:tcW w:w="724" w:type="dxa"/>
            <w:vAlign w:val="center"/>
          </w:tcPr>
          <w:p w14:paraId="5E1F6E31">
            <w:pPr>
              <w:spacing w:line="360" w:lineRule="auto"/>
              <w:jc w:val="center"/>
              <w:rPr>
                <w:rFonts w:ascii="宋体" w:hAnsi="宋体" w:cs="宋体"/>
                <w:sz w:val="24"/>
              </w:rPr>
            </w:pPr>
          </w:p>
        </w:tc>
        <w:tc>
          <w:tcPr>
            <w:tcW w:w="724" w:type="dxa"/>
            <w:vAlign w:val="center"/>
          </w:tcPr>
          <w:p w14:paraId="58D7D083">
            <w:pPr>
              <w:spacing w:line="360" w:lineRule="auto"/>
              <w:jc w:val="center"/>
              <w:rPr>
                <w:rFonts w:ascii="宋体" w:hAnsi="宋体" w:cs="宋体"/>
                <w:sz w:val="24"/>
              </w:rPr>
            </w:pPr>
          </w:p>
        </w:tc>
        <w:tc>
          <w:tcPr>
            <w:tcW w:w="724" w:type="dxa"/>
            <w:vAlign w:val="center"/>
          </w:tcPr>
          <w:p w14:paraId="05B4DE6A">
            <w:pPr>
              <w:spacing w:line="360" w:lineRule="auto"/>
              <w:jc w:val="center"/>
              <w:rPr>
                <w:rFonts w:ascii="宋体" w:hAnsi="宋体" w:cs="宋体"/>
                <w:sz w:val="24"/>
              </w:rPr>
            </w:pPr>
          </w:p>
        </w:tc>
        <w:tc>
          <w:tcPr>
            <w:tcW w:w="724" w:type="dxa"/>
            <w:vAlign w:val="center"/>
          </w:tcPr>
          <w:p w14:paraId="26918D06">
            <w:pPr>
              <w:spacing w:line="360" w:lineRule="auto"/>
              <w:jc w:val="center"/>
              <w:rPr>
                <w:rFonts w:ascii="宋体" w:hAnsi="宋体" w:cs="宋体"/>
                <w:sz w:val="24"/>
              </w:rPr>
            </w:pPr>
          </w:p>
        </w:tc>
        <w:tc>
          <w:tcPr>
            <w:tcW w:w="724" w:type="dxa"/>
            <w:vAlign w:val="center"/>
          </w:tcPr>
          <w:p w14:paraId="2D54DFAF">
            <w:pPr>
              <w:spacing w:line="360" w:lineRule="auto"/>
              <w:jc w:val="center"/>
              <w:rPr>
                <w:rFonts w:ascii="宋体" w:hAnsi="宋体" w:cs="宋体"/>
                <w:sz w:val="24"/>
              </w:rPr>
            </w:pPr>
          </w:p>
        </w:tc>
        <w:tc>
          <w:tcPr>
            <w:tcW w:w="727" w:type="dxa"/>
            <w:vAlign w:val="center"/>
          </w:tcPr>
          <w:p w14:paraId="11181635">
            <w:pPr>
              <w:spacing w:line="360" w:lineRule="auto"/>
              <w:jc w:val="center"/>
              <w:rPr>
                <w:rFonts w:ascii="宋体" w:hAnsi="宋体" w:cs="宋体"/>
                <w:sz w:val="24"/>
              </w:rPr>
            </w:pPr>
          </w:p>
        </w:tc>
      </w:tr>
      <w:tr w14:paraId="322F8E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7" w:type="dxa"/>
            <w:vAlign w:val="center"/>
          </w:tcPr>
          <w:p w14:paraId="7ED22FE3">
            <w:pPr>
              <w:spacing w:line="360" w:lineRule="auto"/>
              <w:jc w:val="center"/>
              <w:rPr>
                <w:rFonts w:ascii="宋体" w:hAnsi="宋体" w:cs="宋体"/>
                <w:sz w:val="24"/>
              </w:rPr>
            </w:pPr>
            <w:r>
              <w:rPr>
                <w:rFonts w:hint="eastAsia" w:ascii="宋体" w:hAnsi="宋体" w:cs="宋体"/>
                <w:sz w:val="24"/>
              </w:rPr>
              <w:t>9</w:t>
            </w:r>
          </w:p>
        </w:tc>
        <w:tc>
          <w:tcPr>
            <w:tcW w:w="2033" w:type="dxa"/>
            <w:vAlign w:val="center"/>
          </w:tcPr>
          <w:p w14:paraId="34B95DFA">
            <w:pPr>
              <w:spacing w:line="360" w:lineRule="auto"/>
              <w:jc w:val="center"/>
              <w:rPr>
                <w:rFonts w:ascii="宋体" w:hAnsi="宋体" w:cs="宋体"/>
                <w:sz w:val="24"/>
              </w:rPr>
            </w:pPr>
            <w:r>
              <w:rPr>
                <w:rFonts w:hint="eastAsia" w:ascii="宋体" w:hAnsi="宋体" w:cs="宋体"/>
                <w:sz w:val="24"/>
              </w:rPr>
              <w:t>……</w:t>
            </w:r>
          </w:p>
        </w:tc>
        <w:tc>
          <w:tcPr>
            <w:tcW w:w="722" w:type="dxa"/>
            <w:vAlign w:val="center"/>
          </w:tcPr>
          <w:p w14:paraId="173682D5">
            <w:pPr>
              <w:spacing w:line="360" w:lineRule="auto"/>
              <w:jc w:val="center"/>
              <w:rPr>
                <w:rFonts w:ascii="宋体" w:hAnsi="宋体" w:cs="宋体"/>
                <w:sz w:val="24"/>
              </w:rPr>
            </w:pPr>
          </w:p>
        </w:tc>
        <w:tc>
          <w:tcPr>
            <w:tcW w:w="724" w:type="dxa"/>
            <w:vAlign w:val="center"/>
          </w:tcPr>
          <w:p w14:paraId="6C406E65">
            <w:pPr>
              <w:spacing w:line="360" w:lineRule="auto"/>
              <w:jc w:val="center"/>
              <w:rPr>
                <w:rFonts w:ascii="宋体" w:hAnsi="宋体" w:cs="宋体"/>
                <w:sz w:val="24"/>
              </w:rPr>
            </w:pPr>
          </w:p>
        </w:tc>
        <w:tc>
          <w:tcPr>
            <w:tcW w:w="724" w:type="dxa"/>
            <w:vAlign w:val="center"/>
          </w:tcPr>
          <w:p w14:paraId="4296E0A5">
            <w:pPr>
              <w:spacing w:line="360" w:lineRule="auto"/>
              <w:jc w:val="center"/>
              <w:rPr>
                <w:rFonts w:ascii="宋体" w:hAnsi="宋体" w:cs="宋体"/>
                <w:sz w:val="24"/>
              </w:rPr>
            </w:pPr>
          </w:p>
        </w:tc>
        <w:tc>
          <w:tcPr>
            <w:tcW w:w="724" w:type="dxa"/>
            <w:vAlign w:val="center"/>
          </w:tcPr>
          <w:p w14:paraId="43880338">
            <w:pPr>
              <w:spacing w:line="360" w:lineRule="auto"/>
              <w:jc w:val="center"/>
              <w:rPr>
                <w:rFonts w:ascii="宋体" w:hAnsi="宋体" w:cs="宋体"/>
                <w:sz w:val="24"/>
              </w:rPr>
            </w:pPr>
          </w:p>
        </w:tc>
        <w:tc>
          <w:tcPr>
            <w:tcW w:w="724" w:type="dxa"/>
            <w:vAlign w:val="center"/>
          </w:tcPr>
          <w:p w14:paraId="611BF68A">
            <w:pPr>
              <w:spacing w:line="360" w:lineRule="auto"/>
              <w:jc w:val="center"/>
              <w:rPr>
                <w:rFonts w:ascii="宋体" w:hAnsi="宋体" w:cs="宋体"/>
                <w:sz w:val="24"/>
              </w:rPr>
            </w:pPr>
          </w:p>
        </w:tc>
        <w:tc>
          <w:tcPr>
            <w:tcW w:w="724" w:type="dxa"/>
            <w:vAlign w:val="center"/>
          </w:tcPr>
          <w:p w14:paraId="5FFFA6C1">
            <w:pPr>
              <w:spacing w:line="360" w:lineRule="auto"/>
              <w:jc w:val="center"/>
              <w:rPr>
                <w:rFonts w:ascii="宋体" w:hAnsi="宋体" w:cs="宋体"/>
                <w:sz w:val="24"/>
              </w:rPr>
            </w:pPr>
          </w:p>
        </w:tc>
        <w:tc>
          <w:tcPr>
            <w:tcW w:w="724" w:type="dxa"/>
            <w:vAlign w:val="center"/>
          </w:tcPr>
          <w:p w14:paraId="4CEE1219">
            <w:pPr>
              <w:spacing w:line="360" w:lineRule="auto"/>
              <w:jc w:val="center"/>
              <w:rPr>
                <w:rFonts w:ascii="宋体" w:hAnsi="宋体" w:cs="宋体"/>
                <w:sz w:val="24"/>
              </w:rPr>
            </w:pPr>
          </w:p>
        </w:tc>
        <w:tc>
          <w:tcPr>
            <w:tcW w:w="724" w:type="dxa"/>
            <w:vAlign w:val="center"/>
          </w:tcPr>
          <w:p w14:paraId="627FB995">
            <w:pPr>
              <w:spacing w:line="360" w:lineRule="auto"/>
              <w:jc w:val="center"/>
              <w:rPr>
                <w:rFonts w:ascii="宋体" w:hAnsi="宋体" w:cs="宋体"/>
                <w:sz w:val="24"/>
              </w:rPr>
            </w:pPr>
          </w:p>
        </w:tc>
        <w:tc>
          <w:tcPr>
            <w:tcW w:w="727" w:type="dxa"/>
            <w:vAlign w:val="center"/>
          </w:tcPr>
          <w:p w14:paraId="19634E8F">
            <w:pPr>
              <w:spacing w:line="360" w:lineRule="auto"/>
              <w:jc w:val="center"/>
              <w:rPr>
                <w:rFonts w:ascii="宋体" w:hAnsi="宋体" w:cs="宋体"/>
                <w:sz w:val="24"/>
              </w:rPr>
            </w:pPr>
          </w:p>
        </w:tc>
      </w:tr>
      <w:tr w14:paraId="56D1D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650" w:type="dxa"/>
            <w:gridSpan w:val="2"/>
            <w:vAlign w:val="center"/>
          </w:tcPr>
          <w:p w14:paraId="2D85153C">
            <w:pPr>
              <w:spacing w:line="360" w:lineRule="auto"/>
              <w:jc w:val="center"/>
              <w:rPr>
                <w:rFonts w:ascii="宋体" w:hAnsi="宋体" w:cs="宋体"/>
                <w:sz w:val="24"/>
              </w:rPr>
            </w:pPr>
            <w:r>
              <w:rPr>
                <w:rFonts w:hint="eastAsia" w:ascii="宋体" w:hAnsi="宋体" w:cs="宋体"/>
                <w:sz w:val="24"/>
              </w:rPr>
              <w:t>评审结论：符合/不符合</w:t>
            </w:r>
          </w:p>
        </w:tc>
        <w:tc>
          <w:tcPr>
            <w:tcW w:w="722" w:type="dxa"/>
            <w:vAlign w:val="center"/>
          </w:tcPr>
          <w:p w14:paraId="6BD4B7DA">
            <w:pPr>
              <w:spacing w:line="360" w:lineRule="auto"/>
              <w:jc w:val="center"/>
              <w:rPr>
                <w:rFonts w:ascii="宋体" w:hAnsi="宋体" w:cs="宋体"/>
                <w:sz w:val="24"/>
              </w:rPr>
            </w:pPr>
          </w:p>
        </w:tc>
        <w:tc>
          <w:tcPr>
            <w:tcW w:w="724" w:type="dxa"/>
            <w:vAlign w:val="center"/>
          </w:tcPr>
          <w:p w14:paraId="3A2F3045">
            <w:pPr>
              <w:spacing w:line="360" w:lineRule="auto"/>
              <w:jc w:val="center"/>
              <w:rPr>
                <w:rFonts w:ascii="宋体" w:hAnsi="宋体" w:cs="宋体"/>
                <w:sz w:val="24"/>
              </w:rPr>
            </w:pPr>
          </w:p>
        </w:tc>
        <w:tc>
          <w:tcPr>
            <w:tcW w:w="724" w:type="dxa"/>
            <w:vAlign w:val="center"/>
          </w:tcPr>
          <w:p w14:paraId="321E56FD">
            <w:pPr>
              <w:spacing w:line="360" w:lineRule="auto"/>
              <w:jc w:val="center"/>
              <w:rPr>
                <w:rFonts w:ascii="宋体" w:hAnsi="宋体" w:cs="宋体"/>
                <w:sz w:val="24"/>
              </w:rPr>
            </w:pPr>
          </w:p>
        </w:tc>
        <w:tc>
          <w:tcPr>
            <w:tcW w:w="724" w:type="dxa"/>
            <w:vAlign w:val="center"/>
          </w:tcPr>
          <w:p w14:paraId="0D4712D3">
            <w:pPr>
              <w:spacing w:line="360" w:lineRule="auto"/>
              <w:jc w:val="center"/>
              <w:rPr>
                <w:rFonts w:ascii="宋体" w:hAnsi="宋体" w:cs="宋体"/>
                <w:sz w:val="24"/>
              </w:rPr>
            </w:pPr>
          </w:p>
        </w:tc>
        <w:tc>
          <w:tcPr>
            <w:tcW w:w="724" w:type="dxa"/>
            <w:vAlign w:val="center"/>
          </w:tcPr>
          <w:p w14:paraId="4055471C">
            <w:pPr>
              <w:spacing w:line="360" w:lineRule="auto"/>
              <w:jc w:val="center"/>
              <w:rPr>
                <w:rFonts w:ascii="宋体" w:hAnsi="宋体" w:cs="宋体"/>
                <w:sz w:val="24"/>
              </w:rPr>
            </w:pPr>
          </w:p>
        </w:tc>
        <w:tc>
          <w:tcPr>
            <w:tcW w:w="724" w:type="dxa"/>
            <w:vAlign w:val="center"/>
          </w:tcPr>
          <w:p w14:paraId="2C69C25B">
            <w:pPr>
              <w:spacing w:line="360" w:lineRule="auto"/>
              <w:jc w:val="center"/>
              <w:rPr>
                <w:rFonts w:ascii="宋体" w:hAnsi="宋体" w:cs="宋体"/>
                <w:sz w:val="24"/>
              </w:rPr>
            </w:pPr>
          </w:p>
        </w:tc>
        <w:tc>
          <w:tcPr>
            <w:tcW w:w="724" w:type="dxa"/>
            <w:vAlign w:val="center"/>
          </w:tcPr>
          <w:p w14:paraId="736033BB">
            <w:pPr>
              <w:spacing w:line="360" w:lineRule="auto"/>
              <w:jc w:val="center"/>
              <w:rPr>
                <w:rFonts w:ascii="宋体" w:hAnsi="宋体" w:cs="宋体"/>
                <w:sz w:val="24"/>
              </w:rPr>
            </w:pPr>
          </w:p>
        </w:tc>
        <w:tc>
          <w:tcPr>
            <w:tcW w:w="724" w:type="dxa"/>
            <w:vAlign w:val="center"/>
          </w:tcPr>
          <w:p w14:paraId="6E107264">
            <w:pPr>
              <w:spacing w:line="360" w:lineRule="auto"/>
              <w:jc w:val="center"/>
              <w:rPr>
                <w:rFonts w:ascii="宋体" w:hAnsi="宋体" w:cs="宋体"/>
                <w:sz w:val="24"/>
              </w:rPr>
            </w:pPr>
          </w:p>
        </w:tc>
        <w:tc>
          <w:tcPr>
            <w:tcW w:w="727" w:type="dxa"/>
            <w:vAlign w:val="center"/>
          </w:tcPr>
          <w:p w14:paraId="467D1291">
            <w:pPr>
              <w:spacing w:line="360" w:lineRule="auto"/>
              <w:jc w:val="center"/>
              <w:rPr>
                <w:rFonts w:ascii="宋体" w:hAnsi="宋体" w:cs="宋体"/>
                <w:sz w:val="24"/>
              </w:rPr>
            </w:pPr>
          </w:p>
        </w:tc>
      </w:tr>
    </w:tbl>
    <w:p w14:paraId="79FA8660">
      <w:pPr>
        <w:spacing w:line="360" w:lineRule="auto"/>
        <w:rPr>
          <w:rFonts w:ascii="宋体" w:hAnsi="宋体" w:cs="宋体"/>
          <w:sz w:val="24"/>
        </w:rPr>
      </w:pPr>
      <w:r>
        <w:rPr>
          <w:rFonts w:hint="eastAsia" w:ascii="宋体" w:hAnsi="宋体" w:cs="宋体"/>
          <w:sz w:val="24"/>
        </w:rPr>
        <w:t>评标委员会全体成员签名：</w:t>
      </w:r>
    </w:p>
    <w:p w14:paraId="6F81CF00">
      <w:pPr>
        <w:spacing w:line="360" w:lineRule="auto"/>
        <w:rPr>
          <w:rFonts w:ascii="宋体" w:hAnsi="宋体" w:cs="宋体"/>
          <w:sz w:val="24"/>
        </w:rPr>
      </w:pPr>
    </w:p>
    <w:p w14:paraId="4748FA9E">
      <w:pPr>
        <w:pStyle w:val="4"/>
        <w:rPr>
          <w:rFonts w:ascii="宋体" w:hAnsi="宋体" w:eastAsia="宋体"/>
          <w:sz w:val="24"/>
          <w:szCs w:val="24"/>
        </w:rPr>
      </w:pPr>
      <w:r>
        <w:rPr>
          <w:rFonts w:hint="eastAsia" w:ascii="宋体" w:hAnsi="宋体" w:eastAsia="宋体"/>
          <w:sz w:val="24"/>
          <w:szCs w:val="24"/>
        </w:rPr>
        <w:br w:type="page"/>
      </w:r>
      <w:r>
        <w:rPr>
          <w:rFonts w:hint="eastAsia" w:ascii="宋体" w:hAnsi="宋体" w:eastAsia="宋体"/>
          <w:sz w:val="24"/>
          <w:szCs w:val="24"/>
        </w:rPr>
        <w:t>附表5：低于</w:t>
      </w:r>
      <w:r>
        <w:rPr>
          <w:rFonts w:ascii="宋体" w:hAnsi="宋体" w:eastAsia="宋体"/>
          <w:sz w:val="24"/>
          <w:szCs w:val="24"/>
        </w:rPr>
        <w:t>成本评审</w:t>
      </w:r>
      <w:r>
        <w:rPr>
          <w:rFonts w:hint="eastAsia" w:ascii="宋体" w:hAnsi="宋体" w:eastAsia="宋体"/>
          <w:sz w:val="24"/>
          <w:szCs w:val="24"/>
        </w:rPr>
        <w:t>记录表</w:t>
      </w:r>
    </w:p>
    <w:p w14:paraId="2EE0364D">
      <w:pPr>
        <w:spacing w:line="360" w:lineRule="auto"/>
        <w:jc w:val="center"/>
        <w:rPr>
          <w:rFonts w:ascii="宋体" w:hAnsi="宋体" w:cs="宋体"/>
          <w:b/>
          <w:sz w:val="24"/>
        </w:rPr>
      </w:pPr>
      <w:r>
        <w:rPr>
          <w:rFonts w:hint="eastAsia" w:ascii="宋体" w:hAnsi="宋体" w:cs="宋体"/>
          <w:b/>
          <w:sz w:val="24"/>
        </w:rPr>
        <w:t>低于成本评审记录表</w:t>
      </w:r>
    </w:p>
    <w:p w14:paraId="03EAF210">
      <w:pPr>
        <w:spacing w:line="360" w:lineRule="auto"/>
        <w:jc w:val="center"/>
        <w:rPr>
          <w:rFonts w:ascii="宋体" w:hAnsi="宋体" w:cs="宋体"/>
          <w:b/>
          <w:sz w:val="24"/>
        </w:rPr>
      </w:pPr>
    </w:p>
    <w:p w14:paraId="0AE236AE">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835"/>
        <w:gridCol w:w="709"/>
        <w:gridCol w:w="552"/>
        <w:gridCol w:w="724"/>
        <w:gridCol w:w="724"/>
        <w:gridCol w:w="724"/>
        <w:gridCol w:w="724"/>
        <w:gridCol w:w="724"/>
        <w:gridCol w:w="724"/>
        <w:gridCol w:w="727"/>
      </w:tblGrid>
      <w:tr w14:paraId="22C61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33" w:hRule="atLeast"/>
        </w:trPr>
        <w:tc>
          <w:tcPr>
            <w:tcW w:w="2835" w:type="dxa"/>
            <w:vMerge w:val="restart"/>
            <w:vAlign w:val="center"/>
          </w:tcPr>
          <w:p w14:paraId="631921DC">
            <w:pPr>
              <w:spacing w:line="360" w:lineRule="auto"/>
              <w:jc w:val="center"/>
              <w:rPr>
                <w:rFonts w:ascii="宋体" w:hAnsi="宋体" w:cs="宋体"/>
                <w:sz w:val="24"/>
              </w:rPr>
            </w:pPr>
            <w:r>
              <w:rPr>
                <w:rFonts w:hint="eastAsia" w:ascii="宋体" w:hAnsi="宋体" w:cs="宋体"/>
                <w:sz w:val="24"/>
              </w:rPr>
              <w:t>评审因素</w:t>
            </w:r>
          </w:p>
        </w:tc>
        <w:tc>
          <w:tcPr>
            <w:tcW w:w="6332" w:type="dxa"/>
            <w:gridSpan w:val="9"/>
            <w:vAlign w:val="center"/>
          </w:tcPr>
          <w:p w14:paraId="315B1F30">
            <w:pPr>
              <w:spacing w:line="360" w:lineRule="auto"/>
              <w:jc w:val="center"/>
              <w:rPr>
                <w:rFonts w:ascii="宋体" w:hAnsi="宋体" w:cs="宋体"/>
                <w:sz w:val="24"/>
              </w:rPr>
            </w:pPr>
            <w:r>
              <w:rPr>
                <w:rFonts w:hint="eastAsia" w:ascii="宋体" w:hAnsi="宋体" w:cs="宋体"/>
                <w:sz w:val="24"/>
              </w:rPr>
              <w:t>投标人名称及评审意见</w:t>
            </w:r>
          </w:p>
        </w:tc>
      </w:tr>
      <w:tr w14:paraId="2F363E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98" w:hRule="atLeast"/>
        </w:trPr>
        <w:tc>
          <w:tcPr>
            <w:tcW w:w="2835" w:type="dxa"/>
            <w:vMerge w:val="continue"/>
            <w:vAlign w:val="center"/>
          </w:tcPr>
          <w:p w14:paraId="1205134C">
            <w:pPr>
              <w:spacing w:line="360" w:lineRule="auto"/>
              <w:rPr>
                <w:rFonts w:ascii="宋体" w:hAnsi="宋体" w:cs="宋体"/>
                <w:sz w:val="24"/>
              </w:rPr>
            </w:pPr>
          </w:p>
        </w:tc>
        <w:tc>
          <w:tcPr>
            <w:tcW w:w="709" w:type="dxa"/>
            <w:vAlign w:val="center"/>
          </w:tcPr>
          <w:p w14:paraId="2F753BE0">
            <w:pPr>
              <w:spacing w:line="360" w:lineRule="auto"/>
              <w:jc w:val="center"/>
              <w:rPr>
                <w:rFonts w:ascii="宋体" w:hAnsi="宋体" w:cs="宋体"/>
                <w:sz w:val="24"/>
              </w:rPr>
            </w:pPr>
          </w:p>
        </w:tc>
        <w:tc>
          <w:tcPr>
            <w:tcW w:w="552" w:type="dxa"/>
            <w:vAlign w:val="center"/>
          </w:tcPr>
          <w:p w14:paraId="1CAE4973">
            <w:pPr>
              <w:spacing w:line="360" w:lineRule="auto"/>
              <w:jc w:val="center"/>
              <w:rPr>
                <w:rFonts w:ascii="宋体" w:hAnsi="宋体" w:cs="宋体"/>
                <w:sz w:val="24"/>
              </w:rPr>
            </w:pPr>
          </w:p>
        </w:tc>
        <w:tc>
          <w:tcPr>
            <w:tcW w:w="724" w:type="dxa"/>
            <w:vAlign w:val="center"/>
          </w:tcPr>
          <w:p w14:paraId="5965E50D">
            <w:pPr>
              <w:spacing w:line="360" w:lineRule="auto"/>
              <w:jc w:val="center"/>
              <w:rPr>
                <w:rFonts w:ascii="宋体" w:hAnsi="宋体" w:cs="宋体"/>
                <w:sz w:val="24"/>
              </w:rPr>
            </w:pPr>
          </w:p>
        </w:tc>
        <w:tc>
          <w:tcPr>
            <w:tcW w:w="724" w:type="dxa"/>
            <w:vAlign w:val="center"/>
          </w:tcPr>
          <w:p w14:paraId="1081A088">
            <w:pPr>
              <w:spacing w:line="360" w:lineRule="auto"/>
              <w:jc w:val="center"/>
              <w:rPr>
                <w:rFonts w:ascii="宋体" w:hAnsi="宋体" w:cs="宋体"/>
                <w:sz w:val="24"/>
              </w:rPr>
            </w:pPr>
          </w:p>
        </w:tc>
        <w:tc>
          <w:tcPr>
            <w:tcW w:w="724" w:type="dxa"/>
            <w:vAlign w:val="center"/>
          </w:tcPr>
          <w:p w14:paraId="30BF791B">
            <w:pPr>
              <w:spacing w:line="360" w:lineRule="auto"/>
              <w:jc w:val="center"/>
              <w:rPr>
                <w:rFonts w:ascii="宋体" w:hAnsi="宋体" w:cs="宋体"/>
                <w:sz w:val="24"/>
              </w:rPr>
            </w:pPr>
          </w:p>
        </w:tc>
        <w:tc>
          <w:tcPr>
            <w:tcW w:w="724" w:type="dxa"/>
            <w:vAlign w:val="center"/>
          </w:tcPr>
          <w:p w14:paraId="315B9009">
            <w:pPr>
              <w:spacing w:line="360" w:lineRule="auto"/>
              <w:jc w:val="center"/>
              <w:rPr>
                <w:rFonts w:ascii="宋体" w:hAnsi="宋体" w:cs="宋体"/>
                <w:sz w:val="24"/>
              </w:rPr>
            </w:pPr>
          </w:p>
        </w:tc>
        <w:tc>
          <w:tcPr>
            <w:tcW w:w="724" w:type="dxa"/>
            <w:vAlign w:val="center"/>
          </w:tcPr>
          <w:p w14:paraId="6F441F3A">
            <w:pPr>
              <w:spacing w:line="360" w:lineRule="auto"/>
              <w:jc w:val="center"/>
              <w:rPr>
                <w:rFonts w:ascii="宋体" w:hAnsi="宋体" w:cs="宋体"/>
                <w:sz w:val="24"/>
              </w:rPr>
            </w:pPr>
          </w:p>
        </w:tc>
        <w:tc>
          <w:tcPr>
            <w:tcW w:w="724" w:type="dxa"/>
            <w:vAlign w:val="center"/>
          </w:tcPr>
          <w:p w14:paraId="0EAE903B">
            <w:pPr>
              <w:spacing w:line="360" w:lineRule="auto"/>
              <w:jc w:val="center"/>
              <w:rPr>
                <w:rFonts w:ascii="宋体" w:hAnsi="宋体" w:cs="宋体"/>
                <w:sz w:val="24"/>
              </w:rPr>
            </w:pPr>
          </w:p>
        </w:tc>
        <w:tc>
          <w:tcPr>
            <w:tcW w:w="727" w:type="dxa"/>
            <w:vAlign w:val="center"/>
          </w:tcPr>
          <w:p w14:paraId="5B7069FB">
            <w:pPr>
              <w:spacing w:line="360" w:lineRule="auto"/>
              <w:jc w:val="center"/>
              <w:rPr>
                <w:rFonts w:ascii="宋体" w:hAnsi="宋体" w:cs="宋体"/>
                <w:sz w:val="24"/>
              </w:rPr>
            </w:pPr>
          </w:p>
        </w:tc>
      </w:tr>
      <w:tr w14:paraId="0935C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0" w:hRule="atLeast"/>
        </w:trPr>
        <w:tc>
          <w:tcPr>
            <w:tcW w:w="2835" w:type="dxa"/>
            <w:vAlign w:val="center"/>
          </w:tcPr>
          <w:p w14:paraId="6B17FBD2">
            <w:pPr>
              <w:spacing w:line="360" w:lineRule="auto"/>
              <w:jc w:val="center"/>
              <w:rPr>
                <w:rFonts w:ascii="宋体" w:hAnsi="宋体" w:cs="宋体"/>
                <w:sz w:val="24"/>
              </w:rPr>
            </w:pPr>
            <w:r>
              <w:rPr>
                <w:rFonts w:hint="eastAsia" w:ascii="宋体" w:hAnsi="宋体" w:cs="宋体"/>
                <w:sz w:val="24"/>
              </w:rPr>
              <w:t>低于成本</w:t>
            </w:r>
          </w:p>
        </w:tc>
        <w:tc>
          <w:tcPr>
            <w:tcW w:w="709" w:type="dxa"/>
            <w:vAlign w:val="center"/>
          </w:tcPr>
          <w:p w14:paraId="6017F967">
            <w:pPr>
              <w:spacing w:line="360" w:lineRule="auto"/>
              <w:jc w:val="center"/>
              <w:rPr>
                <w:rFonts w:ascii="宋体" w:hAnsi="宋体" w:cs="宋体"/>
                <w:sz w:val="24"/>
              </w:rPr>
            </w:pPr>
          </w:p>
        </w:tc>
        <w:tc>
          <w:tcPr>
            <w:tcW w:w="552" w:type="dxa"/>
            <w:vAlign w:val="center"/>
          </w:tcPr>
          <w:p w14:paraId="297B4BFE">
            <w:pPr>
              <w:spacing w:line="360" w:lineRule="auto"/>
              <w:jc w:val="center"/>
              <w:rPr>
                <w:rFonts w:ascii="宋体" w:hAnsi="宋体" w:cs="宋体"/>
                <w:sz w:val="24"/>
              </w:rPr>
            </w:pPr>
          </w:p>
        </w:tc>
        <w:tc>
          <w:tcPr>
            <w:tcW w:w="724" w:type="dxa"/>
            <w:vAlign w:val="center"/>
          </w:tcPr>
          <w:p w14:paraId="6F27A375">
            <w:pPr>
              <w:spacing w:line="360" w:lineRule="auto"/>
              <w:jc w:val="center"/>
              <w:rPr>
                <w:rFonts w:ascii="宋体" w:hAnsi="宋体" w:cs="宋体"/>
                <w:sz w:val="24"/>
              </w:rPr>
            </w:pPr>
          </w:p>
        </w:tc>
        <w:tc>
          <w:tcPr>
            <w:tcW w:w="724" w:type="dxa"/>
            <w:vAlign w:val="center"/>
          </w:tcPr>
          <w:p w14:paraId="47E45BDD">
            <w:pPr>
              <w:spacing w:line="360" w:lineRule="auto"/>
              <w:jc w:val="center"/>
              <w:rPr>
                <w:rFonts w:ascii="宋体" w:hAnsi="宋体" w:cs="宋体"/>
                <w:sz w:val="24"/>
              </w:rPr>
            </w:pPr>
          </w:p>
        </w:tc>
        <w:tc>
          <w:tcPr>
            <w:tcW w:w="724" w:type="dxa"/>
            <w:vAlign w:val="center"/>
          </w:tcPr>
          <w:p w14:paraId="03121288">
            <w:pPr>
              <w:spacing w:line="360" w:lineRule="auto"/>
              <w:jc w:val="center"/>
              <w:rPr>
                <w:rFonts w:ascii="宋体" w:hAnsi="宋体" w:cs="宋体"/>
                <w:sz w:val="24"/>
              </w:rPr>
            </w:pPr>
          </w:p>
        </w:tc>
        <w:tc>
          <w:tcPr>
            <w:tcW w:w="724" w:type="dxa"/>
            <w:vAlign w:val="center"/>
          </w:tcPr>
          <w:p w14:paraId="05E8CE51">
            <w:pPr>
              <w:spacing w:line="360" w:lineRule="auto"/>
              <w:jc w:val="center"/>
              <w:rPr>
                <w:rFonts w:ascii="宋体" w:hAnsi="宋体" w:cs="宋体"/>
                <w:sz w:val="24"/>
              </w:rPr>
            </w:pPr>
          </w:p>
        </w:tc>
        <w:tc>
          <w:tcPr>
            <w:tcW w:w="724" w:type="dxa"/>
            <w:vAlign w:val="center"/>
          </w:tcPr>
          <w:p w14:paraId="4BAD7BAD">
            <w:pPr>
              <w:spacing w:line="360" w:lineRule="auto"/>
              <w:jc w:val="center"/>
              <w:rPr>
                <w:rFonts w:ascii="宋体" w:hAnsi="宋体" w:cs="宋体"/>
                <w:sz w:val="24"/>
              </w:rPr>
            </w:pPr>
          </w:p>
        </w:tc>
        <w:tc>
          <w:tcPr>
            <w:tcW w:w="724" w:type="dxa"/>
            <w:vAlign w:val="center"/>
          </w:tcPr>
          <w:p w14:paraId="3CD315AC">
            <w:pPr>
              <w:spacing w:line="360" w:lineRule="auto"/>
              <w:jc w:val="center"/>
              <w:rPr>
                <w:rFonts w:ascii="宋体" w:hAnsi="宋体" w:cs="宋体"/>
                <w:sz w:val="24"/>
              </w:rPr>
            </w:pPr>
          </w:p>
        </w:tc>
        <w:tc>
          <w:tcPr>
            <w:tcW w:w="727" w:type="dxa"/>
            <w:vAlign w:val="center"/>
          </w:tcPr>
          <w:p w14:paraId="4A288E4E">
            <w:pPr>
              <w:spacing w:line="360" w:lineRule="auto"/>
              <w:jc w:val="center"/>
              <w:rPr>
                <w:rFonts w:ascii="宋体" w:hAnsi="宋体" w:cs="宋体"/>
                <w:sz w:val="24"/>
              </w:rPr>
            </w:pPr>
          </w:p>
        </w:tc>
      </w:tr>
      <w:tr w14:paraId="141389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5" w:hRule="atLeast"/>
        </w:trPr>
        <w:tc>
          <w:tcPr>
            <w:tcW w:w="2835" w:type="dxa"/>
            <w:vAlign w:val="center"/>
          </w:tcPr>
          <w:p w14:paraId="5C4292C4">
            <w:pPr>
              <w:spacing w:line="360" w:lineRule="auto"/>
              <w:jc w:val="center"/>
              <w:rPr>
                <w:rFonts w:ascii="宋体" w:hAnsi="宋体" w:cs="宋体"/>
                <w:sz w:val="24"/>
              </w:rPr>
            </w:pPr>
            <w:r>
              <w:rPr>
                <w:rFonts w:hint="eastAsia" w:ascii="宋体" w:hAnsi="宋体" w:cs="宋体"/>
                <w:sz w:val="24"/>
              </w:rPr>
              <w:t>评审结论：符合/不符合</w:t>
            </w:r>
          </w:p>
        </w:tc>
        <w:tc>
          <w:tcPr>
            <w:tcW w:w="709" w:type="dxa"/>
            <w:vAlign w:val="center"/>
          </w:tcPr>
          <w:p w14:paraId="277827E2">
            <w:pPr>
              <w:spacing w:line="360" w:lineRule="auto"/>
              <w:jc w:val="center"/>
              <w:rPr>
                <w:rFonts w:ascii="宋体" w:hAnsi="宋体" w:cs="宋体"/>
                <w:sz w:val="24"/>
              </w:rPr>
            </w:pPr>
          </w:p>
        </w:tc>
        <w:tc>
          <w:tcPr>
            <w:tcW w:w="552" w:type="dxa"/>
            <w:vAlign w:val="center"/>
          </w:tcPr>
          <w:p w14:paraId="1DA1477F">
            <w:pPr>
              <w:spacing w:line="360" w:lineRule="auto"/>
              <w:jc w:val="center"/>
              <w:rPr>
                <w:rFonts w:ascii="宋体" w:hAnsi="宋体" w:cs="宋体"/>
                <w:sz w:val="24"/>
              </w:rPr>
            </w:pPr>
          </w:p>
        </w:tc>
        <w:tc>
          <w:tcPr>
            <w:tcW w:w="724" w:type="dxa"/>
            <w:vAlign w:val="center"/>
          </w:tcPr>
          <w:p w14:paraId="3C7A947B">
            <w:pPr>
              <w:spacing w:line="360" w:lineRule="auto"/>
              <w:jc w:val="center"/>
              <w:rPr>
                <w:rFonts w:ascii="宋体" w:hAnsi="宋体" w:cs="宋体"/>
                <w:sz w:val="24"/>
              </w:rPr>
            </w:pPr>
          </w:p>
        </w:tc>
        <w:tc>
          <w:tcPr>
            <w:tcW w:w="724" w:type="dxa"/>
            <w:vAlign w:val="center"/>
          </w:tcPr>
          <w:p w14:paraId="0627A3A9">
            <w:pPr>
              <w:spacing w:line="360" w:lineRule="auto"/>
              <w:jc w:val="center"/>
              <w:rPr>
                <w:rFonts w:ascii="宋体" w:hAnsi="宋体" w:cs="宋体"/>
                <w:sz w:val="24"/>
              </w:rPr>
            </w:pPr>
          </w:p>
        </w:tc>
        <w:tc>
          <w:tcPr>
            <w:tcW w:w="724" w:type="dxa"/>
            <w:vAlign w:val="center"/>
          </w:tcPr>
          <w:p w14:paraId="70D08387">
            <w:pPr>
              <w:spacing w:line="360" w:lineRule="auto"/>
              <w:jc w:val="center"/>
              <w:rPr>
                <w:rFonts w:ascii="宋体" w:hAnsi="宋体" w:cs="宋体"/>
                <w:sz w:val="24"/>
              </w:rPr>
            </w:pPr>
          </w:p>
        </w:tc>
        <w:tc>
          <w:tcPr>
            <w:tcW w:w="724" w:type="dxa"/>
            <w:vAlign w:val="center"/>
          </w:tcPr>
          <w:p w14:paraId="03B40BC2">
            <w:pPr>
              <w:spacing w:line="360" w:lineRule="auto"/>
              <w:jc w:val="center"/>
              <w:rPr>
                <w:rFonts w:ascii="宋体" w:hAnsi="宋体" w:cs="宋体"/>
                <w:sz w:val="24"/>
              </w:rPr>
            </w:pPr>
          </w:p>
        </w:tc>
        <w:tc>
          <w:tcPr>
            <w:tcW w:w="724" w:type="dxa"/>
            <w:vAlign w:val="center"/>
          </w:tcPr>
          <w:p w14:paraId="19B4F20C">
            <w:pPr>
              <w:spacing w:line="360" w:lineRule="auto"/>
              <w:jc w:val="center"/>
              <w:rPr>
                <w:rFonts w:ascii="宋体" w:hAnsi="宋体" w:cs="宋体"/>
                <w:sz w:val="24"/>
              </w:rPr>
            </w:pPr>
          </w:p>
        </w:tc>
        <w:tc>
          <w:tcPr>
            <w:tcW w:w="724" w:type="dxa"/>
            <w:vAlign w:val="center"/>
          </w:tcPr>
          <w:p w14:paraId="486002BF">
            <w:pPr>
              <w:spacing w:line="360" w:lineRule="auto"/>
              <w:jc w:val="center"/>
              <w:rPr>
                <w:rFonts w:ascii="宋体" w:hAnsi="宋体" w:cs="宋体"/>
                <w:sz w:val="24"/>
              </w:rPr>
            </w:pPr>
          </w:p>
        </w:tc>
        <w:tc>
          <w:tcPr>
            <w:tcW w:w="727" w:type="dxa"/>
            <w:vAlign w:val="center"/>
          </w:tcPr>
          <w:p w14:paraId="1B7A5063">
            <w:pPr>
              <w:spacing w:line="360" w:lineRule="auto"/>
              <w:jc w:val="center"/>
              <w:rPr>
                <w:rFonts w:ascii="宋体" w:hAnsi="宋体" w:cs="宋体"/>
                <w:sz w:val="24"/>
              </w:rPr>
            </w:pPr>
          </w:p>
        </w:tc>
      </w:tr>
    </w:tbl>
    <w:p w14:paraId="758D0E77">
      <w:pPr>
        <w:pStyle w:val="4"/>
        <w:rPr>
          <w:rFonts w:ascii="宋体" w:hAnsi="宋体" w:eastAsia="宋体"/>
          <w:sz w:val="24"/>
          <w:szCs w:val="24"/>
        </w:rPr>
      </w:pPr>
      <w:r>
        <w:rPr>
          <w:rFonts w:hint="eastAsia" w:ascii="宋体" w:hAnsi="宋体" w:eastAsia="宋体"/>
          <w:sz w:val="24"/>
          <w:szCs w:val="24"/>
        </w:rPr>
        <w:br w:type="page"/>
      </w:r>
      <w:r>
        <w:rPr>
          <w:rFonts w:hint="eastAsia" w:ascii="宋体" w:hAnsi="宋体" w:eastAsia="宋体"/>
          <w:sz w:val="24"/>
          <w:szCs w:val="24"/>
        </w:rPr>
        <w:t>附表6：承包人建议书评审记录表</w:t>
      </w:r>
    </w:p>
    <w:p w14:paraId="19FEF8D0">
      <w:pPr>
        <w:spacing w:line="360" w:lineRule="auto"/>
        <w:jc w:val="center"/>
        <w:rPr>
          <w:rFonts w:ascii="宋体" w:hAnsi="宋体" w:cs="宋体"/>
          <w:b/>
          <w:sz w:val="24"/>
        </w:rPr>
      </w:pPr>
      <w:r>
        <w:rPr>
          <w:rFonts w:hint="eastAsia" w:ascii="宋体" w:hAnsi="宋体"/>
          <w:b/>
          <w:sz w:val="24"/>
        </w:rPr>
        <w:t>承包人建议书</w:t>
      </w:r>
      <w:r>
        <w:rPr>
          <w:rFonts w:hint="eastAsia" w:ascii="宋体" w:hAnsi="宋体" w:cs="宋体"/>
          <w:b/>
          <w:sz w:val="24"/>
        </w:rPr>
        <w:t>评审记录表</w:t>
      </w:r>
    </w:p>
    <w:p w14:paraId="75C7749B">
      <w:pPr>
        <w:spacing w:line="360" w:lineRule="auto"/>
        <w:jc w:val="center"/>
        <w:rPr>
          <w:rFonts w:ascii="宋体" w:hAnsi="宋体" w:cs="宋体"/>
          <w:b/>
          <w:sz w:val="24"/>
        </w:rPr>
      </w:pPr>
    </w:p>
    <w:p w14:paraId="47404D30">
      <w:pPr>
        <w:spacing w:line="360" w:lineRule="auto"/>
        <w:rPr>
          <w:rFonts w:ascii="宋体" w:hAnsi="宋体" w:cs="宋体"/>
          <w:sz w:val="24"/>
        </w:rPr>
      </w:pPr>
      <w:r>
        <w:rPr>
          <w:rFonts w:hint="eastAsia" w:ascii="宋体" w:hAnsi="宋体" w:cs="宋体"/>
          <w:sz w:val="24"/>
        </w:rPr>
        <w:t>工程名称：______（项目名称）</w:t>
      </w:r>
      <w:r>
        <w:rPr>
          <w:rFonts w:hint="eastAsia" w:ascii="宋体" w:hAnsi="宋体"/>
          <w:sz w:val="24"/>
        </w:rPr>
        <w:t>设计施工总承包</w:t>
      </w:r>
      <w:r>
        <w:rPr>
          <w:rFonts w:hint="eastAsia" w:ascii="宋体" w:hAnsi="宋体" w:cs="宋体"/>
          <w:sz w:val="24"/>
        </w:rPr>
        <w:t>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4"/>
        <w:gridCol w:w="2279"/>
        <w:gridCol w:w="867"/>
        <w:gridCol w:w="691"/>
        <w:gridCol w:w="691"/>
        <w:gridCol w:w="691"/>
        <w:gridCol w:w="691"/>
        <w:gridCol w:w="691"/>
        <w:gridCol w:w="691"/>
        <w:gridCol w:w="691"/>
        <w:gridCol w:w="688"/>
      </w:tblGrid>
      <w:tr w14:paraId="039B7C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jc w:val="center"/>
        </w:trPr>
        <w:tc>
          <w:tcPr>
            <w:tcW w:w="614" w:type="dxa"/>
            <w:vMerge w:val="restart"/>
            <w:vAlign w:val="center"/>
          </w:tcPr>
          <w:p w14:paraId="4FD9C880">
            <w:pPr>
              <w:spacing w:line="360" w:lineRule="auto"/>
              <w:jc w:val="center"/>
              <w:rPr>
                <w:rFonts w:ascii="宋体" w:hAnsi="宋体" w:cs="宋体"/>
                <w:sz w:val="24"/>
              </w:rPr>
            </w:pPr>
            <w:r>
              <w:rPr>
                <w:rFonts w:hint="eastAsia" w:ascii="宋体" w:hAnsi="宋体" w:cs="宋体"/>
                <w:sz w:val="24"/>
              </w:rPr>
              <w:t>序号</w:t>
            </w:r>
          </w:p>
        </w:tc>
        <w:tc>
          <w:tcPr>
            <w:tcW w:w="2279" w:type="dxa"/>
            <w:vMerge w:val="restart"/>
            <w:vAlign w:val="center"/>
          </w:tcPr>
          <w:p w14:paraId="02D23EA3">
            <w:pPr>
              <w:spacing w:line="360" w:lineRule="auto"/>
              <w:jc w:val="center"/>
              <w:rPr>
                <w:rFonts w:ascii="宋体" w:hAnsi="宋体" w:cs="宋体"/>
                <w:sz w:val="24"/>
              </w:rPr>
            </w:pPr>
            <w:r>
              <w:rPr>
                <w:rFonts w:hint="eastAsia" w:ascii="宋体" w:hAnsi="宋体" w:cs="宋体"/>
                <w:sz w:val="24"/>
              </w:rPr>
              <w:t>评分因素</w:t>
            </w:r>
          </w:p>
        </w:tc>
        <w:tc>
          <w:tcPr>
            <w:tcW w:w="867" w:type="dxa"/>
            <w:vMerge w:val="restart"/>
            <w:vAlign w:val="center"/>
          </w:tcPr>
          <w:p w14:paraId="71711BEF">
            <w:pPr>
              <w:spacing w:line="360" w:lineRule="auto"/>
              <w:jc w:val="center"/>
              <w:rPr>
                <w:rFonts w:ascii="宋体" w:hAnsi="宋体" w:cs="宋体"/>
                <w:sz w:val="24"/>
              </w:rPr>
            </w:pPr>
            <w:r>
              <w:rPr>
                <w:rFonts w:hint="eastAsia" w:ascii="宋体" w:hAnsi="宋体" w:cs="宋体"/>
                <w:sz w:val="24"/>
              </w:rPr>
              <w:t>分值</w:t>
            </w:r>
          </w:p>
        </w:tc>
        <w:tc>
          <w:tcPr>
            <w:tcW w:w="5525" w:type="dxa"/>
            <w:gridSpan w:val="8"/>
            <w:vAlign w:val="center"/>
          </w:tcPr>
          <w:p w14:paraId="2031595B">
            <w:pPr>
              <w:spacing w:line="360" w:lineRule="auto"/>
              <w:jc w:val="center"/>
              <w:rPr>
                <w:rFonts w:ascii="宋体" w:hAnsi="宋体" w:cs="宋体"/>
                <w:sz w:val="24"/>
              </w:rPr>
            </w:pPr>
            <w:r>
              <w:rPr>
                <w:rFonts w:hint="eastAsia" w:ascii="宋体" w:hAnsi="宋体" w:cs="宋体"/>
                <w:sz w:val="24"/>
              </w:rPr>
              <w:t>投标人名称及评审意见</w:t>
            </w:r>
          </w:p>
        </w:tc>
      </w:tr>
      <w:tr w14:paraId="024C60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Merge w:val="continue"/>
            <w:vAlign w:val="center"/>
          </w:tcPr>
          <w:p w14:paraId="7FCEF815">
            <w:pPr>
              <w:spacing w:line="360" w:lineRule="auto"/>
              <w:rPr>
                <w:rFonts w:ascii="宋体" w:hAnsi="宋体" w:cs="宋体"/>
                <w:sz w:val="24"/>
              </w:rPr>
            </w:pPr>
          </w:p>
        </w:tc>
        <w:tc>
          <w:tcPr>
            <w:tcW w:w="2279" w:type="dxa"/>
            <w:vMerge w:val="continue"/>
            <w:vAlign w:val="center"/>
          </w:tcPr>
          <w:p w14:paraId="21329AAA">
            <w:pPr>
              <w:spacing w:line="360" w:lineRule="auto"/>
              <w:rPr>
                <w:rFonts w:ascii="宋体" w:hAnsi="宋体" w:cs="宋体"/>
                <w:sz w:val="24"/>
              </w:rPr>
            </w:pPr>
          </w:p>
        </w:tc>
        <w:tc>
          <w:tcPr>
            <w:tcW w:w="867" w:type="dxa"/>
            <w:vMerge w:val="continue"/>
            <w:vAlign w:val="center"/>
          </w:tcPr>
          <w:p w14:paraId="63E5B8C9">
            <w:pPr>
              <w:spacing w:line="360" w:lineRule="auto"/>
              <w:rPr>
                <w:rFonts w:ascii="宋体" w:hAnsi="宋体" w:cs="宋体"/>
                <w:sz w:val="24"/>
              </w:rPr>
            </w:pPr>
          </w:p>
        </w:tc>
        <w:tc>
          <w:tcPr>
            <w:tcW w:w="691" w:type="dxa"/>
            <w:vAlign w:val="center"/>
          </w:tcPr>
          <w:p w14:paraId="6A91092F">
            <w:pPr>
              <w:spacing w:line="360" w:lineRule="auto"/>
              <w:jc w:val="center"/>
              <w:rPr>
                <w:rFonts w:ascii="宋体" w:hAnsi="宋体" w:cs="宋体"/>
                <w:sz w:val="24"/>
              </w:rPr>
            </w:pPr>
          </w:p>
        </w:tc>
        <w:tc>
          <w:tcPr>
            <w:tcW w:w="691" w:type="dxa"/>
            <w:vAlign w:val="center"/>
          </w:tcPr>
          <w:p w14:paraId="6A9AE56F">
            <w:pPr>
              <w:spacing w:line="360" w:lineRule="auto"/>
              <w:jc w:val="center"/>
              <w:rPr>
                <w:rFonts w:ascii="宋体" w:hAnsi="宋体" w:cs="宋体"/>
                <w:sz w:val="24"/>
              </w:rPr>
            </w:pPr>
          </w:p>
        </w:tc>
        <w:tc>
          <w:tcPr>
            <w:tcW w:w="691" w:type="dxa"/>
            <w:vAlign w:val="center"/>
          </w:tcPr>
          <w:p w14:paraId="1216DC64">
            <w:pPr>
              <w:spacing w:line="360" w:lineRule="auto"/>
              <w:jc w:val="center"/>
              <w:rPr>
                <w:rFonts w:ascii="宋体" w:hAnsi="宋体" w:cs="宋体"/>
                <w:sz w:val="24"/>
              </w:rPr>
            </w:pPr>
          </w:p>
        </w:tc>
        <w:tc>
          <w:tcPr>
            <w:tcW w:w="691" w:type="dxa"/>
            <w:vAlign w:val="center"/>
          </w:tcPr>
          <w:p w14:paraId="0EF58D84">
            <w:pPr>
              <w:spacing w:line="360" w:lineRule="auto"/>
              <w:jc w:val="center"/>
              <w:rPr>
                <w:rFonts w:ascii="宋体" w:hAnsi="宋体" w:cs="宋体"/>
                <w:sz w:val="24"/>
              </w:rPr>
            </w:pPr>
          </w:p>
        </w:tc>
        <w:tc>
          <w:tcPr>
            <w:tcW w:w="691" w:type="dxa"/>
            <w:vAlign w:val="center"/>
          </w:tcPr>
          <w:p w14:paraId="05835668">
            <w:pPr>
              <w:spacing w:line="360" w:lineRule="auto"/>
              <w:jc w:val="center"/>
              <w:rPr>
                <w:rFonts w:ascii="宋体" w:hAnsi="宋体" w:cs="宋体"/>
                <w:sz w:val="24"/>
              </w:rPr>
            </w:pPr>
          </w:p>
        </w:tc>
        <w:tc>
          <w:tcPr>
            <w:tcW w:w="691" w:type="dxa"/>
            <w:vAlign w:val="center"/>
          </w:tcPr>
          <w:p w14:paraId="02D25333">
            <w:pPr>
              <w:spacing w:line="360" w:lineRule="auto"/>
              <w:jc w:val="center"/>
              <w:rPr>
                <w:rFonts w:ascii="宋体" w:hAnsi="宋体" w:cs="宋体"/>
                <w:sz w:val="24"/>
              </w:rPr>
            </w:pPr>
          </w:p>
        </w:tc>
        <w:tc>
          <w:tcPr>
            <w:tcW w:w="691" w:type="dxa"/>
            <w:vAlign w:val="center"/>
          </w:tcPr>
          <w:p w14:paraId="36E1165C">
            <w:pPr>
              <w:spacing w:line="360" w:lineRule="auto"/>
              <w:jc w:val="center"/>
              <w:rPr>
                <w:rFonts w:ascii="宋体" w:hAnsi="宋体" w:cs="宋体"/>
                <w:sz w:val="24"/>
              </w:rPr>
            </w:pPr>
          </w:p>
        </w:tc>
        <w:tc>
          <w:tcPr>
            <w:tcW w:w="688" w:type="dxa"/>
            <w:vAlign w:val="center"/>
          </w:tcPr>
          <w:p w14:paraId="4DE72185">
            <w:pPr>
              <w:spacing w:line="360" w:lineRule="auto"/>
              <w:jc w:val="center"/>
              <w:rPr>
                <w:rFonts w:ascii="宋体" w:hAnsi="宋体" w:cs="宋体"/>
                <w:sz w:val="24"/>
              </w:rPr>
            </w:pPr>
          </w:p>
        </w:tc>
      </w:tr>
      <w:tr w14:paraId="29B842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3C9CCF8D">
            <w:pPr>
              <w:spacing w:line="360" w:lineRule="auto"/>
              <w:jc w:val="center"/>
              <w:rPr>
                <w:rFonts w:ascii="宋体" w:hAnsi="宋体" w:cs="宋体"/>
                <w:sz w:val="24"/>
              </w:rPr>
            </w:pPr>
            <w:r>
              <w:rPr>
                <w:rFonts w:hint="eastAsia" w:ascii="宋体" w:hAnsi="宋体" w:cs="宋体"/>
                <w:sz w:val="24"/>
              </w:rPr>
              <w:t>1</w:t>
            </w:r>
          </w:p>
        </w:tc>
        <w:tc>
          <w:tcPr>
            <w:tcW w:w="2279" w:type="dxa"/>
            <w:vAlign w:val="center"/>
          </w:tcPr>
          <w:p w14:paraId="1B7C919C">
            <w:pPr>
              <w:spacing w:line="360" w:lineRule="auto"/>
              <w:jc w:val="center"/>
              <w:rPr>
                <w:rFonts w:ascii="宋体" w:hAnsi="宋体" w:cs="宋体"/>
                <w:sz w:val="24"/>
              </w:rPr>
            </w:pPr>
            <w:r>
              <w:rPr>
                <w:rFonts w:hint="eastAsia" w:ascii="宋体" w:hAnsi="宋体" w:cs="宋体"/>
                <w:sz w:val="24"/>
              </w:rPr>
              <w:t>……</w:t>
            </w:r>
          </w:p>
        </w:tc>
        <w:tc>
          <w:tcPr>
            <w:tcW w:w="867" w:type="dxa"/>
            <w:vAlign w:val="center"/>
          </w:tcPr>
          <w:p w14:paraId="33494834">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04AC296D">
            <w:pPr>
              <w:spacing w:line="360" w:lineRule="auto"/>
              <w:jc w:val="center"/>
              <w:rPr>
                <w:rFonts w:ascii="宋体" w:hAnsi="宋体" w:cs="宋体"/>
                <w:sz w:val="24"/>
              </w:rPr>
            </w:pPr>
          </w:p>
        </w:tc>
        <w:tc>
          <w:tcPr>
            <w:tcW w:w="691" w:type="dxa"/>
            <w:vAlign w:val="center"/>
          </w:tcPr>
          <w:p w14:paraId="4C9AFC14">
            <w:pPr>
              <w:spacing w:line="360" w:lineRule="auto"/>
              <w:jc w:val="center"/>
              <w:rPr>
                <w:rFonts w:ascii="宋体" w:hAnsi="宋体" w:cs="宋体"/>
                <w:sz w:val="24"/>
              </w:rPr>
            </w:pPr>
          </w:p>
        </w:tc>
        <w:tc>
          <w:tcPr>
            <w:tcW w:w="691" w:type="dxa"/>
            <w:vAlign w:val="center"/>
          </w:tcPr>
          <w:p w14:paraId="5CF61C04">
            <w:pPr>
              <w:spacing w:line="360" w:lineRule="auto"/>
              <w:jc w:val="center"/>
              <w:rPr>
                <w:rFonts w:ascii="宋体" w:hAnsi="宋体" w:cs="宋体"/>
                <w:sz w:val="24"/>
              </w:rPr>
            </w:pPr>
          </w:p>
        </w:tc>
        <w:tc>
          <w:tcPr>
            <w:tcW w:w="691" w:type="dxa"/>
            <w:vAlign w:val="center"/>
          </w:tcPr>
          <w:p w14:paraId="28CBDB92">
            <w:pPr>
              <w:spacing w:line="360" w:lineRule="auto"/>
              <w:jc w:val="center"/>
              <w:rPr>
                <w:rFonts w:ascii="宋体" w:hAnsi="宋体" w:cs="宋体"/>
                <w:sz w:val="24"/>
              </w:rPr>
            </w:pPr>
          </w:p>
        </w:tc>
        <w:tc>
          <w:tcPr>
            <w:tcW w:w="691" w:type="dxa"/>
            <w:vAlign w:val="center"/>
          </w:tcPr>
          <w:p w14:paraId="1E942870">
            <w:pPr>
              <w:spacing w:line="360" w:lineRule="auto"/>
              <w:jc w:val="center"/>
              <w:rPr>
                <w:rFonts w:ascii="宋体" w:hAnsi="宋体" w:cs="宋体"/>
                <w:sz w:val="24"/>
              </w:rPr>
            </w:pPr>
          </w:p>
        </w:tc>
        <w:tc>
          <w:tcPr>
            <w:tcW w:w="691" w:type="dxa"/>
            <w:vAlign w:val="center"/>
          </w:tcPr>
          <w:p w14:paraId="43582AB6">
            <w:pPr>
              <w:spacing w:line="360" w:lineRule="auto"/>
              <w:jc w:val="center"/>
              <w:rPr>
                <w:rFonts w:ascii="宋体" w:hAnsi="宋体" w:cs="宋体"/>
                <w:sz w:val="24"/>
              </w:rPr>
            </w:pPr>
          </w:p>
        </w:tc>
        <w:tc>
          <w:tcPr>
            <w:tcW w:w="691" w:type="dxa"/>
            <w:vAlign w:val="center"/>
          </w:tcPr>
          <w:p w14:paraId="7E15B3B5">
            <w:pPr>
              <w:spacing w:line="360" w:lineRule="auto"/>
              <w:jc w:val="center"/>
              <w:rPr>
                <w:rFonts w:ascii="宋体" w:hAnsi="宋体" w:cs="宋体"/>
                <w:sz w:val="24"/>
              </w:rPr>
            </w:pPr>
          </w:p>
        </w:tc>
        <w:tc>
          <w:tcPr>
            <w:tcW w:w="688" w:type="dxa"/>
            <w:vAlign w:val="center"/>
          </w:tcPr>
          <w:p w14:paraId="1A8BF479">
            <w:pPr>
              <w:spacing w:line="360" w:lineRule="auto"/>
              <w:jc w:val="center"/>
              <w:rPr>
                <w:rFonts w:ascii="宋体" w:hAnsi="宋体" w:cs="宋体"/>
                <w:sz w:val="24"/>
              </w:rPr>
            </w:pPr>
          </w:p>
        </w:tc>
      </w:tr>
      <w:tr w14:paraId="2A8A63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5DD61927">
            <w:pPr>
              <w:spacing w:line="360" w:lineRule="auto"/>
              <w:jc w:val="center"/>
              <w:rPr>
                <w:rFonts w:ascii="宋体" w:hAnsi="宋体" w:cs="宋体"/>
                <w:sz w:val="24"/>
              </w:rPr>
            </w:pPr>
            <w:r>
              <w:rPr>
                <w:rFonts w:hint="eastAsia" w:ascii="宋体" w:hAnsi="宋体" w:cs="宋体"/>
                <w:sz w:val="24"/>
              </w:rPr>
              <w:t>2</w:t>
            </w:r>
          </w:p>
        </w:tc>
        <w:tc>
          <w:tcPr>
            <w:tcW w:w="2279" w:type="dxa"/>
            <w:vAlign w:val="center"/>
          </w:tcPr>
          <w:p w14:paraId="3C5CA5C4">
            <w:pPr>
              <w:spacing w:line="360" w:lineRule="auto"/>
              <w:jc w:val="center"/>
              <w:rPr>
                <w:rFonts w:ascii="宋体" w:hAnsi="宋体" w:cs="宋体"/>
                <w:sz w:val="24"/>
              </w:rPr>
            </w:pPr>
            <w:r>
              <w:rPr>
                <w:rFonts w:hint="eastAsia" w:ascii="宋体" w:hAnsi="宋体" w:cs="宋体"/>
                <w:sz w:val="24"/>
              </w:rPr>
              <w:t>……</w:t>
            </w:r>
          </w:p>
        </w:tc>
        <w:tc>
          <w:tcPr>
            <w:tcW w:w="867" w:type="dxa"/>
            <w:vAlign w:val="center"/>
          </w:tcPr>
          <w:p w14:paraId="5235B954">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2F893160">
            <w:pPr>
              <w:spacing w:line="360" w:lineRule="auto"/>
              <w:jc w:val="center"/>
              <w:rPr>
                <w:rFonts w:ascii="宋体" w:hAnsi="宋体" w:cs="宋体"/>
                <w:sz w:val="24"/>
              </w:rPr>
            </w:pPr>
          </w:p>
        </w:tc>
        <w:tc>
          <w:tcPr>
            <w:tcW w:w="691" w:type="dxa"/>
            <w:vAlign w:val="center"/>
          </w:tcPr>
          <w:p w14:paraId="12CDC669">
            <w:pPr>
              <w:spacing w:line="360" w:lineRule="auto"/>
              <w:jc w:val="center"/>
              <w:rPr>
                <w:rFonts w:ascii="宋体" w:hAnsi="宋体" w:cs="宋体"/>
                <w:sz w:val="24"/>
              </w:rPr>
            </w:pPr>
          </w:p>
        </w:tc>
        <w:tc>
          <w:tcPr>
            <w:tcW w:w="691" w:type="dxa"/>
            <w:vAlign w:val="center"/>
          </w:tcPr>
          <w:p w14:paraId="43ED0B88">
            <w:pPr>
              <w:spacing w:line="360" w:lineRule="auto"/>
              <w:jc w:val="center"/>
              <w:rPr>
                <w:rFonts w:ascii="宋体" w:hAnsi="宋体" w:cs="宋体"/>
                <w:sz w:val="24"/>
              </w:rPr>
            </w:pPr>
          </w:p>
        </w:tc>
        <w:tc>
          <w:tcPr>
            <w:tcW w:w="691" w:type="dxa"/>
            <w:vAlign w:val="center"/>
          </w:tcPr>
          <w:p w14:paraId="4CB708F3">
            <w:pPr>
              <w:spacing w:line="360" w:lineRule="auto"/>
              <w:jc w:val="center"/>
              <w:rPr>
                <w:rFonts w:ascii="宋体" w:hAnsi="宋体" w:cs="宋体"/>
                <w:sz w:val="24"/>
              </w:rPr>
            </w:pPr>
          </w:p>
        </w:tc>
        <w:tc>
          <w:tcPr>
            <w:tcW w:w="691" w:type="dxa"/>
            <w:vAlign w:val="center"/>
          </w:tcPr>
          <w:p w14:paraId="0093DE9D">
            <w:pPr>
              <w:spacing w:line="360" w:lineRule="auto"/>
              <w:jc w:val="center"/>
              <w:rPr>
                <w:rFonts w:ascii="宋体" w:hAnsi="宋体" w:cs="宋体"/>
                <w:sz w:val="24"/>
              </w:rPr>
            </w:pPr>
          </w:p>
        </w:tc>
        <w:tc>
          <w:tcPr>
            <w:tcW w:w="691" w:type="dxa"/>
            <w:vAlign w:val="center"/>
          </w:tcPr>
          <w:p w14:paraId="0955B9CD">
            <w:pPr>
              <w:spacing w:line="360" w:lineRule="auto"/>
              <w:jc w:val="center"/>
              <w:rPr>
                <w:rFonts w:ascii="宋体" w:hAnsi="宋体" w:cs="宋体"/>
                <w:sz w:val="24"/>
              </w:rPr>
            </w:pPr>
          </w:p>
        </w:tc>
        <w:tc>
          <w:tcPr>
            <w:tcW w:w="691" w:type="dxa"/>
            <w:vAlign w:val="center"/>
          </w:tcPr>
          <w:p w14:paraId="121CA80F">
            <w:pPr>
              <w:spacing w:line="360" w:lineRule="auto"/>
              <w:jc w:val="center"/>
              <w:rPr>
                <w:rFonts w:ascii="宋体" w:hAnsi="宋体" w:cs="宋体"/>
                <w:sz w:val="24"/>
              </w:rPr>
            </w:pPr>
          </w:p>
        </w:tc>
        <w:tc>
          <w:tcPr>
            <w:tcW w:w="688" w:type="dxa"/>
            <w:vAlign w:val="center"/>
          </w:tcPr>
          <w:p w14:paraId="77109535">
            <w:pPr>
              <w:spacing w:line="360" w:lineRule="auto"/>
              <w:jc w:val="center"/>
              <w:rPr>
                <w:rFonts w:ascii="宋体" w:hAnsi="宋体" w:cs="宋体"/>
                <w:sz w:val="24"/>
              </w:rPr>
            </w:pPr>
          </w:p>
        </w:tc>
      </w:tr>
      <w:tr w14:paraId="7BADE1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71109598">
            <w:pPr>
              <w:spacing w:line="360" w:lineRule="auto"/>
              <w:jc w:val="center"/>
              <w:rPr>
                <w:rFonts w:ascii="宋体" w:hAnsi="宋体" w:cs="宋体"/>
                <w:sz w:val="24"/>
              </w:rPr>
            </w:pPr>
            <w:r>
              <w:rPr>
                <w:rFonts w:hint="eastAsia" w:ascii="宋体" w:hAnsi="宋体" w:cs="宋体"/>
                <w:sz w:val="24"/>
              </w:rPr>
              <w:t>3</w:t>
            </w:r>
          </w:p>
        </w:tc>
        <w:tc>
          <w:tcPr>
            <w:tcW w:w="2279" w:type="dxa"/>
            <w:vAlign w:val="center"/>
          </w:tcPr>
          <w:p w14:paraId="72A1B9A3">
            <w:pPr>
              <w:spacing w:line="360" w:lineRule="auto"/>
              <w:jc w:val="center"/>
              <w:rPr>
                <w:rFonts w:ascii="宋体" w:hAnsi="宋体" w:cs="宋体"/>
                <w:sz w:val="24"/>
              </w:rPr>
            </w:pPr>
            <w:r>
              <w:rPr>
                <w:rFonts w:hint="eastAsia" w:ascii="宋体" w:hAnsi="宋体" w:cs="宋体"/>
                <w:sz w:val="24"/>
              </w:rPr>
              <w:t>……</w:t>
            </w:r>
          </w:p>
        </w:tc>
        <w:tc>
          <w:tcPr>
            <w:tcW w:w="867" w:type="dxa"/>
            <w:vAlign w:val="center"/>
          </w:tcPr>
          <w:p w14:paraId="31EA4968">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4167991F">
            <w:pPr>
              <w:spacing w:line="360" w:lineRule="auto"/>
              <w:jc w:val="center"/>
              <w:rPr>
                <w:rFonts w:ascii="宋体" w:hAnsi="宋体" w:cs="宋体"/>
                <w:sz w:val="24"/>
              </w:rPr>
            </w:pPr>
          </w:p>
        </w:tc>
        <w:tc>
          <w:tcPr>
            <w:tcW w:w="691" w:type="dxa"/>
            <w:vAlign w:val="center"/>
          </w:tcPr>
          <w:p w14:paraId="1C7F5C3D">
            <w:pPr>
              <w:spacing w:line="360" w:lineRule="auto"/>
              <w:jc w:val="center"/>
              <w:rPr>
                <w:rFonts w:ascii="宋体" w:hAnsi="宋体" w:cs="宋体"/>
                <w:sz w:val="24"/>
              </w:rPr>
            </w:pPr>
          </w:p>
        </w:tc>
        <w:tc>
          <w:tcPr>
            <w:tcW w:w="691" w:type="dxa"/>
            <w:vAlign w:val="center"/>
          </w:tcPr>
          <w:p w14:paraId="23FEB324">
            <w:pPr>
              <w:spacing w:line="360" w:lineRule="auto"/>
              <w:jc w:val="center"/>
              <w:rPr>
                <w:rFonts w:ascii="宋体" w:hAnsi="宋体" w:cs="宋体"/>
                <w:sz w:val="24"/>
              </w:rPr>
            </w:pPr>
          </w:p>
        </w:tc>
        <w:tc>
          <w:tcPr>
            <w:tcW w:w="691" w:type="dxa"/>
            <w:vAlign w:val="center"/>
          </w:tcPr>
          <w:p w14:paraId="06B0911B">
            <w:pPr>
              <w:spacing w:line="360" w:lineRule="auto"/>
              <w:jc w:val="center"/>
              <w:rPr>
                <w:rFonts w:ascii="宋体" w:hAnsi="宋体" w:cs="宋体"/>
                <w:sz w:val="24"/>
              </w:rPr>
            </w:pPr>
          </w:p>
        </w:tc>
        <w:tc>
          <w:tcPr>
            <w:tcW w:w="691" w:type="dxa"/>
            <w:vAlign w:val="center"/>
          </w:tcPr>
          <w:p w14:paraId="37034BCC">
            <w:pPr>
              <w:spacing w:line="360" w:lineRule="auto"/>
              <w:jc w:val="center"/>
              <w:rPr>
                <w:rFonts w:ascii="宋体" w:hAnsi="宋体" w:cs="宋体"/>
                <w:sz w:val="24"/>
              </w:rPr>
            </w:pPr>
          </w:p>
        </w:tc>
        <w:tc>
          <w:tcPr>
            <w:tcW w:w="691" w:type="dxa"/>
            <w:vAlign w:val="center"/>
          </w:tcPr>
          <w:p w14:paraId="065E03D4">
            <w:pPr>
              <w:spacing w:line="360" w:lineRule="auto"/>
              <w:jc w:val="center"/>
              <w:rPr>
                <w:rFonts w:ascii="宋体" w:hAnsi="宋体" w:cs="宋体"/>
                <w:sz w:val="24"/>
              </w:rPr>
            </w:pPr>
          </w:p>
        </w:tc>
        <w:tc>
          <w:tcPr>
            <w:tcW w:w="691" w:type="dxa"/>
            <w:vAlign w:val="center"/>
          </w:tcPr>
          <w:p w14:paraId="2996A929">
            <w:pPr>
              <w:spacing w:line="360" w:lineRule="auto"/>
              <w:jc w:val="center"/>
              <w:rPr>
                <w:rFonts w:ascii="宋体" w:hAnsi="宋体" w:cs="宋体"/>
                <w:sz w:val="24"/>
              </w:rPr>
            </w:pPr>
          </w:p>
        </w:tc>
        <w:tc>
          <w:tcPr>
            <w:tcW w:w="688" w:type="dxa"/>
            <w:vAlign w:val="center"/>
          </w:tcPr>
          <w:p w14:paraId="461DB517">
            <w:pPr>
              <w:spacing w:line="360" w:lineRule="auto"/>
              <w:jc w:val="center"/>
              <w:rPr>
                <w:rFonts w:ascii="宋体" w:hAnsi="宋体" w:cs="宋体"/>
                <w:sz w:val="24"/>
              </w:rPr>
            </w:pPr>
          </w:p>
        </w:tc>
      </w:tr>
      <w:tr w14:paraId="51A18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117FF40B">
            <w:pPr>
              <w:spacing w:line="360" w:lineRule="auto"/>
              <w:jc w:val="center"/>
              <w:rPr>
                <w:rFonts w:ascii="宋体" w:hAnsi="宋体" w:cs="宋体"/>
                <w:sz w:val="24"/>
              </w:rPr>
            </w:pPr>
            <w:r>
              <w:rPr>
                <w:rFonts w:hint="eastAsia" w:ascii="宋体" w:hAnsi="宋体" w:cs="宋体"/>
                <w:sz w:val="24"/>
              </w:rPr>
              <w:t>……</w:t>
            </w:r>
          </w:p>
        </w:tc>
        <w:tc>
          <w:tcPr>
            <w:tcW w:w="2279" w:type="dxa"/>
            <w:vAlign w:val="center"/>
          </w:tcPr>
          <w:p w14:paraId="59C0D2E0">
            <w:pPr>
              <w:spacing w:line="360" w:lineRule="auto"/>
              <w:jc w:val="center"/>
              <w:rPr>
                <w:rFonts w:ascii="宋体" w:hAnsi="宋体" w:cs="宋体"/>
                <w:sz w:val="24"/>
              </w:rPr>
            </w:pPr>
            <w:r>
              <w:rPr>
                <w:rFonts w:hint="eastAsia" w:ascii="宋体" w:hAnsi="宋体" w:cs="宋体"/>
                <w:sz w:val="24"/>
              </w:rPr>
              <w:t>……</w:t>
            </w:r>
          </w:p>
        </w:tc>
        <w:tc>
          <w:tcPr>
            <w:tcW w:w="867" w:type="dxa"/>
            <w:vAlign w:val="center"/>
          </w:tcPr>
          <w:p w14:paraId="02F4E49E">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7636723F">
            <w:pPr>
              <w:spacing w:line="360" w:lineRule="auto"/>
              <w:jc w:val="center"/>
              <w:rPr>
                <w:rFonts w:ascii="宋体" w:hAnsi="宋体" w:cs="宋体"/>
                <w:sz w:val="24"/>
              </w:rPr>
            </w:pPr>
          </w:p>
        </w:tc>
        <w:tc>
          <w:tcPr>
            <w:tcW w:w="691" w:type="dxa"/>
            <w:vAlign w:val="center"/>
          </w:tcPr>
          <w:p w14:paraId="3EBCFC65">
            <w:pPr>
              <w:spacing w:line="360" w:lineRule="auto"/>
              <w:jc w:val="center"/>
              <w:rPr>
                <w:rFonts w:ascii="宋体" w:hAnsi="宋体" w:cs="宋体"/>
                <w:sz w:val="24"/>
              </w:rPr>
            </w:pPr>
          </w:p>
        </w:tc>
        <w:tc>
          <w:tcPr>
            <w:tcW w:w="691" w:type="dxa"/>
            <w:vAlign w:val="center"/>
          </w:tcPr>
          <w:p w14:paraId="520841A0">
            <w:pPr>
              <w:spacing w:line="360" w:lineRule="auto"/>
              <w:jc w:val="center"/>
              <w:rPr>
                <w:rFonts w:ascii="宋体" w:hAnsi="宋体" w:cs="宋体"/>
                <w:sz w:val="24"/>
              </w:rPr>
            </w:pPr>
          </w:p>
        </w:tc>
        <w:tc>
          <w:tcPr>
            <w:tcW w:w="691" w:type="dxa"/>
            <w:vAlign w:val="center"/>
          </w:tcPr>
          <w:p w14:paraId="543B78FE">
            <w:pPr>
              <w:spacing w:line="360" w:lineRule="auto"/>
              <w:jc w:val="center"/>
              <w:rPr>
                <w:rFonts w:ascii="宋体" w:hAnsi="宋体" w:cs="宋体"/>
                <w:sz w:val="24"/>
              </w:rPr>
            </w:pPr>
          </w:p>
        </w:tc>
        <w:tc>
          <w:tcPr>
            <w:tcW w:w="691" w:type="dxa"/>
            <w:vAlign w:val="center"/>
          </w:tcPr>
          <w:p w14:paraId="06F91098">
            <w:pPr>
              <w:spacing w:line="360" w:lineRule="auto"/>
              <w:jc w:val="center"/>
              <w:rPr>
                <w:rFonts w:ascii="宋体" w:hAnsi="宋体" w:cs="宋体"/>
                <w:sz w:val="24"/>
              </w:rPr>
            </w:pPr>
          </w:p>
        </w:tc>
        <w:tc>
          <w:tcPr>
            <w:tcW w:w="691" w:type="dxa"/>
            <w:vAlign w:val="center"/>
          </w:tcPr>
          <w:p w14:paraId="4B11CD04">
            <w:pPr>
              <w:spacing w:line="360" w:lineRule="auto"/>
              <w:jc w:val="center"/>
              <w:rPr>
                <w:rFonts w:ascii="宋体" w:hAnsi="宋体" w:cs="宋体"/>
                <w:sz w:val="24"/>
              </w:rPr>
            </w:pPr>
          </w:p>
        </w:tc>
        <w:tc>
          <w:tcPr>
            <w:tcW w:w="691" w:type="dxa"/>
            <w:vAlign w:val="center"/>
          </w:tcPr>
          <w:p w14:paraId="54ECD56E">
            <w:pPr>
              <w:spacing w:line="360" w:lineRule="auto"/>
              <w:jc w:val="center"/>
              <w:rPr>
                <w:rFonts w:ascii="宋体" w:hAnsi="宋体" w:cs="宋体"/>
                <w:sz w:val="24"/>
              </w:rPr>
            </w:pPr>
          </w:p>
        </w:tc>
        <w:tc>
          <w:tcPr>
            <w:tcW w:w="688" w:type="dxa"/>
            <w:vAlign w:val="center"/>
          </w:tcPr>
          <w:p w14:paraId="48FFB240">
            <w:pPr>
              <w:spacing w:line="360" w:lineRule="auto"/>
              <w:jc w:val="center"/>
              <w:rPr>
                <w:rFonts w:ascii="宋体" w:hAnsi="宋体" w:cs="宋体"/>
                <w:sz w:val="24"/>
              </w:rPr>
            </w:pPr>
          </w:p>
        </w:tc>
      </w:tr>
      <w:tr w14:paraId="2C77B6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893" w:type="dxa"/>
            <w:gridSpan w:val="2"/>
            <w:vAlign w:val="center"/>
          </w:tcPr>
          <w:p w14:paraId="45FBFAD9">
            <w:pPr>
              <w:spacing w:line="360" w:lineRule="auto"/>
              <w:jc w:val="center"/>
              <w:rPr>
                <w:rFonts w:ascii="宋体" w:hAnsi="宋体" w:cs="宋体"/>
                <w:sz w:val="24"/>
              </w:rPr>
            </w:pPr>
            <w:r>
              <w:rPr>
                <w:rFonts w:hint="eastAsia" w:ascii="宋体" w:hAnsi="宋体"/>
                <w:bCs/>
                <w:sz w:val="24"/>
              </w:rPr>
              <w:t>承包人建议书</w:t>
            </w:r>
            <w:r>
              <w:rPr>
                <w:rFonts w:hint="eastAsia" w:ascii="宋体" w:hAnsi="宋体" w:cs="宋体"/>
                <w:bCs/>
                <w:sz w:val="24"/>
              </w:rPr>
              <w:t>得分</w:t>
            </w:r>
            <w:r>
              <w:rPr>
                <w:rFonts w:hint="eastAsia" w:ascii="宋体" w:hAnsi="宋体" w:cs="宋体"/>
                <w:sz w:val="24"/>
              </w:rPr>
              <w:t>合计A</w:t>
            </w:r>
          </w:p>
        </w:tc>
        <w:tc>
          <w:tcPr>
            <w:tcW w:w="867" w:type="dxa"/>
            <w:vAlign w:val="center"/>
          </w:tcPr>
          <w:p w14:paraId="677E72BF">
            <w:pPr>
              <w:spacing w:line="360" w:lineRule="auto"/>
              <w:jc w:val="center"/>
              <w:rPr>
                <w:rFonts w:ascii="宋体" w:hAnsi="宋体" w:cs="宋体"/>
                <w:sz w:val="24"/>
              </w:rPr>
            </w:pPr>
          </w:p>
        </w:tc>
        <w:tc>
          <w:tcPr>
            <w:tcW w:w="691" w:type="dxa"/>
            <w:vAlign w:val="center"/>
          </w:tcPr>
          <w:p w14:paraId="2A0FFF77">
            <w:pPr>
              <w:spacing w:line="360" w:lineRule="auto"/>
              <w:jc w:val="center"/>
              <w:rPr>
                <w:rFonts w:ascii="宋体" w:hAnsi="宋体" w:cs="宋体"/>
                <w:sz w:val="24"/>
              </w:rPr>
            </w:pPr>
          </w:p>
        </w:tc>
        <w:tc>
          <w:tcPr>
            <w:tcW w:w="691" w:type="dxa"/>
            <w:vAlign w:val="center"/>
          </w:tcPr>
          <w:p w14:paraId="79E4F0EB">
            <w:pPr>
              <w:spacing w:line="360" w:lineRule="auto"/>
              <w:jc w:val="center"/>
              <w:rPr>
                <w:rFonts w:ascii="宋体" w:hAnsi="宋体" w:cs="宋体"/>
                <w:sz w:val="24"/>
              </w:rPr>
            </w:pPr>
          </w:p>
        </w:tc>
        <w:tc>
          <w:tcPr>
            <w:tcW w:w="691" w:type="dxa"/>
            <w:vAlign w:val="center"/>
          </w:tcPr>
          <w:p w14:paraId="44931D74">
            <w:pPr>
              <w:spacing w:line="360" w:lineRule="auto"/>
              <w:jc w:val="center"/>
              <w:rPr>
                <w:rFonts w:ascii="宋体" w:hAnsi="宋体" w:cs="宋体"/>
                <w:sz w:val="24"/>
              </w:rPr>
            </w:pPr>
          </w:p>
        </w:tc>
        <w:tc>
          <w:tcPr>
            <w:tcW w:w="691" w:type="dxa"/>
            <w:vAlign w:val="center"/>
          </w:tcPr>
          <w:p w14:paraId="62BB4390">
            <w:pPr>
              <w:spacing w:line="360" w:lineRule="auto"/>
              <w:jc w:val="center"/>
              <w:rPr>
                <w:rFonts w:ascii="宋体" w:hAnsi="宋体" w:cs="宋体"/>
                <w:sz w:val="24"/>
              </w:rPr>
            </w:pPr>
          </w:p>
        </w:tc>
        <w:tc>
          <w:tcPr>
            <w:tcW w:w="691" w:type="dxa"/>
            <w:vAlign w:val="center"/>
          </w:tcPr>
          <w:p w14:paraId="5260881F">
            <w:pPr>
              <w:spacing w:line="360" w:lineRule="auto"/>
              <w:jc w:val="center"/>
              <w:rPr>
                <w:rFonts w:ascii="宋体" w:hAnsi="宋体" w:cs="宋体"/>
                <w:sz w:val="24"/>
              </w:rPr>
            </w:pPr>
          </w:p>
        </w:tc>
        <w:tc>
          <w:tcPr>
            <w:tcW w:w="691" w:type="dxa"/>
            <w:vAlign w:val="center"/>
          </w:tcPr>
          <w:p w14:paraId="021F3E20">
            <w:pPr>
              <w:spacing w:line="360" w:lineRule="auto"/>
              <w:jc w:val="center"/>
              <w:rPr>
                <w:rFonts w:ascii="宋体" w:hAnsi="宋体" w:cs="宋体"/>
                <w:sz w:val="24"/>
              </w:rPr>
            </w:pPr>
          </w:p>
        </w:tc>
        <w:tc>
          <w:tcPr>
            <w:tcW w:w="691" w:type="dxa"/>
            <w:vAlign w:val="center"/>
          </w:tcPr>
          <w:p w14:paraId="5362AA8F">
            <w:pPr>
              <w:spacing w:line="360" w:lineRule="auto"/>
              <w:jc w:val="center"/>
              <w:rPr>
                <w:rFonts w:ascii="宋体" w:hAnsi="宋体" w:cs="宋体"/>
                <w:sz w:val="24"/>
              </w:rPr>
            </w:pPr>
          </w:p>
        </w:tc>
        <w:tc>
          <w:tcPr>
            <w:tcW w:w="688" w:type="dxa"/>
            <w:vAlign w:val="center"/>
          </w:tcPr>
          <w:p w14:paraId="19E55158">
            <w:pPr>
              <w:spacing w:line="360" w:lineRule="auto"/>
              <w:jc w:val="center"/>
              <w:rPr>
                <w:rFonts w:ascii="宋体" w:hAnsi="宋体" w:cs="宋体"/>
                <w:sz w:val="24"/>
              </w:rPr>
            </w:pPr>
          </w:p>
        </w:tc>
      </w:tr>
    </w:tbl>
    <w:p w14:paraId="47FD1EE9">
      <w:pPr>
        <w:spacing w:line="360" w:lineRule="auto"/>
        <w:rPr>
          <w:rFonts w:ascii="宋体" w:hAnsi="宋体" w:cs="宋体"/>
          <w:sz w:val="24"/>
        </w:rPr>
      </w:pPr>
    </w:p>
    <w:p w14:paraId="1446F7B7">
      <w:pPr>
        <w:spacing w:line="360" w:lineRule="auto"/>
        <w:rPr>
          <w:rFonts w:ascii="宋体" w:hAnsi="宋体" w:cs="宋体"/>
          <w:sz w:val="24"/>
        </w:rPr>
      </w:pPr>
      <w:r>
        <w:rPr>
          <w:rFonts w:hint="eastAsia" w:ascii="宋体" w:hAnsi="宋体" w:cs="宋体"/>
          <w:sz w:val="24"/>
        </w:rPr>
        <w:t>评标委员会成员签名：</w:t>
      </w:r>
    </w:p>
    <w:p w14:paraId="266BCBD9">
      <w:pPr>
        <w:pStyle w:val="4"/>
        <w:rPr>
          <w:rFonts w:ascii="宋体" w:hAnsi="宋体" w:eastAsia="宋体"/>
          <w:sz w:val="24"/>
          <w:szCs w:val="24"/>
        </w:rPr>
        <w:sectPr>
          <w:pgSz w:w="11906" w:h="16838"/>
          <w:pgMar w:top="1417" w:right="1417" w:bottom="1417" w:left="1417" w:header="851" w:footer="850" w:gutter="0"/>
          <w:cols w:space="720" w:num="1"/>
          <w:docGrid w:type="lines" w:linePitch="312" w:charSpace="0"/>
        </w:sectPr>
      </w:pPr>
    </w:p>
    <w:p w14:paraId="26A8D284">
      <w:pPr>
        <w:pStyle w:val="4"/>
        <w:rPr>
          <w:rFonts w:ascii="宋体" w:hAnsi="宋体" w:eastAsia="宋体"/>
          <w:sz w:val="24"/>
          <w:szCs w:val="24"/>
        </w:rPr>
      </w:pPr>
      <w:r>
        <w:rPr>
          <w:rFonts w:hint="eastAsia" w:ascii="宋体" w:hAnsi="宋体" w:eastAsia="宋体"/>
          <w:sz w:val="24"/>
          <w:szCs w:val="24"/>
        </w:rPr>
        <w:t>附表7：资信业绩评审记录表</w:t>
      </w:r>
    </w:p>
    <w:p w14:paraId="48C2043B">
      <w:pPr>
        <w:spacing w:line="360" w:lineRule="auto"/>
        <w:jc w:val="center"/>
        <w:rPr>
          <w:rFonts w:ascii="宋体" w:hAnsi="宋体" w:cs="宋体"/>
          <w:b/>
          <w:sz w:val="24"/>
        </w:rPr>
      </w:pPr>
      <w:r>
        <w:rPr>
          <w:rFonts w:hint="eastAsia" w:ascii="宋体" w:hAnsi="宋体"/>
          <w:b/>
          <w:bCs/>
          <w:sz w:val="24"/>
        </w:rPr>
        <w:t>资信业绩</w:t>
      </w:r>
      <w:r>
        <w:rPr>
          <w:rFonts w:hint="eastAsia" w:ascii="宋体" w:hAnsi="宋体" w:cs="宋体"/>
          <w:b/>
          <w:sz w:val="24"/>
        </w:rPr>
        <w:t>评审记录表</w:t>
      </w:r>
    </w:p>
    <w:p w14:paraId="5575978E">
      <w:pPr>
        <w:spacing w:line="360" w:lineRule="auto"/>
        <w:jc w:val="center"/>
        <w:rPr>
          <w:rFonts w:ascii="宋体" w:hAnsi="宋体" w:cs="宋体"/>
          <w:b/>
          <w:sz w:val="24"/>
        </w:rPr>
      </w:pPr>
    </w:p>
    <w:p w14:paraId="0CE5894A">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4"/>
        <w:gridCol w:w="2668"/>
        <w:gridCol w:w="875"/>
        <w:gridCol w:w="691"/>
        <w:gridCol w:w="691"/>
        <w:gridCol w:w="691"/>
        <w:gridCol w:w="691"/>
        <w:gridCol w:w="691"/>
        <w:gridCol w:w="691"/>
        <w:gridCol w:w="691"/>
        <w:gridCol w:w="688"/>
      </w:tblGrid>
      <w:tr w14:paraId="7D010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Merge w:val="restart"/>
            <w:vAlign w:val="center"/>
          </w:tcPr>
          <w:p w14:paraId="715C3466">
            <w:pPr>
              <w:spacing w:line="360" w:lineRule="auto"/>
              <w:jc w:val="center"/>
              <w:rPr>
                <w:rFonts w:ascii="宋体" w:hAnsi="宋体" w:cs="宋体"/>
                <w:sz w:val="24"/>
              </w:rPr>
            </w:pPr>
            <w:r>
              <w:rPr>
                <w:rFonts w:hint="eastAsia" w:ascii="宋体" w:hAnsi="宋体" w:cs="宋体"/>
                <w:sz w:val="24"/>
              </w:rPr>
              <w:t>序号</w:t>
            </w:r>
          </w:p>
        </w:tc>
        <w:tc>
          <w:tcPr>
            <w:tcW w:w="2668" w:type="dxa"/>
            <w:vMerge w:val="restart"/>
            <w:vAlign w:val="center"/>
          </w:tcPr>
          <w:p w14:paraId="3AE737DE">
            <w:pPr>
              <w:spacing w:line="360" w:lineRule="auto"/>
              <w:jc w:val="center"/>
              <w:rPr>
                <w:rFonts w:ascii="宋体" w:hAnsi="宋体" w:cs="宋体"/>
                <w:sz w:val="24"/>
              </w:rPr>
            </w:pPr>
            <w:r>
              <w:rPr>
                <w:rFonts w:hint="eastAsia" w:ascii="宋体" w:hAnsi="宋体" w:cs="宋体"/>
                <w:sz w:val="24"/>
              </w:rPr>
              <w:t>评分因素</w:t>
            </w:r>
          </w:p>
        </w:tc>
        <w:tc>
          <w:tcPr>
            <w:tcW w:w="875" w:type="dxa"/>
            <w:vMerge w:val="restart"/>
            <w:vAlign w:val="center"/>
          </w:tcPr>
          <w:p w14:paraId="2F01680C">
            <w:pPr>
              <w:spacing w:line="360" w:lineRule="auto"/>
              <w:jc w:val="center"/>
              <w:rPr>
                <w:rFonts w:ascii="宋体" w:hAnsi="宋体" w:cs="宋体"/>
                <w:sz w:val="24"/>
              </w:rPr>
            </w:pPr>
            <w:r>
              <w:rPr>
                <w:rFonts w:hint="eastAsia" w:ascii="宋体" w:hAnsi="宋体" w:cs="宋体"/>
                <w:sz w:val="24"/>
              </w:rPr>
              <w:t>分值</w:t>
            </w:r>
          </w:p>
        </w:tc>
        <w:tc>
          <w:tcPr>
            <w:tcW w:w="5525" w:type="dxa"/>
            <w:gridSpan w:val="8"/>
            <w:vAlign w:val="center"/>
          </w:tcPr>
          <w:p w14:paraId="4709D1BB">
            <w:pPr>
              <w:spacing w:line="360" w:lineRule="auto"/>
              <w:jc w:val="center"/>
              <w:rPr>
                <w:rFonts w:ascii="宋体" w:hAnsi="宋体" w:cs="宋体"/>
                <w:sz w:val="24"/>
              </w:rPr>
            </w:pPr>
            <w:r>
              <w:rPr>
                <w:rFonts w:hint="eastAsia" w:ascii="宋体" w:hAnsi="宋体" w:cs="宋体"/>
                <w:sz w:val="24"/>
              </w:rPr>
              <w:t>投标人名称及评审意见</w:t>
            </w:r>
          </w:p>
        </w:tc>
      </w:tr>
      <w:tr w14:paraId="42E86D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Merge w:val="continue"/>
            <w:vAlign w:val="center"/>
          </w:tcPr>
          <w:p w14:paraId="311DB0A5">
            <w:pPr>
              <w:spacing w:line="360" w:lineRule="auto"/>
              <w:rPr>
                <w:rFonts w:ascii="宋体" w:hAnsi="宋体" w:cs="宋体"/>
                <w:sz w:val="24"/>
              </w:rPr>
            </w:pPr>
          </w:p>
        </w:tc>
        <w:tc>
          <w:tcPr>
            <w:tcW w:w="2668" w:type="dxa"/>
            <w:vMerge w:val="continue"/>
            <w:vAlign w:val="center"/>
          </w:tcPr>
          <w:p w14:paraId="0007E420">
            <w:pPr>
              <w:spacing w:line="360" w:lineRule="auto"/>
              <w:rPr>
                <w:rFonts w:ascii="宋体" w:hAnsi="宋体" w:cs="宋体"/>
                <w:sz w:val="24"/>
              </w:rPr>
            </w:pPr>
          </w:p>
        </w:tc>
        <w:tc>
          <w:tcPr>
            <w:tcW w:w="875" w:type="dxa"/>
            <w:vMerge w:val="continue"/>
            <w:vAlign w:val="center"/>
          </w:tcPr>
          <w:p w14:paraId="2197C420">
            <w:pPr>
              <w:spacing w:line="360" w:lineRule="auto"/>
              <w:rPr>
                <w:rFonts w:ascii="宋体" w:hAnsi="宋体" w:cs="宋体"/>
                <w:sz w:val="24"/>
              </w:rPr>
            </w:pPr>
          </w:p>
        </w:tc>
        <w:tc>
          <w:tcPr>
            <w:tcW w:w="691" w:type="dxa"/>
            <w:vAlign w:val="center"/>
          </w:tcPr>
          <w:p w14:paraId="1B1CDA7F">
            <w:pPr>
              <w:spacing w:line="360" w:lineRule="auto"/>
              <w:jc w:val="center"/>
              <w:rPr>
                <w:rFonts w:ascii="宋体" w:hAnsi="宋体" w:cs="宋体"/>
                <w:sz w:val="24"/>
              </w:rPr>
            </w:pPr>
          </w:p>
        </w:tc>
        <w:tc>
          <w:tcPr>
            <w:tcW w:w="691" w:type="dxa"/>
            <w:vAlign w:val="center"/>
          </w:tcPr>
          <w:p w14:paraId="0FEDC75B">
            <w:pPr>
              <w:spacing w:line="360" w:lineRule="auto"/>
              <w:jc w:val="center"/>
              <w:rPr>
                <w:rFonts w:ascii="宋体" w:hAnsi="宋体" w:cs="宋体"/>
                <w:sz w:val="24"/>
              </w:rPr>
            </w:pPr>
          </w:p>
        </w:tc>
        <w:tc>
          <w:tcPr>
            <w:tcW w:w="691" w:type="dxa"/>
            <w:vAlign w:val="center"/>
          </w:tcPr>
          <w:p w14:paraId="7A9FABC4">
            <w:pPr>
              <w:spacing w:line="360" w:lineRule="auto"/>
              <w:jc w:val="center"/>
              <w:rPr>
                <w:rFonts w:ascii="宋体" w:hAnsi="宋体" w:cs="宋体"/>
                <w:sz w:val="24"/>
              </w:rPr>
            </w:pPr>
          </w:p>
        </w:tc>
        <w:tc>
          <w:tcPr>
            <w:tcW w:w="691" w:type="dxa"/>
            <w:vAlign w:val="center"/>
          </w:tcPr>
          <w:p w14:paraId="14AC57A3">
            <w:pPr>
              <w:spacing w:line="360" w:lineRule="auto"/>
              <w:jc w:val="center"/>
              <w:rPr>
                <w:rFonts w:ascii="宋体" w:hAnsi="宋体" w:cs="宋体"/>
                <w:sz w:val="24"/>
              </w:rPr>
            </w:pPr>
          </w:p>
        </w:tc>
        <w:tc>
          <w:tcPr>
            <w:tcW w:w="691" w:type="dxa"/>
            <w:vAlign w:val="center"/>
          </w:tcPr>
          <w:p w14:paraId="08ECDBEA">
            <w:pPr>
              <w:spacing w:line="360" w:lineRule="auto"/>
              <w:jc w:val="center"/>
              <w:rPr>
                <w:rFonts w:ascii="宋体" w:hAnsi="宋体" w:cs="宋体"/>
                <w:sz w:val="24"/>
              </w:rPr>
            </w:pPr>
          </w:p>
        </w:tc>
        <w:tc>
          <w:tcPr>
            <w:tcW w:w="691" w:type="dxa"/>
            <w:vAlign w:val="center"/>
          </w:tcPr>
          <w:p w14:paraId="4AFB5BBB">
            <w:pPr>
              <w:spacing w:line="360" w:lineRule="auto"/>
              <w:jc w:val="center"/>
              <w:rPr>
                <w:rFonts w:ascii="宋体" w:hAnsi="宋体" w:cs="宋体"/>
                <w:sz w:val="24"/>
              </w:rPr>
            </w:pPr>
          </w:p>
        </w:tc>
        <w:tc>
          <w:tcPr>
            <w:tcW w:w="691" w:type="dxa"/>
            <w:vAlign w:val="center"/>
          </w:tcPr>
          <w:p w14:paraId="69DA3560">
            <w:pPr>
              <w:spacing w:line="360" w:lineRule="auto"/>
              <w:jc w:val="center"/>
              <w:rPr>
                <w:rFonts w:ascii="宋体" w:hAnsi="宋体" w:cs="宋体"/>
                <w:sz w:val="24"/>
              </w:rPr>
            </w:pPr>
          </w:p>
        </w:tc>
        <w:tc>
          <w:tcPr>
            <w:tcW w:w="688" w:type="dxa"/>
            <w:vAlign w:val="center"/>
          </w:tcPr>
          <w:p w14:paraId="48203250">
            <w:pPr>
              <w:spacing w:line="360" w:lineRule="auto"/>
              <w:jc w:val="center"/>
              <w:rPr>
                <w:rFonts w:ascii="宋体" w:hAnsi="宋体" w:cs="宋体"/>
                <w:sz w:val="24"/>
              </w:rPr>
            </w:pPr>
          </w:p>
        </w:tc>
      </w:tr>
      <w:tr w14:paraId="0F7146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56EBE583">
            <w:pPr>
              <w:spacing w:line="360" w:lineRule="auto"/>
              <w:jc w:val="center"/>
              <w:rPr>
                <w:rFonts w:ascii="宋体" w:hAnsi="宋体" w:cs="宋体"/>
                <w:sz w:val="24"/>
              </w:rPr>
            </w:pPr>
            <w:r>
              <w:rPr>
                <w:rFonts w:hint="eastAsia" w:ascii="宋体" w:hAnsi="宋体" w:cs="宋体"/>
                <w:sz w:val="24"/>
              </w:rPr>
              <w:t>1</w:t>
            </w:r>
          </w:p>
        </w:tc>
        <w:tc>
          <w:tcPr>
            <w:tcW w:w="2668" w:type="dxa"/>
            <w:vAlign w:val="center"/>
          </w:tcPr>
          <w:p w14:paraId="1BAE230A">
            <w:pPr>
              <w:spacing w:line="360" w:lineRule="auto"/>
              <w:jc w:val="center"/>
              <w:rPr>
                <w:rFonts w:ascii="宋体" w:hAnsi="宋体"/>
                <w:sz w:val="24"/>
              </w:rPr>
            </w:pPr>
            <w:r>
              <w:rPr>
                <w:rFonts w:hint="eastAsia" w:ascii="宋体" w:hAnsi="宋体" w:cs="宋体"/>
                <w:sz w:val="24"/>
              </w:rPr>
              <w:t>……</w:t>
            </w:r>
          </w:p>
        </w:tc>
        <w:tc>
          <w:tcPr>
            <w:tcW w:w="875" w:type="dxa"/>
            <w:vAlign w:val="center"/>
          </w:tcPr>
          <w:p w14:paraId="6508D047">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4FA9A965">
            <w:pPr>
              <w:spacing w:line="360" w:lineRule="auto"/>
              <w:jc w:val="center"/>
              <w:rPr>
                <w:rFonts w:ascii="宋体" w:hAnsi="宋体" w:cs="宋体"/>
                <w:sz w:val="24"/>
              </w:rPr>
            </w:pPr>
          </w:p>
        </w:tc>
        <w:tc>
          <w:tcPr>
            <w:tcW w:w="691" w:type="dxa"/>
            <w:vAlign w:val="center"/>
          </w:tcPr>
          <w:p w14:paraId="20BFAC5B">
            <w:pPr>
              <w:spacing w:line="360" w:lineRule="auto"/>
              <w:jc w:val="center"/>
              <w:rPr>
                <w:rFonts w:ascii="宋体" w:hAnsi="宋体" w:cs="宋体"/>
                <w:sz w:val="24"/>
              </w:rPr>
            </w:pPr>
          </w:p>
        </w:tc>
        <w:tc>
          <w:tcPr>
            <w:tcW w:w="691" w:type="dxa"/>
            <w:vAlign w:val="center"/>
          </w:tcPr>
          <w:p w14:paraId="2CD0DFE2">
            <w:pPr>
              <w:spacing w:line="360" w:lineRule="auto"/>
              <w:jc w:val="center"/>
              <w:rPr>
                <w:rFonts w:ascii="宋体" w:hAnsi="宋体" w:cs="宋体"/>
                <w:sz w:val="24"/>
              </w:rPr>
            </w:pPr>
          </w:p>
        </w:tc>
        <w:tc>
          <w:tcPr>
            <w:tcW w:w="691" w:type="dxa"/>
            <w:vAlign w:val="center"/>
          </w:tcPr>
          <w:p w14:paraId="26ACBA7C">
            <w:pPr>
              <w:spacing w:line="360" w:lineRule="auto"/>
              <w:jc w:val="center"/>
              <w:rPr>
                <w:rFonts w:ascii="宋体" w:hAnsi="宋体" w:cs="宋体"/>
                <w:sz w:val="24"/>
              </w:rPr>
            </w:pPr>
          </w:p>
        </w:tc>
        <w:tc>
          <w:tcPr>
            <w:tcW w:w="691" w:type="dxa"/>
            <w:vAlign w:val="center"/>
          </w:tcPr>
          <w:p w14:paraId="4A536186">
            <w:pPr>
              <w:spacing w:line="360" w:lineRule="auto"/>
              <w:jc w:val="center"/>
              <w:rPr>
                <w:rFonts w:ascii="宋体" w:hAnsi="宋体" w:cs="宋体"/>
                <w:sz w:val="24"/>
              </w:rPr>
            </w:pPr>
          </w:p>
        </w:tc>
        <w:tc>
          <w:tcPr>
            <w:tcW w:w="691" w:type="dxa"/>
            <w:vAlign w:val="center"/>
          </w:tcPr>
          <w:p w14:paraId="4EBAADB7">
            <w:pPr>
              <w:spacing w:line="360" w:lineRule="auto"/>
              <w:jc w:val="center"/>
              <w:rPr>
                <w:rFonts w:ascii="宋体" w:hAnsi="宋体" w:cs="宋体"/>
                <w:sz w:val="24"/>
              </w:rPr>
            </w:pPr>
          </w:p>
        </w:tc>
        <w:tc>
          <w:tcPr>
            <w:tcW w:w="691" w:type="dxa"/>
            <w:vAlign w:val="center"/>
          </w:tcPr>
          <w:p w14:paraId="00C1383B">
            <w:pPr>
              <w:spacing w:line="360" w:lineRule="auto"/>
              <w:jc w:val="center"/>
              <w:rPr>
                <w:rFonts w:ascii="宋体" w:hAnsi="宋体" w:cs="宋体"/>
                <w:sz w:val="24"/>
              </w:rPr>
            </w:pPr>
          </w:p>
        </w:tc>
        <w:tc>
          <w:tcPr>
            <w:tcW w:w="688" w:type="dxa"/>
            <w:vAlign w:val="center"/>
          </w:tcPr>
          <w:p w14:paraId="7F646F3C">
            <w:pPr>
              <w:spacing w:line="360" w:lineRule="auto"/>
              <w:jc w:val="center"/>
              <w:rPr>
                <w:rFonts w:ascii="宋体" w:hAnsi="宋体" w:cs="宋体"/>
                <w:sz w:val="24"/>
              </w:rPr>
            </w:pPr>
          </w:p>
        </w:tc>
      </w:tr>
      <w:tr w14:paraId="2FDBC0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7917F3E6">
            <w:pPr>
              <w:spacing w:line="360" w:lineRule="auto"/>
              <w:jc w:val="center"/>
              <w:rPr>
                <w:rFonts w:ascii="宋体" w:hAnsi="宋体" w:cs="宋体"/>
                <w:sz w:val="24"/>
              </w:rPr>
            </w:pPr>
            <w:r>
              <w:rPr>
                <w:rFonts w:hint="eastAsia" w:ascii="宋体" w:hAnsi="宋体" w:cs="宋体"/>
                <w:sz w:val="24"/>
              </w:rPr>
              <w:t>2</w:t>
            </w:r>
          </w:p>
        </w:tc>
        <w:tc>
          <w:tcPr>
            <w:tcW w:w="2668" w:type="dxa"/>
            <w:vAlign w:val="center"/>
          </w:tcPr>
          <w:p w14:paraId="4E6DD7F7">
            <w:pPr>
              <w:spacing w:line="360" w:lineRule="auto"/>
              <w:jc w:val="center"/>
              <w:rPr>
                <w:rFonts w:ascii="宋体" w:hAnsi="宋体"/>
                <w:sz w:val="24"/>
              </w:rPr>
            </w:pPr>
            <w:r>
              <w:rPr>
                <w:rFonts w:hint="eastAsia" w:ascii="宋体" w:hAnsi="宋体" w:cs="宋体"/>
                <w:sz w:val="24"/>
              </w:rPr>
              <w:t>……</w:t>
            </w:r>
          </w:p>
        </w:tc>
        <w:tc>
          <w:tcPr>
            <w:tcW w:w="875" w:type="dxa"/>
            <w:vAlign w:val="center"/>
          </w:tcPr>
          <w:p w14:paraId="7E84EBAB">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3403562A">
            <w:pPr>
              <w:spacing w:line="360" w:lineRule="auto"/>
              <w:jc w:val="center"/>
              <w:rPr>
                <w:rFonts w:ascii="宋体" w:hAnsi="宋体" w:cs="宋体"/>
                <w:sz w:val="24"/>
              </w:rPr>
            </w:pPr>
          </w:p>
        </w:tc>
        <w:tc>
          <w:tcPr>
            <w:tcW w:w="691" w:type="dxa"/>
            <w:vAlign w:val="center"/>
          </w:tcPr>
          <w:p w14:paraId="66877577">
            <w:pPr>
              <w:spacing w:line="360" w:lineRule="auto"/>
              <w:jc w:val="center"/>
              <w:rPr>
                <w:rFonts w:ascii="宋体" w:hAnsi="宋体" w:cs="宋体"/>
                <w:sz w:val="24"/>
              </w:rPr>
            </w:pPr>
          </w:p>
        </w:tc>
        <w:tc>
          <w:tcPr>
            <w:tcW w:w="691" w:type="dxa"/>
            <w:vAlign w:val="center"/>
          </w:tcPr>
          <w:p w14:paraId="747926C7">
            <w:pPr>
              <w:spacing w:line="360" w:lineRule="auto"/>
              <w:jc w:val="center"/>
              <w:rPr>
                <w:rFonts w:ascii="宋体" w:hAnsi="宋体" w:cs="宋体"/>
                <w:sz w:val="24"/>
              </w:rPr>
            </w:pPr>
          </w:p>
        </w:tc>
        <w:tc>
          <w:tcPr>
            <w:tcW w:w="691" w:type="dxa"/>
            <w:vAlign w:val="center"/>
          </w:tcPr>
          <w:p w14:paraId="5D428A1F">
            <w:pPr>
              <w:spacing w:line="360" w:lineRule="auto"/>
              <w:jc w:val="center"/>
              <w:rPr>
                <w:rFonts w:ascii="宋体" w:hAnsi="宋体" w:cs="宋体"/>
                <w:sz w:val="24"/>
              </w:rPr>
            </w:pPr>
          </w:p>
        </w:tc>
        <w:tc>
          <w:tcPr>
            <w:tcW w:w="691" w:type="dxa"/>
            <w:vAlign w:val="center"/>
          </w:tcPr>
          <w:p w14:paraId="549998EB">
            <w:pPr>
              <w:spacing w:line="360" w:lineRule="auto"/>
              <w:jc w:val="center"/>
              <w:rPr>
                <w:rFonts w:ascii="宋体" w:hAnsi="宋体" w:cs="宋体"/>
                <w:sz w:val="24"/>
              </w:rPr>
            </w:pPr>
          </w:p>
        </w:tc>
        <w:tc>
          <w:tcPr>
            <w:tcW w:w="691" w:type="dxa"/>
            <w:vAlign w:val="center"/>
          </w:tcPr>
          <w:p w14:paraId="4FB28725">
            <w:pPr>
              <w:spacing w:line="360" w:lineRule="auto"/>
              <w:jc w:val="center"/>
              <w:rPr>
                <w:rFonts w:ascii="宋体" w:hAnsi="宋体" w:cs="宋体"/>
                <w:sz w:val="24"/>
              </w:rPr>
            </w:pPr>
          </w:p>
        </w:tc>
        <w:tc>
          <w:tcPr>
            <w:tcW w:w="691" w:type="dxa"/>
            <w:vAlign w:val="center"/>
          </w:tcPr>
          <w:p w14:paraId="6A94F819">
            <w:pPr>
              <w:spacing w:line="360" w:lineRule="auto"/>
              <w:jc w:val="center"/>
              <w:rPr>
                <w:rFonts w:ascii="宋体" w:hAnsi="宋体" w:cs="宋体"/>
                <w:sz w:val="24"/>
              </w:rPr>
            </w:pPr>
          </w:p>
        </w:tc>
        <w:tc>
          <w:tcPr>
            <w:tcW w:w="688" w:type="dxa"/>
            <w:vAlign w:val="center"/>
          </w:tcPr>
          <w:p w14:paraId="38547A86">
            <w:pPr>
              <w:spacing w:line="360" w:lineRule="auto"/>
              <w:jc w:val="center"/>
              <w:rPr>
                <w:rFonts w:ascii="宋体" w:hAnsi="宋体" w:cs="宋体"/>
                <w:sz w:val="24"/>
              </w:rPr>
            </w:pPr>
          </w:p>
        </w:tc>
      </w:tr>
      <w:tr w14:paraId="31514A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0" w:hRule="atLeast"/>
          <w:jc w:val="center"/>
        </w:trPr>
        <w:tc>
          <w:tcPr>
            <w:tcW w:w="614" w:type="dxa"/>
            <w:vAlign w:val="center"/>
          </w:tcPr>
          <w:p w14:paraId="521A5EBD">
            <w:pPr>
              <w:spacing w:line="360" w:lineRule="auto"/>
              <w:jc w:val="center"/>
              <w:rPr>
                <w:rFonts w:ascii="宋体" w:hAnsi="宋体" w:cs="宋体"/>
                <w:sz w:val="24"/>
              </w:rPr>
            </w:pPr>
            <w:r>
              <w:rPr>
                <w:rFonts w:hint="eastAsia" w:ascii="宋体" w:hAnsi="宋体" w:cs="宋体"/>
                <w:sz w:val="24"/>
              </w:rPr>
              <w:t>3</w:t>
            </w:r>
          </w:p>
        </w:tc>
        <w:tc>
          <w:tcPr>
            <w:tcW w:w="2668" w:type="dxa"/>
            <w:vAlign w:val="center"/>
          </w:tcPr>
          <w:p w14:paraId="28607F11">
            <w:pPr>
              <w:spacing w:line="360" w:lineRule="auto"/>
              <w:jc w:val="center"/>
              <w:rPr>
                <w:rFonts w:ascii="宋体" w:hAnsi="宋体"/>
                <w:sz w:val="24"/>
              </w:rPr>
            </w:pPr>
            <w:r>
              <w:rPr>
                <w:rFonts w:hint="eastAsia" w:ascii="宋体" w:hAnsi="宋体" w:cs="宋体"/>
                <w:sz w:val="24"/>
              </w:rPr>
              <w:t>……</w:t>
            </w:r>
          </w:p>
        </w:tc>
        <w:tc>
          <w:tcPr>
            <w:tcW w:w="875" w:type="dxa"/>
            <w:vAlign w:val="center"/>
          </w:tcPr>
          <w:p w14:paraId="6C44DFC4">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47FC5482">
            <w:pPr>
              <w:spacing w:line="360" w:lineRule="auto"/>
              <w:jc w:val="center"/>
              <w:rPr>
                <w:rFonts w:ascii="宋体" w:hAnsi="宋体" w:cs="宋体"/>
                <w:sz w:val="24"/>
              </w:rPr>
            </w:pPr>
          </w:p>
        </w:tc>
        <w:tc>
          <w:tcPr>
            <w:tcW w:w="691" w:type="dxa"/>
            <w:vAlign w:val="center"/>
          </w:tcPr>
          <w:p w14:paraId="3088BDCF">
            <w:pPr>
              <w:spacing w:line="360" w:lineRule="auto"/>
              <w:jc w:val="center"/>
              <w:rPr>
                <w:rFonts w:ascii="宋体" w:hAnsi="宋体" w:cs="宋体"/>
                <w:sz w:val="24"/>
              </w:rPr>
            </w:pPr>
          </w:p>
        </w:tc>
        <w:tc>
          <w:tcPr>
            <w:tcW w:w="691" w:type="dxa"/>
            <w:vAlign w:val="center"/>
          </w:tcPr>
          <w:p w14:paraId="16C0D14C">
            <w:pPr>
              <w:spacing w:line="360" w:lineRule="auto"/>
              <w:jc w:val="center"/>
              <w:rPr>
                <w:rFonts w:ascii="宋体" w:hAnsi="宋体" w:cs="宋体"/>
                <w:sz w:val="24"/>
              </w:rPr>
            </w:pPr>
          </w:p>
        </w:tc>
        <w:tc>
          <w:tcPr>
            <w:tcW w:w="691" w:type="dxa"/>
            <w:vAlign w:val="center"/>
          </w:tcPr>
          <w:p w14:paraId="16DA56F2">
            <w:pPr>
              <w:spacing w:line="360" w:lineRule="auto"/>
              <w:jc w:val="center"/>
              <w:rPr>
                <w:rFonts w:ascii="宋体" w:hAnsi="宋体" w:cs="宋体"/>
                <w:sz w:val="24"/>
              </w:rPr>
            </w:pPr>
          </w:p>
        </w:tc>
        <w:tc>
          <w:tcPr>
            <w:tcW w:w="691" w:type="dxa"/>
            <w:vAlign w:val="center"/>
          </w:tcPr>
          <w:p w14:paraId="6E792F7E">
            <w:pPr>
              <w:spacing w:line="360" w:lineRule="auto"/>
              <w:jc w:val="center"/>
              <w:rPr>
                <w:rFonts w:ascii="宋体" w:hAnsi="宋体" w:cs="宋体"/>
                <w:sz w:val="24"/>
              </w:rPr>
            </w:pPr>
          </w:p>
        </w:tc>
        <w:tc>
          <w:tcPr>
            <w:tcW w:w="691" w:type="dxa"/>
            <w:vAlign w:val="center"/>
          </w:tcPr>
          <w:p w14:paraId="7C22427A">
            <w:pPr>
              <w:spacing w:line="360" w:lineRule="auto"/>
              <w:jc w:val="center"/>
              <w:rPr>
                <w:rFonts w:ascii="宋体" w:hAnsi="宋体" w:cs="宋体"/>
                <w:sz w:val="24"/>
              </w:rPr>
            </w:pPr>
          </w:p>
        </w:tc>
        <w:tc>
          <w:tcPr>
            <w:tcW w:w="691" w:type="dxa"/>
            <w:vAlign w:val="center"/>
          </w:tcPr>
          <w:p w14:paraId="6017C208">
            <w:pPr>
              <w:spacing w:line="360" w:lineRule="auto"/>
              <w:jc w:val="center"/>
              <w:rPr>
                <w:rFonts w:ascii="宋体" w:hAnsi="宋体" w:cs="宋体"/>
                <w:sz w:val="24"/>
              </w:rPr>
            </w:pPr>
          </w:p>
        </w:tc>
        <w:tc>
          <w:tcPr>
            <w:tcW w:w="688" w:type="dxa"/>
            <w:vAlign w:val="center"/>
          </w:tcPr>
          <w:p w14:paraId="011600A3">
            <w:pPr>
              <w:spacing w:line="360" w:lineRule="auto"/>
              <w:jc w:val="center"/>
              <w:rPr>
                <w:rFonts w:ascii="宋体" w:hAnsi="宋体" w:cs="宋体"/>
                <w:sz w:val="24"/>
              </w:rPr>
            </w:pPr>
          </w:p>
        </w:tc>
      </w:tr>
      <w:tr w14:paraId="1F7BA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254B83C9">
            <w:pPr>
              <w:spacing w:line="360" w:lineRule="auto"/>
              <w:jc w:val="center"/>
              <w:rPr>
                <w:rFonts w:ascii="宋体" w:hAnsi="宋体" w:cs="宋体"/>
                <w:sz w:val="24"/>
              </w:rPr>
            </w:pPr>
            <w:r>
              <w:rPr>
                <w:rFonts w:hint="eastAsia" w:ascii="宋体" w:hAnsi="宋体" w:cs="宋体"/>
                <w:sz w:val="24"/>
              </w:rPr>
              <w:t>……</w:t>
            </w:r>
          </w:p>
        </w:tc>
        <w:tc>
          <w:tcPr>
            <w:tcW w:w="2668" w:type="dxa"/>
            <w:vAlign w:val="center"/>
          </w:tcPr>
          <w:p w14:paraId="51B0907C">
            <w:pPr>
              <w:spacing w:line="360" w:lineRule="auto"/>
              <w:jc w:val="center"/>
              <w:rPr>
                <w:rFonts w:ascii="宋体" w:hAnsi="宋体" w:cs="宋体"/>
                <w:sz w:val="24"/>
              </w:rPr>
            </w:pPr>
            <w:r>
              <w:rPr>
                <w:rFonts w:hint="eastAsia" w:ascii="宋体" w:hAnsi="宋体" w:cs="宋体"/>
                <w:sz w:val="24"/>
              </w:rPr>
              <w:t>……</w:t>
            </w:r>
          </w:p>
        </w:tc>
        <w:tc>
          <w:tcPr>
            <w:tcW w:w="875" w:type="dxa"/>
            <w:vAlign w:val="center"/>
          </w:tcPr>
          <w:p w14:paraId="173B97DD">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5F2A7CCF">
            <w:pPr>
              <w:spacing w:line="360" w:lineRule="auto"/>
              <w:jc w:val="center"/>
              <w:rPr>
                <w:rFonts w:ascii="宋体" w:hAnsi="宋体" w:cs="宋体"/>
                <w:sz w:val="24"/>
              </w:rPr>
            </w:pPr>
          </w:p>
        </w:tc>
        <w:tc>
          <w:tcPr>
            <w:tcW w:w="691" w:type="dxa"/>
            <w:vAlign w:val="center"/>
          </w:tcPr>
          <w:p w14:paraId="7C57E07D">
            <w:pPr>
              <w:spacing w:line="360" w:lineRule="auto"/>
              <w:jc w:val="center"/>
              <w:rPr>
                <w:rFonts w:ascii="宋体" w:hAnsi="宋体" w:cs="宋体"/>
                <w:sz w:val="24"/>
              </w:rPr>
            </w:pPr>
          </w:p>
        </w:tc>
        <w:tc>
          <w:tcPr>
            <w:tcW w:w="691" w:type="dxa"/>
            <w:vAlign w:val="center"/>
          </w:tcPr>
          <w:p w14:paraId="3D5367B8">
            <w:pPr>
              <w:spacing w:line="360" w:lineRule="auto"/>
              <w:jc w:val="center"/>
              <w:rPr>
                <w:rFonts w:ascii="宋体" w:hAnsi="宋体" w:cs="宋体"/>
                <w:sz w:val="24"/>
              </w:rPr>
            </w:pPr>
          </w:p>
        </w:tc>
        <w:tc>
          <w:tcPr>
            <w:tcW w:w="691" w:type="dxa"/>
            <w:vAlign w:val="center"/>
          </w:tcPr>
          <w:p w14:paraId="41184F9F">
            <w:pPr>
              <w:spacing w:line="360" w:lineRule="auto"/>
              <w:jc w:val="center"/>
              <w:rPr>
                <w:rFonts w:ascii="宋体" w:hAnsi="宋体" w:cs="宋体"/>
                <w:sz w:val="24"/>
              </w:rPr>
            </w:pPr>
          </w:p>
        </w:tc>
        <w:tc>
          <w:tcPr>
            <w:tcW w:w="691" w:type="dxa"/>
            <w:vAlign w:val="center"/>
          </w:tcPr>
          <w:p w14:paraId="2F374F36">
            <w:pPr>
              <w:spacing w:line="360" w:lineRule="auto"/>
              <w:jc w:val="center"/>
              <w:rPr>
                <w:rFonts w:ascii="宋体" w:hAnsi="宋体" w:cs="宋体"/>
                <w:sz w:val="24"/>
              </w:rPr>
            </w:pPr>
          </w:p>
        </w:tc>
        <w:tc>
          <w:tcPr>
            <w:tcW w:w="691" w:type="dxa"/>
            <w:vAlign w:val="center"/>
          </w:tcPr>
          <w:p w14:paraId="13CF3DD5">
            <w:pPr>
              <w:spacing w:line="360" w:lineRule="auto"/>
              <w:jc w:val="center"/>
              <w:rPr>
                <w:rFonts w:ascii="宋体" w:hAnsi="宋体" w:cs="宋体"/>
                <w:sz w:val="24"/>
              </w:rPr>
            </w:pPr>
          </w:p>
        </w:tc>
        <w:tc>
          <w:tcPr>
            <w:tcW w:w="691" w:type="dxa"/>
            <w:vAlign w:val="center"/>
          </w:tcPr>
          <w:p w14:paraId="1FEB66A9">
            <w:pPr>
              <w:spacing w:line="360" w:lineRule="auto"/>
              <w:jc w:val="center"/>
              <w:rPr>
                <w:rFonts w:ascii="宋体" w:hAnsi="宋体" w:cs="宋体"/>
                <w:sz w:val="24"/>
              </w:rPr>
            </w:pPr>
          </w:p>
        </w:tc>
        <w:tc>
          <w:tcPr>
            <w:tcW w:w="688" w:type="dxa"/>
            <w:vAlign w:val="center"/>
          </w:tcPr>
          <w:p w14:paraId="0852AA88">
            <w:pPr>
              <w:spacing w:line="360" w:lineRule="auto"/>
              <w:jc w:val="center"/>
              <w:rPr>
                <w:rFonts w:ascii="宋体" w:hAnsi="宋体" w:cs="宋体"/>
                <w:sz w:val="24"/>
              </w:rPr>
            </w:pPr>
          </w:p>
        </w:tc>
      </w:tr>
      <w:tr w14:paraId="0145A7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282" w:type="dxa"/>
            <w:gridSpan w:val="2"/>
            <w:vAlign w:val="center"/>
          </w:tcPr>
          <w:p w14:paraId="7DFC56D6">
            <w:pPr>
              <w:spacing w:line="360" w:lineRule="auto"/>
              <w:jc w:val="center"/>
              <w:rPr>
                <w:rFonts w:ascii="宋体" w:hAnsi="宋体" w:cs="宋体"/>
                <w:sz w:val="24"/>
              </w:rPr>
            </w:pPr>
            <w:r>
              <w:rPr>
                <w:rFonts w:hint="eastAsia" w:ascii="宋体" w:hAnsi="宋体" w:cs="宋体"/>
                <w:sz w:val="24"/>
              </w:rPr>
              <w:t>资信业绩</w:t>
            </w:r>
            <w:r>
              <w:rPr>
                <w:rFonts w:hint="eastAsia" w:ascii="宋体" w:hAnsi="宋体" w:cs="宋体"/>
                <w:bCs/>
                <w:sz w:val="24"/>
              </w:rPr>
              <w:t>得分</w:t>
            </w:r>
            <w:r>
              <w:rPr>
                <w:rFonts w:hint="eastAsia" w:ascii="宋体" w:hAnsi="宋体" w:cs="宋体"/>
                <w:sz w:val="24"/>
              </w:rPr>
              <w:t>合计B</w:t>
            </w:r>
          </w:p>
        </w:tc>
        <w:tc>
          <w:tcPr>
            <w:tcW w:w="875" w:type="dxa"/>
            <w:vAlign w:val="center"/>
          </w:tcPr>
          <w:p w14:paraId="1DCF36B3">
            <w:pPr>
              <w:spacing w:line="360" w:lineRule="auto"/>
              <w:jc w:val="center"/>
              <w:rPr>
                <w:rFonts w:ascii="宋体" w:hAnsi="宋体" w:cs="宋体"/>
                <w:sz w:val="24"/>
              </w:rPr>
            </w:pPr>
          </w:p>
        </w:tc>
        <w:tc>
          <w:tcPr>
            <w:tcW w:w="691" w:type="dxa"/>
            <w:vAlign w:val="center"/>
          </w:tcPr>
          <w:p w14:paraId="11512D64">
            <w:pPr>
              <w:spacing w:line="360" w:lineRule="auto"/>
              <w:jc w:val="center"/>
              <w:rPr>
                <w:rFonts w:ascii="宋体" w:hAnsi="宋体" w:cs="宋体"/>
                <w:sz w:val="24"/>
              </w:rPr>
            </w:pPr>
          </w:p>
        </w:tc>
        <w:tc>
          <w:tcPr>
            <w:tcW w:w="691" w:type="dxa"/>
            <w:vAlign w:val="center"/>
          </w:tcPr>
          <w:p w14:paraId="36DD0882">
            <w:pPr>
              <w:spacing w:line="360" w:lineRule="auto"/>
              <w:jc w:val="center"/>
              <w:rPr>
                <w:rFonts w:ascii="宋体" w:hAnsi="宋体" w:cs="宋体"/>
                <w:sz w:val="24"/>
              </w:rPr>
            </w:pPr>
          </w:p>
        </w:tc>
        <w:tc>
          <w:tcPr>
            <w:tcW w:w="691" w:type="dxa"/>
            <w:vAlign w:val="center"/>
          </w:tcPr>
          <w:p w14:paraId="57484512">
            <w:pPr>
              <w:spacing w:line="360" w:lineRule="auto"/>
              <w:jc w:val="center"/>
              <w:rPr>
                <w:rFonts w:ascii="宋体" w:hAnsi="宋体" w:cs="宋体"/>
                <w:sz w:val="24"/>
              </w:rPr>
            </w:pPr>
          </w:p>
        </w:tc>
        <w:tc>
          <w:tcPr>
            <w:tcW w:w="691" w:type="dxa"/>
            <w:vAlign w:val="center"/>
          </w:tcPr>
          <w:p w14:paraId="207E53C7">
            <w:pPr>
              <w:spacing w:line="360" w:lineRule="auto"/>
              <w:jc w:val="center"/>
              <w:rPr>
                <w:rFonts w:ascii="宋体" w:hAnsi="宋体" w:cs="宋体"/>
                <w:sz w:val="24"/>
              </w:rPr>
            </w:pPr>
          </w:p>
        </w:tc>
        <w:tc>
          <w:tcPr>
            <w:tcW w:w="691" w:type="dxa"/>
            <w:vAlign w:val="center"/>
          </w:tcPr>
          <w:p w14:paraId="7C78D4C0">
            <w:pPr>
              <w:spacing w:line="360" w:lineRule="auto"/>
              <w:jc w:val="center"/>
              <w:rPr>
                <w:rFonts w:ascii="宋体" w:hAnsi="宋体" w:cs="宋体"/>
                <w:sz w:val="24"/>
              </w:rPr>
            </w:pPr>
          </w:p>
        </w:tc>
        <w:tc>
          <w:tcPr>
            <w:tcW w:w="691" w:type="dxa"/>
            <w:vAlign w:val="center"/>
          </w:tcPr>
          <w:p w14:paraId="41885763">
            <w:pPr>
              <w:spacing w:line="360" w:lineRule="auto"/>
              <w:jc w:val="center"/>
              <w:rPr>
                <w:rFonts w:ascii="宋体" w:hAnsi="宋体" w:cs="宋体"/>
                <w:sz w:val="24"/>
              </w:rPr>
            </w:pPr>
          </w:p>
        </w:tc>
        <w:tc>
          <w:tcPr>
            <w:tcW w:w="691" w:type="dxa"/>
            <w:vAlign w:val="center"/>
          </w:tcPr>
          <w:p w14:paraId="67A56E8B">
            <w:pPr>
              <w:spacing w:line="360" w:lineRule="auto"/>
              <w:jc w:val="center"/>
              <w:rPr>
                <w:rFonts w:ascii="宋体" w:hAnsi="宋体" w:cs="宋体"/>
                <w:sz w:val="24"/>
              </w:rPr>
            </w:pPr>
          </w:p>
        </w:tc>
        <w:tc>
          <w:tcPr>
            <w:tcW w:w="688" w:type="dxa"/>
            <w:vAlign w:val="center"/>
          </w:tcPr>
          <w:p w14:paraId="26C84D6D">
            <w:pPr>
              <w:spacing w:line="360" w:lineRule="auto"/>
              <w:jc w:val="center"/>
              <w:rPr>
                <w:rFonts w:ascii="宋体" w:hAnsi="宋体" w:cs="宋体"/>
                <w:sz w:val="24"/>
              </w:rPr>
            </w:pPr>
          </w:p>
        </w:tc>
      </w:tr>
    </w:tbl>
    <w:p w14:paraId="3BF73426">
      <w:pPr>
        <w:spacing w:line="360" w:lineRule="auto"/>
        <w:rPr>
          <w:rFonts w:ascii="宋体" w:hAnsi="宋体" w:cs="宋体"/>
          <w:sz w:val="24"/>
        </w:rPr>
      </w:pPr>
    </w:p>
    <w:p w14:paraId="546037D5">
      <w:pPr>
        <w:spacing w:line="360" w:lineRule="auto"/>
        <w:rPr>
          <w:rFonts w:ascii="宋体" w:hAnsi="宋体" w:cs="宋体"/>
          <w:sz w:val="24"/>
        </w:rPr>
      </w:pPr>
      <w:r>
        <w:rPr>
          <w:rFonts w:hint="eastAsia" w:ascii="宋体" w:hAnsi="宋体" w:cs="宋体"/>
          <w:sz w:val="24"/>
        </w:rPr>
        <w:t>评标委员会成员签名：</w:t>
      </w:r>
    </w:p>
    <w:p w14:paraId="0E9BCCE2">
      <w:pPr>
        <w:pStyle w:val="4"/>
        <w:rPr>
          <w:rFonts w:ascii="宋体" w:hAnsi="宋体" w:eastAsia="宋体"/>
          <w:sz w:val="24"/>
          <w:szCs w:val="24"/>
        </w:rPr>
      </w:pPr>
      <w:r>
        <w:rPr>
          <w:rFonts w:hint="eastAsia" w:ascii="宋体" w:hAnsi="宋体" w:eastAsia="宋体" w:cs="宋体"/>
          <w:sz w:val="24"/>
          <w:szCs w:val="24"/>
        </w:rPr>
        <w:br w:type="page"/>
      </w:r>
      <w:r>
        <w:rPr>
          <w:rFonts w:hint="eastAsia" w:ascii="宋体" w:hAnsi="宋体" w:eastAsia="宋体"/>
          <w:sz w:val="24"/>
          <w:szCs w:val="24"/>
        </w:rPr>
        <w:t>附表8：承包人实施方案评审记录表</w:t>
      </w:r>
    </w:p>
    <w:p w14:paraId="1974C6CA">
      <w:pPr>
        <w:spacing w:line="360" w:lineRule="auto"/>
        <w:jc w:val="center"/>
        <w:rPr>
          <w:rFonts w:ascii="宋体" w:hAnsi="宋体" w:cs="宋体"/>
          <w:b/>
          <w:sz w:val="24"/>
        </w:rPr>
      </w:pPr>
      <w:r>
        <w:rPr>
          <w:rFonts w:hint="eastAsia" w:ascii="宋体" w:hAnsi="宋体"/>
          <w:b/>
          <w:bCs/>
          <w:sz w:val="24"/>
        </w:rPr>
        <w:t>承包人实施方案</w:t>
      </w:r>
      <w:r>
        <w:rPr>
          <w:rFonts w:hint="eastAsia" w:ascii="宋体" w:hAnsi="宋体" w:cs="宋体"/>
          <w:b/>
          <w:sz w:val="24"/>
        </w:rPr>
        <w:t>评审记录表</w:t>
      </w:r>
    </w:p>
    <w:p w14:paraId="4367E0F1">
      <w:pPr>
        <w:spacing w:line="360" w:lineRule="auto"/>
        <w:jc w:val="center"/>
        <w:rPr>
          <w:rFonts w:ascii="宋体" w:hAnsi="宋体" w:cs="宋体"/>
          <w:b/>
          <w:sz w:val="24"/>
        </w:rPr>
      </w:pPr>
    </w:p>
    <w:p w14:paraId="2AFE13BF">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4"/>
        <w:gridCol w:w="2668"/>
        <w:gridCol w:w="875"/>
        <w:gridCol w:w="691"/>
        <w:gridCol w:w="691"/>
        <w:gridCol w:w="691"/>
        <w:gridCol w:w="691"/>
        <w:gridCol w:w="691"/>
        <w:gridCol w:w="691"/>
        <w:gridCol w:w="691"/>
        <w:gridCol w:w="688"/>
      </w:tblGrid>
      <w:tr w14:paraId="05A504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Merge w:val="restart"/>
            <w:vAlign w:val="center"/>
          </w:tcPr>
          <w:p w14:paraId="0E8437BE">
            <w:pPr>
              <w:spacing w:line="360" w:lineRule="auto"/>
              <w:jc w:val="center"/>
              <w:rPr>
                <w:rFonts w:ascii="宋体" w:hAnsi="宋体" w:cs="宋体"/>
                <w:sz w:val="24"/>
              </w:rPr>
            </w:pPr>
            <w:r>
              <w:rPr>
                <w:rFonts w:hint="eastAsia" w:ascii="宋体" w:hAnsi="宋体" w:cs="宋体"/>
                <w:sz w:val="24"/>
              </w:rPr>
              <w:t>序号</w:t>
            </w:r>
          </w:p>
        </w:tc>
        <w:tc>
          <w:tcPr>
            <w:tcW w:w="2668" w:type="dxa"/>
            <w:vMerge w:val="restart"/>
            <w:vAlign w:val="center"/>
          </w:tcPr>
          <w:p w14:paraId="52423F44">
            <w:pPr>
              <w:spacing w:line="360" w:lineRule="auto"/>
              <w:jc w:val="center"/>
              <w:rPr>
                <w:rFonts w:ascii="宋体" w:hAnsi="宋体" w:cs="宋体"/>
                <w:sz w:val="24"/>
              </w:rPr>
            </w:pPr>
            <w:r>
              <w:rPr>
                <w:rFonts w:hint="eastAsia" w:ascii="宋体" w:hAnsi="宋体" w:cs="宋体"/>
                <w:sz w:val="24"/>
              </w:rPr>
              <w:t>评分因素</w:t>
            </w:r>
          </w:p>
        </w:tc>
        <w:tc>
          <w:tcPr>
            <w:tcW w:w="875" w:type="dxa"/>
            <w:vMerge w:val="restart"/>
            <w:vAlign w:val="center"/>
          </w:tcPr>
          <w:p w14:paraId="0A7C8C55">
            <w:pPr>
              <w:spacing w:line="360" w:lineRule="auto"/>
              <w:jc w:val="center"/>
              <w:rPr>
                <w:rFonts w:ascii="宋体" w:hAnsi="宋体" w:cs="宋体"/>
                <w:sz w:val="24"/>
              </w:rPr>
            </w:pPr>
            <w:r>
              <w:rPr>
                <w:rFonts w:hint="eastAsia" w:ascii="宋体" w:hAnsi="宋体" w:cs="宋体"/>
                <w:sz w:val="24"/>
              </w:rPr>
              <w:t>分值</w:t>
            </w:r>
          </w:p>
        </w:tc>
        <w:tc>
          <w:tcPr>
            <w:tcW w:w="5525" w:type="dxa"/>
            <w:gridSpan w:val="8"/>
            <w:vAlign w:val="center"/>
          </w:tcPr>
          <w:p w14:paraId="0BCC6463">
            <w:pPr>
              <w:spacing w:line="360" w:lineRule="auto"/>
              <w:jc w:val="center"/>
              <w:rPr>
                <w:rFonts w:ascii="宋体" w:hAnsi="宋体" w:cs="宋体"/>
                <w:sz w:val="24"/>
              </w:rPr>
            </w:pPr>
            <w:r>
              <w:rPr>
                <w:rFonts w:hint="eastAsia" w:ascii="宋体" w:hAnsi="宋体" w:cs="宋体"/>
                <w:sz w:val="24"/>
              </w:rPr>
              <w:t>投标人名称及评审意见</w:t>
            </w:r>
          </w:p>
        </w:tc>
      </w:tr>
      <w:tr w14:paraId="1B09CE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Merge w:val="continue"/>
            <w:vAlign w:val="center"/>
          </w:tcPr>
          <w:p w14:paraId="1E5D7E19">
            <w:pPr>
              <w:spacing w:line="360" w:lineRule="auto"/>
              <w:rPr>
                <w:rFonts w:ascii="宋体" w:hAnsi="宋体" w:cs="宋体"/>
                <w:sz w:val="24"/>
              </w:rPr>
            </w:pPr>
          </w:p>
        </w:tc>
        <w:tc>
          <w:tcPr>
            <w:tcW w:w="2668" w:type="dxa"/>
            <w:vMerge w:val="continue"/>
            <w:vAlign w:val="center"/>
          </w:tcPr>
          <w:p w14:paraId="2BE3272A">
            <w:pPr>
              <w:spacing w:line="360" w:lineRule="auto"/>
              <w:rPr>
                <w:rFonts w:ascii="宋体" w:hAnsi="宋体" w:cs="宋体"/>
                <w:sz w:val="24"/>
              </w:rPr>
            </w:pPr>
          </w:p>
        </w:tc>
        <w:tc>
          <w:tcPr>
            <w:tcW w:w="875" w:type="dxa"/>
            <w:vMerge w:val="continue"/>
            <w:vAlign w:val="center"/>
          </w:tcPr>
          <w:p w14:paraId="27BFBCA5">
            <w:pPr>
              <w:spacing w:line="360" w:lineRule="auto"/>
              <w:rPr>
                <w:rFonts w:ascii="宋体" w:hAnsi="宋体" w:cs="宋体"/>
                <w:sz w:val="24"/>
              </w:rPr>
            </w:pPr>
          </w:p>
        </w:tc>
        <w:tc>
          <w:tcPr>
            <w:tcW w:w="691" w:type="dxa"/>
            <w:vAlign w:val="center"/>
          </w:tcPr>
          <w:p w14:paraId="2C737D43">
            <w:pPr>
              <w:spacing w:line="360" w:lineRule="auto"/>
              <w:jc w:val="center"/>
              <w:rPr>
                <w:rFonts w:ascii="宋体" w:hAnsi="宋体" w:cs="宋体"/>
                <w:sz w:val="24"/>
              </w:rPr>
            </w:pPr>
          </w:p>
        </w:tc>
        <w:tc>
          <w:tcPr>
            <w:tcW w:w="691" w:type="dxa"/>
            <w:vAlign w:val="center"/>
          </w:tcPr>
          <w:p w14:paraId="2721B291">
            <w:pPr>
              <w:spacing w:line="360" w:lineRule="auto"/>
              <w:jc w:val="center"/>
              <w:rPr>
                <w:rFonts w:ascii="宋体" w:hAnsi="宋体" w:cs="宋体"/>
                <w:sz w:val="24"/>
              </w:rPr>
            </w:pPr>
          </w:p>
        </w:tc>
        <w:tc>
          <w:tcPr>
            <w:tcW w:w="691" w:type="dxa"/>
            <w:vAlign w:val="center"/>
          </w:tcPr>
          <w:p w14:paraId="2E332516">
            <w:pPr>
              <w:spacing w:line="360" w:lineRule="auto"/>
              <w:jc w:val="center"/>
              <w:rPr>
                <w:rFonts w:ascii="宋体" w:hAnsi="宋体" w:cs="宋体"/>
                <w:sz w:val="24"/>
              </w:rPr>
            </w:pPr>
          </w:p>
        </w:tc>
        <w:tc>
          <w:tcPr>
            <w:tcW w:w="691" w:type="dxa"/>
            <w:vAlign w:val="center"/>
          </w:tcPr>
          <w:p w14:paraId="4D3ADAA7">
            <w:pPr>
              <w:spacing w:line="360" w:lineRule="auto"/>
              <w:jc w:val="center"/>
              <w:rPr>
                <w:rFonts w:ascii="宋体" w:hAnsi="宋体" w:cs="宋体"/>
                <w:sz w:val="24"/>
              </w:rPr>
            </w:pPr>
          </w:p>
        </w:tc>
        <w:tc>
          <w:tcPr>
            <w:tcW w:w="691" w:type="dxa"/>
            <w:vAlign w:val="center"/>
          </w:tcPr>
          <w:p w14:paraId="7CF2AAB9">
            <w:pPr>
              <w:spacing w:line="360" w:lineRule="auto"/>
              <w:jc w:val="center"/>
              <w:rPr>
                <w:rFonts w:ascii="宋体" w:hAnsi="宋体" w:cs="宋体"/>
                <w:sz w:val="24"/>
              </w:rPr>
            </w:pPr>
          </w:p>
        </w:tc>
        <w:tc>
          <w:tcPr>
            <w:tcW w:w="691" w:type="dxa"/>
            <w:vAlign w:val="center"/>
          </w:tcPr>
          <w:p w14:paraId="3E4F6D93">
            <w:pPr>
              <w:spacing w:line="360" w:lineRule="auto"/>
              <w:jc w:val="center"/>
              <w:rPr>
                <w:rFonts w:ascii="宋体" w:hAnsi="宋体" w:cs="宋体"/>
                <w:sz w:val="24"/>
              </w:rPr>
            </w:pPr>
          </w:p>
        </w:tc>
        <w:tc>
          <w:tcPr>
            <w:tcW w:w="691" w:type="dxa"/>
            <w:vAlign w:val="center"/>
          </w:tcPr>
          <w:p w14:paraId="45C6DF95">
            <w:pPr>
              <w:spacing w:line="360" w:lineRule="auto"/>
              <w:jc w:val="center"/>
              <w:rPr>
                <w:rFonts w:ascii="宋体" w:hAnsi="宋体" w:cs="宋体"/>
                <w:sz w:val="24"/>
              </w:rPr>
            </w:pPr>
          </w:p>
        </w:tc>
        <w:tc>
          <w:tcPr>
            <w:tcW w:w="688" w:type="dxa"/>
            <w:vAlign w:val="center"/>
          </w:tcPr>
          <w:p w14:paraId="488A95A8">
            <w:pPr>
              <w:spacing w:line="360" w:lineRule="auto"/>
              <w:jc w:val="center"/>
              <w:rPr>
                <w:rFonts w:ascii="宋体" w:hAnsi="宋体" w:cs="宋体"/>
                <w:sz w:val="24"/>
              </w:rPr>
            </w:pPr>
          </w:p>
        </w:tc>
      </w:tr>
      <w:tr w14:paraId="61DD2A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16235D75">
            <w:pPr>
              <w:spacing w:line="360" w:lineRule="auto"/>
              <w:jc w:val="center"/>
              <w:rPr>
                <w:rFonts w:ascii="宋体" w:hAnsi="宋体" w:cs="宋体"/>
                <w:sz w:val="24"/>
              </w:rPr>
            </w:pPr>
            <w:r>
              <w:rPr>
                <w:rFonts w:hint="eastAsia" w:ascii="宋体" w:hAnsi="宋体" w:cs="宋体"/>
                <w:sz w:val="24"/>
              </w:rPr>
              <w:t>1</w:t>
            </w:r>
          </w:p>
        </w:tc>
        <w:tc>
          <w:tcPr>
            <w:tcW w:w="2668" w:type="dxa"/>
            <w:vAlign w:val="center"/>
          </w:tcPr>
          <w:p w14:paraId="77DDD656">
            <w:pPr>
              <w:spacing w:line="360" w:lineRule="auto"/>
              <w:jc w:val="center"/>
              <w:rPr>
                <w:rFonts w:ascii="宋体" w:hAnsi="宋体"/>
                <w:sz w:val="24"/>
              </w:rPr>
            </w:pPr>
            <w:r>
              <w:rPr>
                <w:rFonts w:hint="eastAsia" w:ascii="宋体" w:hAnsi="宋体" w:cs="宋体"/>
                <w:sz w:val="24"/>
              </w:rPr>
              <w:t>……</w:t>
            </w:r>
          </w:p>
        </w:tc>
        <w:tc>
          <w:tcPr>
            <w:tcW w:w="875" w:type="dxa"/>
            <w:vAlign w:val="center"/>
          </w:tcPr>
          <w:p w14:paraId="78AC3E0E">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12AF5977">
            <w:pPr>
              <w:spacing w:line="360" w:lineRule="auto"/>
              <w:jc w:val="center"/>
              <w:rPr>
                <w:rFonts w:ascii="宋体" w:hAnsi="宋体" w:cs="宋体"/>
                <w:sz w:val="24"/>
              </w:rPr>
            </w:pPr>
          </w:p>
        </w:tc>
        <w:tc>
          <w:tcPr>
            <w:tcW w:w="691" w:type="dxa"/>
            <w:vAlign w:val="center"/>
          </w:tcPr>
          <w:p w14:paraId="3C47930C">
            <w:pPr>
              <w:spacing w:line="360" w:lineRule="auto"/>
              <w:jc w:val="center"/>
              <w:rPr>
                <w:rFonts w:ascii="宋体" w:hAnsi="宋体" w:cs="宋体"/>
                <w:sz w:val="24"/>
              </w:rPr>
            </w:pPr>
          </w:p>
        </w:tc>
        <w:tc>
          <w:tcPr>
            <w:tcW w:w="691" w:type="dxa"/>
            <w:vAlign w:val="center"/>
          </w:tcPr>
          <w:p w14:paraId="27685CDF">
            <w:pPr>
              <w:spacing w:line="360" w:lineRule="auto"/>
              <w:jc w:val="center"/>
              <w:rPr>
                <w:rFonts w:ascii="宋体" w:hAnsi="宋体" w:cs="宋体"/>
                <w:sz w:val="24"/>
              </w:rPr>
            </w:pPr>
          </w:p>
        </w:tc>
        <w:tc>
          <w:tcPr>
            <w:tcW w:w="691" w:type="dxa"/>
            <w:vAlign w:val="center"/>
          </w:tcPr>
          <w:p w14:paraId="6A53B91D">
            <w:pPr>
              <w:spacing w:line="360" w:lineRule="auto"/>
              <w:jc w:val="center"/>
              <w:rPr>
                <w:rFonts w:ascii="宋体" w:hAnsi="宋体" w:cs="宋体"/>
                <w:sz w:val="24"/>
              </w:rPr>
            </w:pPr>
          </w:p>
        </w:tc>
        <w:tc>
          <w:tcPr>
            <w:tcW w:w="691" w:type="dxa"/>
            <w:vAlign w:val="center"/>
          </w:tcPr>
          <w:p w14:paraId="2486561E">
            <w:pPr>
              <w:spacing w:line="360" w:lineRule="auto"/>
              <w:jc w:val="center"/>
              <w:rPr>
                <w:rFonts w:ascii="宋体" w:hAnsi="宋体" w:cs="宋体"/>
                <w:sz w:val="24"/>
              </w:rPr>
            </w:pPr>
          </w:p>
        </w:tc>
        <w:tc>
          <w:tcPr>
            <w:tcW w:w="691" w:type="dxa"/>
            <w:vAlign w:val="center"/>
          </w:tcPr>
          <w:p w14:paraId="5728682F">
            <w:pPr>
              <w:spacing w:line="360" w:lineRule="auto"/>
              <w:jc w:val="center"/>
              <w:rPr>
                <w:rFonts w:ascii="宋体" w:hAnsi="宋体" w:cs="宋体"/>
                <w:sz w:val="24"/>
              </w:rPr>
            </w:pPr>
          </w:p>
        </w:tc>
        <w:tc>
          <w:tcPr>
            <w:tcW w:w="691" w:type="dxa"/>
            <w:vAlign w:val="center"/>
          </w:tcPr>
          <w:p w14:paraId="3A2ED699">
            <w:pPr>
              <w:spacing w:line="360" w:lineRule="auto"/>
              <w:jc w:val="center"/>
              <w:rPr>
                <w:rFonts w:ascii="宋体" w:hAnsi="宋体" w:cs="宋体"/>
                <w:sz w:val="24"/>
              </w:rPr>
            </w:pPr>
          </w:p>
        </w:tc>
        <w:tc>
          <w:tcPr>
            <w:tcW w:w="688" w:type="dxa"/>
            <w:vAlign w:val="center"/>
          </w:tcPr>
          <w:p w14:paraId="62A95076">
            <w:pPr>
              <w:spacing w:line="360" w:lineRule="auto"/>
              <w:jc w:val="center"/>
              <w:rPr>
                <w:rFonts w:ascii="宋体" w:hAnsi="宋体" w:cs="宋体"/>
                <w:sz w:val="24"/>
              </w:rPr>
            </w:pPr>
          </w:p>
        </w:tc>
      </w:tr>
      <w:tr w14:paraId="179E1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7D6B63E8">
            <w:pPr>
              <w:spacing w:line="360" w:lineRule="auto"/>
              <w:jc w:val="center"/>
              <w:rPr>
                <w:rFonts w:ascii="宋体" w:hAnsi="宋体" w:cs="宋体"/>
                <w:sz w:val="24"/>
              </w:rPr>
            </w:pPr>
            <w:r>
              <w:rPr>
                <w:rFonts w:hint="eastAsia" w:ascii="宋体" w:hAnsi="宋体" w:cs="宋体"/>
                <w:sz w:val="24"/>
              </w:rPr>
              <w:t>2</w:t>
            </w:r>
          </w:p>
        </w:tc>
        <w:tc>
          <w:tcPr>
            <w:tcW w:w="2668" w:type="dxa"/>
            <w:vAlign w:val="center"/>
          </w:tcPr>
          <w:p w14:paraId="37E25BE5">
            <w:pPr>
              <w:spacing w:line="360" w:lineRule="auto"/>
              <w:jc w:val="center"/>
              <w:rPr>
                <w:rFonts w:ascii="宋体" w:hAnsi="宋体"/>
                <w:sz w:val="24"/>
              </w:rPr>
            </w:pPr>
            <w:r>
              <w:rPr>
                <w:rFonts w:hint="eastAsia" w:ascii="宋体" w:hAnsi="宋体" w:cs="宋体"/>
                <w:sz w:val="24"/>
              </w:rPr>
              <w:t>……</w:t>
            </w:r>
          </w:p>
        </w:tc>
        <w:tc>
          <w:tcPr>
            <w:tcW w:w="875" w:type="dxa"/>
            <w:vAlign w:val="center"/>
          </w:tcPr>
          <w:p w14:paraId="7D3BD98B">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1F9581FF">
            <w:pPr>
              <w:spacing w:line="360" w:lineRule="auto"/>
              <w:jc w:val="center"/>
              <w:rPr>
                <w:rFonts w:ascii="宋体" w:hAnsi="宋体" w:cs="宋体"/>
                <w:sz w:val="24"/>
              </w:rPr>
            </w:pPr>
          </w:p>
        </w:tc>
        <w:tc>
          <w:tcPr>
            <w:tcW w:w="691" w:type="dxa"/>
            <w:vAlign w:val="center"/>
          </w:tcPr>
          <w:p w14:paraId="614FC07E">
            <w:pPr>
              <w:spacing w:line="360" w:lineRule="auto"/>
              <w:jc w:val="center"/>
              <w:rPr>
                <w:rFonts w:ascii="宋体" w:hAnsi="宋体" w:cs="宋体"/>
                <w:sz w:val="24"/>
              </w:rPr>
            </w:pPr>
          </w:p>
        </w:tc>
        <w:tc>
          <w:tcPr>
            <w:tcW w:w="691" w:type="dxa"/>
            <w:vAlign w:val="center"/>
          </w:tcPr>
          <w:p w14:paraId="061E395B">
            <w:pPr>
              <w:spacing w:line="360" w:lineRule="auto"/>
              <w:jc w:val="center"/>
              <w:rPr>
                <w:rFonts w:ascii="宋体" w:hAnsi="宋体" w:cs="宋体"/>
                <w:sz w:val="24"/>
              </w:rPr>
            </w:pPr>
          </w:p>
        </w:tc>
        <w:tc>
          <w:tcPr>
            <w:tcW w:w="691" w:type="dxa"/>
            <w:vAlign w:val="center"/>
          </w:tcPr>
          <w:p w14:paraId="10C58B31">
            <w:pPr>
              <w:spacing w:line="360" w:lineRule="auto"/>
              <w:jc w:val="center"/>
              <w:rPr>
                <w:rFonts w:ascii="宋体" w:hAnsi="宋体" w:cs="宋体"/>
                <w:sz w:val="24"/>
              </w:rPr>
            </w:pPr>
          </w:p>
        </w:tc>
        <w:tc>
          <w:tcPr>
            <w:tcW w:w="691" w:type="dxa"/>
            <w:vAlign w:val="center"/>
          </w:tcPr>
          <w:p w14:paraId="7A55A4EE">
            <w:pPr>
              <w:spacing w:line="360" w:lineRule="auto"/>
              <w:jc w:val="center"/>
              <w:rPr>
                <w:rFonts w:ascii="宋体" w:hAnsi="宋体" w:cs="宋体"/>
                <w:sz w:val="24"/>
              </w:rPr>
            </w:pPr>
          </w:p>
        </w:tc>
        <w:tc>
          <w:tcPr>
            <w:tcW w:w="691" w:type="dxa"/>
            <w:vAlign w:val="center"/>
          </w:tcPr>
          <w:p w14:paraId="3C5E76F5">
            <w:pPr>
              <w:spacing w:line="360" w:lineRule="auto"/>
              <w:jc w:val="center"/>
              <w:rPr>
                <w:rFonts w:ascii="宋体" w:hAnsi="宋体" w:cs="宋体"/>
                <w:sz w:val="24"/>
              </w:rPr>
            </w:pPr>
          </w:p>
        </w:tc>
        <w:tc>
          <w:tcPr>
            <w:tcW w:w="691" w:type="dxa"/>
            <w:vAlign w:val="center"/>
          </w:tcPr>
          <w:p w14:paraId="0C36FAA1">
            <w:pPr>
              <w:spacing w:line="360" w:lineRule="auto"/>
              <w:jc w:val="center"/>
              <w:rPr>
                <w:rFonts w:ascii="宋体" w:hAnsi="宋体" w:cs="宋体"/>
                <w:sz w:val="24"/>
              </w:rPr>
            </w:pPr>
          </w:p>
        </w:tc>
        <w:tc>
          <w:tcPr>
            <w:tcW w:w="688" w:type="dxa"/>
            <w:vAlign w:val="center"/>
          </w:tcPr>
          <w:p w14:paraId="1BBE6776">
            <w:pPr>
              <w:spacing w:line="360" w:lineRule="auto"/>
              <w:jc w:val="center"/>
              <w:rPr>
                <w:rFonts w:ascii="宋体" w:hAnsi="宋体" w:cs="宋体"/>
                <w:sz w:val="24"/>
              </w:rPr>
            </w:pPr>
          </w:p>
        </w:tc>
      </w:tr>
      <w:tr w14:paraId="068FE8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0" w:hRule="atLeast"/>
          <w:jc w:val="center"/>
        </w:trPr>
        <w:tc>
          <w:tcPr>
            <w:tcW w:w="614" w:type="dxa"/>
            <w:vAlign w:val="center"/>
          </w:tcPr>
          <w:p w14:paraId="2D2798C1">
            <w:pPr>
              <w:spacing w:line="360" w:lineRule="auto"/>
              <w:jc w:val="center"/>
              <w:rPr>
                <w:rFonts w:ascii="宋体" w:hAnsi="宋体" w:cs="宋体"/>
                <w:sz w:val="24"/>
              </w:rPr>
            </w:pPr>
            <w:r>
              <w:rPr>
                <w:rFonts w:hint="eastAsia" w:ascii="宋体" w:hAnsi="宋体" w:cs="宋体"/>
                <w:sz w:val="24"/>
              </w:rPr>
              <w:t>3</w:t>
            </w:r>
          </w:p>
        </w:tc>
        <w:tc>
          <w:tcPr>
            <w:tcW w:w="2668" w:type="dxa"/>
            <w:vAlign w:val="center"/>
          </w:tcPr>
          <w:p w14:paraId="74E265FE">
            <w:pPr>
              <w:spacing w:line="360" w:lineRule="auto"/>
              <w:jc w:val="center"/>
              <w:rPr>
                <w:rFonts w:ascii="宋体" w:hAnsi="宋体"/>
                <w:sz w:val="24"/>
              </w:rPr>
            </w:pPr>
            <w:r>
              <w:rPr>
                <w:rFonts w:hint="eastAsia" w:ascii="宋体" w:hAnsi="宋体" w:cs="宋体"/>
                <w:sz w:val="24"/>
              </w:rPr>
              <w:t>……</w:t>
            </w:r>
          </w:p>
        </w:tc>
        <w:tc>
          <w:tcPr>
            <w:tcW w:w="875" w:type="dxa"/>
            <w:vAlign w:val="center"/>
          </w:tcPr>
          <w:p w14:paraId="248C0A5E">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31AF467B">
            <w:pPr>
              <w:spacing w:line="360" w:lineRule="auto"/>
              <w:jc w:val="center"/>
              <w:rPr>
                <w:rFonts w:ascii="宋体" w:hAnsi="宋体" w:cs="宋体"/>
                <w:sz w:val="24"/>
              </w:rPr>
            </w:pPr>
          </w:p>
        </w:tc>
        <w:tc>
          <w:tcPr>
            <w:tcW w:w="691" w:type="dxa"/>
            <w:vAlign w:val="center"/>
          </w:tcPr>
          <w:p w14:paraId="4CA97454">
            <w:pPr>
              <w:spacing w:line="360" w:lineRule="auto"/>
              <w:jc w:val="center"/>
              <w:rPr>
                <w:rFonts w:ascii="宋体" w:hAnsi="宋体" w:cs="宋体"/>
                <w:sz w:val="24"/>
              </w:rPr>
            </w:pPr>
          </w:p>
        </w:tc>
        <w:tc>
          <w:tcPr>
            <w:tcW w:w="691" w:type="dxa"/>
            <w:vAlign w:val="center"/>
          </w:tcPr>
          <w:p w14:paraId="4B9D78A7">
            <w:pPr>
              <w:spacing w:line="360" w:lineRule="auto"/>
              <w:jc w:val="center"/>
              <w:rPr>
                <w:rFonts w:ascii="宋体" w:hAnsi="宋体" w:cs="宋体"/>
                <w:sz w:val="24"/>
              </w:rPr>
            </w:pPr>
          </w:p>
        </w:tc>
        <w:tc>
          <w:tcPr>
            <w:tcW w:w="691" w:type="dxa"/>
            <w:vAlign w:val="center"/>
          </w:tcPr>
          <w:p w14:paraId="7CC3D0F6">
            <w:pPr>
              <w:spacing w:line="360" w:lineRule="auto"/>
              <w:jc w:val="center"/>
              <w:rPr>
                <w:rFonts w:ascii="宋体" w:hAnsi="宋体" w:cs="宋体"/>
                <w:sz w:val="24"/>
              </w:rPr>
            </w:pPr>
          </w:p>
        </w:tc>
        <w:tc>
          <w:tcPr>
            <w:tcW w:w="691" w:type="dxa"/>
            <w:vAlign w:val="center"/>
          </w:tcPr>
          <w:p w14:paraId="3E71CA1F">
            <w:pPr>
              <w:spacing w:line="360" w:lineRule="auto"/>
              <w:jc w:val="center"/>
              <w:rPr>
                <w:rFonts w:ascii="宋体" w:hAnsi="宋体" w:cs="宋体"/>
                <w:sz w:val="24"/>
              </w:rPr>
            </w:pPr>
          </w:p>
        </w:tc>
        <w:tc>
          <w:tcPr>
            <w:tcW w:w="691" w:type="dxa"/>
            <w:vAlign w:val="center"/>
          </w:tcPr>
          <w:p w14:paraId="3CC52600">
            <w:pPr>
              <w:spacing w:line="360" w:lineRule="auto"/>
              <w:jc w:val="center"/>
              <w:rPr>
                <w:rFonts w:ascii="宋体" w:hAnsi="宋体" w:cs="宋体"/>
                <w:sz w:val="24"/>
              </w:rPr>
            </w:pPr>
          </w:p>
        </w:tc>
        <w:tc>
          <w:tcPr>
            <w:tcW w:w="691" w:type="dxa"/>
            <w:vAlign w:val="center"/>
          </w:tcPr>
          <w:p w14:paraId="03787BD2">
            <w:pPr>
              <w:spacing w:line="360" w:lineRule="auto"/>
              <w:jc w:val="center"/>
              <w:rPr>
                <w:rFonts w:ascii="宋体" w:hAnsi="宋体" w:cs="宋体"/>
                <w:sz w:val="24"/>
              </w:rPr>
            </w:pPr>
          </w:p>
        </w:tc>
        <w:tc>
          <w:tcPr>
            <w:tcW w:w="688" w:type="dxa"/>
            <w:vAlign w:val="center"/>
          </w:tcPr>
          <w:p w14:paraId="7F0B8BBD">
            <w:pPr>
              <w:spacing w:line="360" w:lineRule="auto"/>
              <w:jc w:val="center"/>
              <w:rPr>
                <w:rFonts w:ascii="宋体" w:hAnsi="宋体" w:cs="宋体"/>
                <w:sz w:val="24"/>
              </w:rPr>
            </w:pPr>
          </w:p>
        </w:tc>
      </w:tr>
      <w:tr w14:paraId="47F640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14" w:type="dxa"/>
            <w:vAlign w:val="center"/>
          </w:tcPr>
          <w:p w14:paraId="2792BC60">
            <w:pPr>
              <w:spacing w:line="360" w:lineRule="auto"/>
              <w:jc w:val="center"/>
              <w:rPr>
                <w:rFonts w:ascii="宋体" w:hAnsi="宋体" w:cs="宋体"/>
                <w:sz w:val="24"/>
              </w:rPr>
            </w:pPr>
            <w:r>
              <w:rPr>
                <w:rFonts w:hint="eastAsia" w:ascii="宋体" w:hAnsi="宋体" w:cs="宋体"/>
                <w:sz w:val="24"/>
              </w:rPr>
              <w:t>……</w:t>
            </w:r>
          </w:p>
        </w:tc>
        <w:tc>
          <w:tcPr>
            <w:tcW w:w="2668" w:type="dxa"/>
            <w:vAlign w:val="center"/>
          </w:tcPr>
          <w:p w14:paraId="76EE1269">
            <w:pPr>
              <w:spacing w:line="360" w:lineRule="auto"/>
              <w:jc w:val="center"/>
              <w:rPr>
                <w:rFonts w:ascii="宋体" w:hAnsi="宋体" w:cs="宋体"/>
                <w:sz w:val="24"/>
              </w:rPr>
            </w:pPr>
            <w:r>
              <w:rPr>
                <w:rFonts w:hint="eastAsia" w:ascii="宋体" w:hAnsi="宋体" w:cs="宋体"/>
                <w:sz w:val="24"/>
              </w:rPr>
              <w:t>……</w:t>
            </w:r>
          </w:p>
        </w:tc>
        <w:tc>
          <w:tcPr>
            <w:tcW w:w="875" w:type="dxa"/>
            <w:vAlign w:val="center"/>
          </w:tcPr>
          <w:p w14:paraId="1F8E2F5D">
            <w:pPr>
              <w:spacing w:line="360" w:lineRule="auto"/>
              <w:jc w:val="center"/>
              <w:rPr>
                <w:rFonts w:ascii="宋体" w:hAnsi="宋体" w:cs="宋体"/>
                <w:sz w:val="24"/>
              </w:rPr>
            </w:pPr>
            <w:r>
              <w:rPr>
                <w:rFonts w:hint="eastAsia" w:ascii="宋体" w:hAnsi="宋体" w:cs="宋体"/>
                <w:sz w:val="24"/>
              </w:rPr>
              <w:t>……</w:t>
            </w:r>
          </w:p>
        </w:tc>
        <w:tc>
          <w:tcPr>
            <w:tcW w:w="691" w:type="dxa"/>
            <w:vAlign w:val="center"/>
          </w:tcPr>
          <w:p w14:paraId="1E7901D1">
            <w:pPr>
              <w:spacing w:line="360" w:lineRule="auto"/>
              <w:jc w:val="center"/>
              <w:rPr>
                <w:rFonts w:ascii="宋体" w:hAnsi="宋体" w:cs="宋体"/>
                <w:sz w:val="24"/>
              </w:rPr>
            </w:pPr>
          </w:p>
        </w:tc>
        <w:tc>
          <w:tcPr>
            <w:tcW w:w="691" w:type="dxa"/>
            <w:vAlign w:val="center"/>
          </w:tcPr>
          <w:p w14:paraId="176C074F">
            <w:pPr>
              <w:spacing w:line="360" w:lineRule="auto"/>
              <w:jc w:val="center"/>
              <w:rPr>
                <w:rFonts w:ascii="宋体" w:hAnsi="宋体" w:cs="宋体"/>
                <w:sz w:val="24"/>
              </w:rPr>
            </w:pPr>
          </w:p>
        </w:tc>
        <w:tc>
          <w:tcPr>
            <w:tcW w:w="691" w:type="dxa"/>
            <w:vAlign w:val="center"/>
          </w:tcPr>
          <w:p w14:paraId="17220AE5">
            <w:pPr>
              <w:spacing w:line="360" w:lineRule="auto"/>
              <w:jc w:val="center"/>
              <w:rPr>
                <w:rFonts w:ascii="宋体" w:hAnsi="宋体" w:cs="宋体"/>
                <w:sz w:val="24"/>
              </w:rPr>
            </w:pPr>
          </w:p>
        </w:tc>
        <w:tc>
          <w:tcPr>
            <w:tcW w:w="691" w:type="dxa"/>
            <w:vAlign w:val="center"/>
          </w:tcPr>
          <w:p w14:paraId="73EB89E5">
            <w:pPr>
              <w:spacing w:line="360" w:lineRule="auto"/>
              <w:jc w:val="center"/>
              <w:rPr>
                <w:rFonts w:ascii="宋体" w:hAnsi="宋体" w:cs="宋体"/>
                <w:sz w:val="24"/>
              </w:rPr>
            </w:pPr>
          </w:p>
        </w:tc>
        <w:tc>
          <w:tcPr>
            <w:tcW w:w="691" w:type="dxa"/>
            <w:vAlign w:val="center"/>
          </w:tcPr>
          <w:p w14:paraId="544E21D0">
            <w:pPr>
              <w:spacing w:line="360" w:lineRule="auto"/>
              <w:jc w:val="center"/>
              <w:rPr>
                <w:rFonts w:ascii="宋体" w:hAnsi="宋体" w:cs="宋体"/>
                <w:sz w:val="24"/>
              </w:rPr>
            </w:pPr>
          </w:p>
        </w:tc>
        <w:tc>
          <w:tcPr>
            <w:tcW w:w="691" w:type="dxa"/>
            <w:vAlign w:val="center"/>
          </w:tcPr>
          <w:p w14:paraId="1106E495">
            <w:pPr>
              <w:spacing w:line="360" w:lineRule="auto"/>
              <w:jc w:val="center"/>
              <w:rPr>
                <w:rFonts w:ascii="宋体" w:hAnsi="宋体" w:cs="宋体"/>
                <w:sz w:val="24"/>
              </w:rPr>
            </w:pPr>
          </w:p>
        </w:tc>
        <w:tc>
          <w:tcPr>
            <w:tcW w:w="691" w:type="dxa"/>
            <w:vAlign w:val="center"/>
          </w:tcPr>
          <w:p w14:paraId="2A95918D">
            <w:pPr>
              <w:spacing w:line="360" w:lineRule="auto"/>
              <w:jc w:val="center"/>
              <w:rPr>
                <w:rFonts w:ascii="宋体" w:hAnsi="宋体" w:cs="宋体"/>
                <w:sz w:val="24"/>
              </w:rPr>
            </w:pPr>
          </w:p>
        </w:tc>
        <w:tc>
          <w:tcPr>
            <w:tcW w:w="688" w:type="dxa"/>
            <w:vAlign w:val="center"/>
          </w:tcPr>
          <w:p w14:paraId="335D1DCA">
            <w:pPr>
              <w:spacing w:line="360" w:lineRule="auto"/>
              <w:jc w:val="center"/>
              <w:rPr>
                <w:rFonts w:ascii="宋体" w:hAnsi="宋体" w:cs="宋体"/>
                <w:sz w:val="24"/>
              </w:rPr>
            </w:pPr>
          </w:p>
        </w:tc>
      </w:tr>
      <w:tr w14:paraId="471705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282" w:type="dxa"/>
            <w:gridSpan w:val="2"/>
            <w:vAlign w:val="center"/>
          </w:tcPr>
          <w:p w14:paraId="7EBAB74A">
            <w:pPr>
              <w:spacing w:line="360" w:lineRule="auto"/>
              <w:jc w:val="center"/>
              <w:rPr>
                <w:rFonts w:ascii="宋体" w:hAnsi="宋体" w:cs="宋体"/>
                <w:sz w:val="24"/>
              </w:rPr>
            </w:pPr>
            <w:r>
              <w:rPr>
                <w:rFonts w:hint="eastAsia" w:ascii="宋体" w:hAnsi="宋体" w:cs="宋体"/>
                <w:sz w:val="24"/>
              </w:rPr>
              <w:t>承包人实施方案</w:t>
            </w:r>
            <w:r>
              <w:rPr>
                <w:rFonts w:hint="eastAsia" w:ascii="宋体" w:hAnsi="宋体" w:cs="宋体"/>
                <w:bCs/>
                <w:sz w:val="24"/>
              </w:rPr>
              <w:t>得分</w:t>
            </w:r>
            <w:r>
              <w:rPr>
                <w:rFonts w:hint="eastAsia" w:ascii="宋体" w:hAnsi="宋体" w:cs="宋体"/>
                <w:sz w:val="24"/>
              </w:rPr>
              <w:t>合计C</w:t>
            </w:r>
          </w:p>
        </w:tc>
        <w:tc>
          <w:tcPr>
            <w:tcW w:w="875" w:type="dxa"/>
            <w:vAlign w:val="center"/>
          </w:tcPr>
          <w:p w14:paraId="10DA4491">
            <w:pPr>
              <w:spacing w:line="360" w:lineRule="auto"/>
              <w:jc w:val="center"/>
              <w:rPr>
                <w:rFonts w:ascii="宋体" w:hAnsi="宋体" w:cs="宋体"/>
                <w:sz w:val="24"/>
              </w:rPr>
            </w:pPr>
          </w:p>
        </w:tc>
        <w:tc>
          <w:tcPr>
            <w:tcW w:w="691" w:type="dxa"/>
            <w:vAlign w:val="center"/>
          </w:tcPr>
          <w:p w14:paraId="3BCA31F0">
            <w:pPr>
              <w:spacing w:line="360" w:lineRule="auto"/>
              <w:jc w:val="center"/>
              <w:rPr>
                <w:rFonts w:ascii="宋体" w:hAnsi="宋体" w:cs="宋体"/>
                <w:sz w:val="24"/>
              </w:rPr>
            </w:pPr>
          </w:p>
        </w:tc>
        <w:tc>
          <w:tcPr>
            <w:tcW w:w="691" w:type="dxa"/>
            <w:vAlign w:val="center"/>
          </w:tcPr>
          <w:p w14:paraId="2295144D">
            <w:pPr>
              <w:spacing w:line="360" w:lineRule="auto"/>
              <w:jc w:val="center"/>
              <w:rPr>
                <w:rFonts w:ascii="宋体" w:hAnsi="宋体" w:cs="宋体"/>
                <w:sz w:val="24"/>
              </w:rPr>
            </w:pPr>
          </w:p>
        </w:tc>
        <w:tc>
          <w:tcPr>
            <w:tcW w:w="691" w:type="dxa"/>
            <w:vAlign w:val="center"/>
          </w:tcPr>
          <w:p w14:paraId="58D6E99F">
            <w:pPr>
              <w:spacing w:line="360" w:lineRule="auto"/>
              <w:jc w:val="center"/>
              <w:rPr>
                <w:rFonts w:ascii="宋体" w:hAnsi="宋体" w:cs="宋体"/>
                <w:sz w:val="24"/>
              </w:rPr>
            </w:pPr>
          </w:p>
        </w:tc>
        <w:tc>
          <w:tcPr>
            <w:tcW w:w="691" w:type="dxa"/>
            <w:vAlign w:val="center"/>
          </w:tcPr>
          <w:p w14:paraId="2352083C">
            <w:pPr>
              <w:spacing w:line="360" w:lineRule="auto"/>
              <w:jc w:val="center"/>
              <w:rPr>
                <w:rFonts w:ascii="宋体" w:hAnsi="宋体" w:cs="宋体"/>
                <w:sz w:val="24"/>
              </w:rPr>
            </w:pPr>
          </w:p>
        </w:tc>
        <w:tc>
          <w:tcPr>
            <w:tcW w:w="691" w:type="dxa"/>
            <w:vAlign w:val="center"/>
          </w:tcPr>
          <w:p w14:paraId="502A30E8">
            <w:pPr>
              <w:spacing w:line="360" w:lineRule="auto"/>
              <w:jc w:val="center"/>
              <w:rPr>
                <w:rFonts w:ascii="宋体" w:hAnsi="宋体" w:cs="宋体"/>
                <w:sz w:val="24"/>
              </w:rPr>
            </w:pPr>
          </w:p>
        </w:tc>
        <w:tc>
          <w:tcPr>
            <w:tcW w:w="691" w:type="dxa"/>
            <w:vAlign w:val="center"/>
          </w:tcPr>
          <w:p w14:paraId="0D5B898D">
            <w:pPr>
              <w:spacing w:line="360" w:lineRule="auto"/>
              <w:jc w:val="center"/>
              <w:rPr>
                <w:rFonts w:ascii="宋体" w:hAnsi="宋体" w:cs="宋体"/>
                <w:sz w:val="24"/>
              </w:rPr>
            </w:pPr>
          </w:p>
        </w:tc>
        <w:tc>
          <w:tcPr>
            <w:tcW w:w="691" w:type="dxa"/>
            <w:vAlign w:val="center"/>
          </w:tcPr>
          <w:p w14:paraId="36DAC1FF">
            <w:pPr>
              <w:spacing w:line="360" w:lineRule="auto"/>
              <w:jc w:val="center"/>
              <w:rPr>
                <w:rFonts w:ascii="宋体" w:hAnsi="宋体" w:cs="宋体"/>
                <w:sz w:val="24"/>
              </w:rPr>
            </w:pPr>
          </w:p>
        </w:tc>
        <w:tc>
          <w:tcPr>
            <w:tcW w:w="688" w:type="dxa"/>
            <w:vAlign w:val="center"/>
          </w:tcPr>
          <w:p w14:paraId="2CD0A450">
            <w:pPr>
              <w:spacing w:line="360" w:lineRule="auto"/>
              <w:jc w:val="center"/>
              <w:rPr>
                <w:rFonts w:ascii="宋体" w:hAnsi="宋体" w:cs="宋体"/>
                <w:sz w:val="24"/>
              </w:rPr>
            </w:pPr>
          </w:p>
        </w:tc>
      </w:tr>
    </w:tbl>
    <w:p w14:paraId="52D5E069">
      <w:pPr>
        <w:spacing w:line="360" w:lineRule="auto"/>
        <w:rPr>
          <w:rFonts w:ascii="宋体" w:hAnsi="宋体" w:cs="宋体"/>
          <w:sz w:val="24"/>
        </w:rPr>
      </w:pPr>
    </w:p>
    <w:p w14:paraId="2823A9DF">
      <w:pPr>
        <w:spacing w:line="360" w:lineRule="auto"/>
        <w:rPr>
          <w:rFonts w:ascii="宋体" w:hAnsi="宋体" w:cs="宋体"/>
          <w:sz w:val="24"/>
        </w:rPr>
      </w:pPr>
      <w:r>
        <w:rPr>
          <w:rFonts w:hint="eastAsia" w:ascii="宋体" w:hAnsi="宋体" w:cs="宋体"/>
          <w:sz w:val="24"/>
        </w:rPr>
        <w:t>评标委员会成员签名：</w:t>
      </w:r>
    </w:p>
    <w:p w14:paraId="5678560A">
      <w:pPr>
        <w:pStyle w:val="4"/>
        <w:rPr>
          <w:rFonts w:ascii="宋体" w:hAnsi="宋体" w:eastAsia="宋体" w:cs="宋体"/>
          <w:sz w:val="24"/>
          <w:szCs w:val="24"/>
        </w:rPr>
        <w:sectPr>
          <w:pgSz w:w="11906" w:h="16838"/>
          <w:pgMar w:top="1417" w:right="1417" w:bottom="1417" w:left="1417" w:header="851" w:footer="850" w:gutter="0"/>
          <w:cols w:space="720" w:num="1"/>
          <w:docGrid w:type="lines" w:linePitch="312" w:charSpace="0"/>
        </w:sectPr>
      </w:pPr>
    </w:p>
    <w:p w14:paraId="1CDAC3DA">
      <w:pPr>
        <w:pStyle w:val="4"/>
        <w:rPr>
          <w:rFonts w:ascii="宋体" w:hAnsi="宋体" w:eastAsia="宋体" w:cs="宋体"/>
          <w:sz w:val="24"/>
          <w:szCs w:val="24"/>
        </w:rPr>
      </w:pPr>
      <w:r>
        <w:rPr>
          <w:rFonts w:hint="eastAsia" w:ascii="宋体" w:hAnsi="宋体" w:eastAsia="宋体" w:cs="宋体"/>
          <w:sz w:val="24"/>
          <w:szCs w:val="24"/>
        </w:rPr>
        <w:t>附表9：投标报价评审记录表</w:t>
      </w:r>
    </w:p>
    <w:p w14:paraId="4E379147">
      <w:pPr>
        <w:spacing w:line="360" w:lineRule="auto"/>
        <w:jc w:val="center"/>
        <w:rPr>
          <w:rFonts w:ascii="宋体" w:hAnsi="宋体" w:cs="宋体"/>
          <w:b/>
          <w:sz w:val="24"/>
        </w:rPr>
      </w:pPr>
      <w:r>
        <w:rPr>
          <w:rFonts w:hint="eastAsia" w:ascii="宋体" w:hAnsi="宋体" w:cs="宋体"/>
          <w:b/>
          <w:sz w:val="24"/>
        </w:rPr>
        <w:t>投标报价评审记录表</w:t>
      </w:r>
    </w:p>
    <w:p w14:paraId="21D4D4D9">
      <w:pPr>
        <w:spacing w:line="360" w:lineRule="auto"/>
        <w:jc w:val="center"/>
        <w:rPr>
          <w:rFonts w:ascii="宋体" w:hAnsi="宋体" w:cs="宋体"/>
          <w:b/>
          <w:sz w:val="24"/>
        </w:rPr>
      </w:pPr>
    </w:p>
    <w:p w14:paraId="378EAF45">
      <w:pPr>
        <w:spacing w:line="360" w:lineRule="auto"/>
        <w:rPr>
          <w:rFonts w:ascii="宋体" w:hAnsi="宋体" w:cs="宋体"/>
          <w:sz w:val="24"/>
        </w:rPr>
      </w:pPr>
      <w:r>
        <w:rPr>
          <w:rFonts w:hint="eastAsia" w:ascii="宋体" w:hAnsi="宋体" w:cs="宋体"/>
          <w:sz w:val="24"/>
        </w:rPr>
        <w:t>工程名称：工程名称：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59"/>
        <w:gridCol w:w="2013"/>
        <w:gridCol w:w="837"/>
        <w:gridCol w:w="963"/>
        <w:gridCol w:w="962"/>
        <w:gridCol w:w="913"/>
        <w:gridCol w:w="1000"/>
        <w:gridCol w:w="1237"/>
        <w:gridCol w:w="1034"/>
      </w:tblGrid>
      <w:tr w14:paraId="0BABEF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72" w:type="dxa"/>
            <w:gridSpan w:val="2"/>
            <w:vMerge w:val="restart"/>
            <w:vAlign w:val="center"/>
          </w:tcPr>
          <w:p w14:paraId="562BED8E">
            <w:pPr>
              <w:spacing w:line="360" w:lineRule="auto"/>
              <w:jc w:val="center"/>
              <w:rPr>
                <w:rFonts w:ascii="宋体" w:hAnsi="宋体" w:cs="宋体"/>
                <w:sz w:val="24"/>
              </w:rPr>
            </w:pPr>
            <w:r>
              <w:rPr>
                <w:rFonts w:hint="eastAsia" w:ascii="宋体" w:hAnsi="宋体" w:cs="宋体"/>
                <w:sz w:val="24"/>
              </w:rPr>
              <w:t>评分项目</w:t>
            </w:r>
          </w:p>
        </w:tc>
        <w:tc>
          <w:tcPr>
            <w:tcW w:w="837" w:type="dxa"/>
            <w:vMerge w:val="restart"/>
            <w:vAlign w:val="center"/>
          </w:tcPr>
          <w:p w14:paraId="1E856B29">
            <w:pPr>
              <w:spacing w:line="360" w:lineRule="auto"/>
              <w:ind w:right="-3"/>
              <w:jc w:val="center"/>
              <w:rPr>
                <w:rFonts w:ascii="宋体" w:hAnsi="宋体" w:cs="宋体"/>
                <w:sz w:val="24"/>
              </w:rPr>
            </w:pPr>
            <w:r>
              <w:rPr>
                <w:rFonts w:hint="eastAsia" w:ascii="宋体" w:hAnsi="宋体" w:cs="宋体"/>
                <w:sz w:val="24"/>
              </w:rPr>
              <w:t>分值</w:t>
            </w:r>
          </w:p>
        </w:tc>
        <w:tc>
          <w:tcPr>
            <w:tcW w:w="6109" w:type="dxa"/>
            <w:gridSpan w:val="6"/>
            <w:vAlign w:val="center"/>
          </w:tcPr>
          <w:p w14:paraId="7FE8EE9E">
            <w:pPr>
              <w:spacing w:line="360" w:lineRule="auto"/>
              <w:jc w:val="center"/>
              <w:rPr>
                <w:rFonts w:ascii="宋体" w:hAnsi="宋体" w:cs="宋体"/>
                <w:sz w:val="24"/>
              </w:rPr>
            </w:pPr>
            <w:r>
              <w:rPr>
                <w:rFonts w:hint="eastAsia" w:ascii="宋体" w:hAnsi="宋体" w:cs="宋体"/>
                <w:sz w:val="24"/>
              </w:rPr>
              <w:t>投标人名称及评审意见</w:t>
            </w:r>
          </w:p>
        </w:tc>
      </w:tr>
      <w:tr w14:paraId="304FDF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72" w:type="dxa"/>
            <w:gridSpan w:val="2"/>
            <w:vMerge w:val="continue"/>
            <w:vAlign w:val="center"/>
          </w:tcPr>
          <w:p w14:paraId="60110F24">
            <w:pPr>
              <w:spacing w:line="360" w:lineRule="auto"/>
              <w:rPr>
                <w:rFonts w:ascii="宋体" w:hAnsi="宋体" w:cs="宋体"/>
                <w:sz w:val="24"/>
              </w:rPr>
            </w:pPr>
          </w:p>
        </w:tc>
        <w:tc>
          <w:tcPr>
            <w:tcW w:w="837" w:type="dxa"/>
            <w:vMerge w:val="continue"/>
            <w:vAlign w:val="center"/>
          </w:tcPr>
          <w:p w14:paraId="3F88A178">
            <w:pPr>
              <w:spacing w:line="360" w:lineRule="auto"/>
              <w:ind w:right="370" w:rightChars="176"/>
              <w:rPr>
                <w:rFonts w:ascii="宋体" w:hAnsi="宋体" w:cs="宋体"/>
                <w:sz w:val="24"/>
              </w:rPr>
            </w:pPr>
          </w:p>
        </w:tc>
        <w:tc>
          <w:tcPr>
            <w:tcW w:w="963" w:type="dxa"/>
            <w:vAlign w:val="center"/>
          </w:tcPr>
          <w:p w14:paraId="0FF42B3A">
            <w:pPr>
              <w:spacing w:line="360" w:lineRule="auto"/>
              <w:jc w:val="center"/>
              <w:rPr>
                <w:rFonts w:ascii="宋体" w:hAnsi="宋体" w:cs="宋体"/>
                <w:sz w:val="24"/>
              </w:rPr>
            </w:pPr>
          </w:p>
        </w:tc>
        <w:tc>
          <w:tcPr>
            <w:tcW w:w="962" w:type="dxa"/>
            <w:vAlign w:val="center"/>
          </w:tcPr>
          <w:p w14:paraId="4015C838">
            <w:pPr>
              <w:spacing w:line="360" w:lineRule="auto"/>
              <w:jc w:val="center"/>
              <w:rPr>
                <w:rFonts w:ascii="宋体" w:hAnsi="宋体" w:cs="宋体"/>
                <w:sz w:val="24"/>
              </w:rPr>
            </w:pPr>
          </w:p>
        </w:tc>
        <w:tc>
          <w:tcPr>
            <w:tcW w:w="913" w:type="dxa"/>
            <w:vAlign w:val="center"/>
          </w:tcPr>
          <w:p w14:paraId="5E30F845">
            <w:pPr>
              <w:spacing w:line="360" w:lineRule="auto"/>
              <w:jc w:val="center"/>
              <w:rPr>
                <w:rFonts w:ascii="宋体" w:hAnsi="宋体" w:cs="宋体"/>
                <w:sz w:val="24"/>
              </w:rPr>
            </w:pPr>
          </w:p>
        </w:tc>
        <w:tc>
          <w:tcPr>
            <w:tcW w:w="1000" w:type="dxa"/>
            <w:vAlign w:val="center"/>
          </w:tcPr>
          <w:p w14:paraId="368EDDDB">
            <w:pPr>
              <w:spacing w:line="360" w:lineRule="auto"/>
              <w:jc w:val="center"/>
              <w:rPr>
                <w:rFonts w:ascii="宋体" w:hAnsi="宋体" w:cs="宋体"/>
                <w:sz w:val="24"/>
              </w:rPr>
            </w:pPr>
          </w:p>
        </w:tc>
        <w:tc>
          <w:tcPr>
            <w:tcW w:w="1237" w:type="dxa"/>
            <w:vAlign w:val="center"/>
          </w:tcPr>
          <w:p w14:paraId="51ABE98D">
            <w:pPr>
              <w:spacing w:line="360" w:lineRule="auto"/>
              <w:jc w:val="center"/>
              <w:rPr>
                <w:rFonts w:ascii="宋体" w:hAnsi="宋体" w:cs="宋体"/>
                <w:sz w:val="24"/>
              </w:rPr>
            </w:pPr>
          </w:p>
        </w:tc>
        <w:tc>
          <w:tcPr>
            <w:tcW w:w="1034" w:type="dxa"/>
            <w:vAlign w:val="center"/>
          </w:tcPr>
          <w:p w14:paraId="0E2651E6">
            <w:pPr>
              <w:spacing w:line="360" w:lineRule="auto"/>
              <w:jc w:val="center"/>
              <w:rPr>
                <w:rFonts w:ascii="宋体" w:hAnsi="宋体" w:cs="宋体"/>
                <w:sz w:val="24"/>
              </w:rPr>
            </w:pPr>
          </w:p>
        </w:tc>
      </w:tr>
      <w:tr w14:paraId="1C7157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restart"/>
            <w:vAlign w:val="center"/>
          </w:tcPr>
          <w:p w14:paraId="34A639A7">
            <w:pPr>
              <w:spacing w:line="360" w:lineRule="auto"/>
              <w:jc w:val="center"/>
              <w:rPr>
                <w:rFonts w:ascii="宋体" w:hAnsi="宋体" w:cs="宋体"/>
                <w:sz w:val="24"/>
              </w:rPr>
            </w:pPr>
            <w:r>
              <w:rPr>
                <w:rFonts w:hint="eastAsia" w:ascii="宋体" w:hAnsi="宋体" w:cs="宋体"/>
                <w:sz w:val="24"/>
              </w:rPr>
              <w:t>设计</w:t>
            </w:r>
          </w:p>
        </w:tc>
        <w:tc>
          <w:tcPr>
            <w:tcW w:w="2013" w:type="dxa"/>
            <w:vAlign w:val="center"/>
          </w:tcPr>
          <w:p w14:paraId="5B36B627">
            <w:pPr>
              <w:spacing w:line="360" w:lineRule="auto"/>
              <w:jc w:val="center"/>
              <w:rPr>
                <w:rFonts w:ascii="宋体" w:hAnsi="宋体" w:cs="宋体"/>
                <w:sz w:val="24"/>
              </w:rPr>
            </w:pPr>
            <w:r>
              <w:rPr>
                <w:rFonts w:hint="eastAsia" w:ascii="宋体" w:hAnsi="宋体" w:cs="宋体"/>
                <w:sz w:val="24"/>
              </w:rPr>
              <w:t>投标人设计</w:t>
            </w:r>
          </w:p>
          <w:p w14:paraId="3163C27A">
            <w:pPr>
              <w:spacing w:line="360" w:lineRule="auto"/>
              <w:jc w:val="center"/>
              <w:rPr>
                <w:rFonts w:ascii="宋体" w:hAnsi="宋体" w:cs="宋体"/>
                <w:sz w:val="24"/>
              </w:rPr>
            </w:pPr>
            <w:r>
              <w:rPr>
                <w:rFonts w:hint="eastAsia" w:ascii="宋体" w:hAnsi="宋体" w:cs="宋体"/>
                <w:sz w:val="24"/>
              </w:rPr>
              <w:t>投标报价</w:t>
            </w:r>
          </w:p>
        </w:tc>
        <w:tc>
          <w:tcPr>
            <w:tcW w:w="837" w:type="dxa"/>
            <w:vMerge w:val="restart"/>
            <w:vAlign w:val="center"/>
          </w:tcPr>
          <w:p w14:paraId="5D5433FD">
            <w:pPr>
              <w:spacing w:line="360" w:lineRule="auto"/>
              <w:ind w:right="370" w:rightChars="176"/>
              <w:jc w:val="center"/>
              <w:rPr>
                <w:rFonts w:ascii="宋体" w:hAnsi="宋体" w:cs="宋体"/>
                <w:sz w:val="24"/>
              </w:rPr>
            </w:pPr>
          </w:p>
        </w:tc>
        <w:tc>
          <w:tcPr>
            <w:tcW w:w="963" w:type="dxa"/>
            <w:vAlign w:val="center"/>
          </w:tcPr>
          <w:p w14:paraId="04DC15C2">
            <w:pPr>
              <w:spacing w:line="360" w:lineRule="auto"/>
              <w:jc w:val="center"/>
              <w:rPr>
                <w:rFonts w:ascii="宋体" w:hAnsi="宋体" w:cs="宋体"/>
                <w:sz w:val="24"/>
              </w:rPr>
            </w:pPr>
          </w:p>
        </w:tc>
        <w:tc>
          <w:tcPr>
            <w:tcW w:w="962" w:type="dxa"/>
            <w:vAlign w:val="center"/>
          </w:tcPr>
          <w:p w14:paraId="33641D5E">
            <w:pPr>
              <w:spacing w:line="360" w:lineRule="auto"/>
              <w:jc w:val="center"/>
              <w:rPr>
                <w:rFonts w:ascii="宋体" w:hAnsi="宋体" w:cs="宋体"/>
                <w:sz w:val="24"/>
              </w:rPr>
            </w:pPr>
          </w:p>
        </w:tc>
        <w:tc>
          <w:tcPr>
            <w:tcW w:w="913" w:type="dxa"/>
            <w:vAlign w:val="center"/>
          </w:tcPr>
          <w:p w14:paraId="7B7363A3">
            <w:pPr>
              <w:spacing w:line="360" w:lineRule="auto"/>
              <w:jc w:val="center"/>
              <w:rPr>
                <w:rFonts w:ascii="宋体" w:hAnsi="宋体" w:cs="宋体"/>
                <w:sz w:val="24"/>
              </w:rPr>
            </w:pPr>
          </w:p>
        </w:tc>
        <w:tc>
          <w:tcPr>
            <w:tcW w:w="1000" w:type="dxa"/>
            <w:vAlign w:val="center"/>
          </w:tcPr>
          <w:p w14:paraId="3A8292A7">
            <w:pPr>
              <w:spacing w:line="360" w:lineRule="auto"/>
              <w:jc w:val="center"/>
              <w:rPr>
                <w:rFonts w:ascii="宋体" w:hAnsi="宋体" w:cs="宋体"/>
                <w:sz w:val="24"/>
              </w:rPr>
            </w:pPr>
          </w:p>
        </w:tc>
        <w:tc>
          <w:tcPr>
            <w:tcW w:w="1237" w:type="dxa"/>
            <w:vAlign w:val="center"/>
          </w:tcPr>
          <w:p w14:paraId="78036F89">
            <w:pPr>
              <w:spacing w:line="360" w:lineRule="auto"/>
              <w:jc w:val="center"/>
              <w:rPr>
                <w:rFonts w:ascii="宋体" w:hAnsi="宋体" w:cs="宋体"/>
                <w:sz w:val="24"/>
              </w:rPr>
            </w:pPr>
          </w:p>
        </w:tc>
        <w:tc>
          <w:tcPr>
            <w:tcW w:w="1034" w:type="dxa"/>
            <w:vAlign w:val="center"/>
          </w:tcPr>
          <w:p w14:paraId="11324ACD">
            <w:pPr>
              <w:spacing w:line="360" w:lineRule="auto"/>
              <w:jc w:val="center"/>
              <w:rPr>
                <w:rFonts w:ascii="宋体" w:hAnsi="宋体" w:cs="宋体"/>
                <w:sz w:val="24"/>
              </w:rPr>
            </w:pPr>
          </w:p>
        </w:tc>
      </w:tr>
      <w:tr w14:paraId="1E500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554F9C1E">
            <w:pPr>
              <w:spacing w:line="360" w:lineRule="auto"/>
              <w:jc w:val="center"/>
              <w:rPr>
                <w:rFonts w:ascii="宋体" w:hAnsi="宋体" w:cs="宋体"/>
                <w:sz w:val="24"/>
              </w:rPr>
            </w:pPr>
          </w:p>
        </w:tc>
        <w:tc>
          <w:tcPr>
            <w:tcW w:w="2013" w:type="dxa"/>
            <w:vAlign w:val="center"/>
          </w:tcPr>
          <w:p w14:paraId="54D9C4BB">
            <w:pPr>
              <w:spacing w:line="360" w:lineRule="auto"/>
              <w:jc w:val="center"/>
              <w:rPr>
                <w:rFonts w:ascii="宋体" w:hAnsi="宋体" w:cs="宋体"/>
                <w:sz w:val="24"/>
              </w:rPr>
            </w:pPr>
            <w:r>
              <w:rPr>
                <w:rFonts w:hint="eastAsia" w:ascii="宋体" w:hAnsi="宋体" w:cs="宋体"/>
                <w:sz w:val="24"/>
              </w:rPr>
              <w:t>评标基准价</w:t>
            </w:r>
          </w:p>
        </w:tc>
        <w:tc>
          <w:tcPr>
            <w:tcW w:w="837" w:type="dxa"/>
            <w:vMerge w:val="continue"/>
            <w:vAlign w:val="center"/>
          </w:tcPr>
          <w:p w14:paraId="04271C4D">
            <w:pPr>
              <w:spacing w:line="360" w:lineRule="auto"/>
              <w:ind w:right="370" w:rightChars="176"/>
              <w:jc w:val="center"/>
              <w:rPr>
                <w:rFonts w:ascii="宋体" w:hAnsi="宋体" w:cs="宋体"/>
                <w:sz w:val="24"/>
              </w:rPr>
            </w:pPr>
          </w:p>
        </w:tc>
        <w:tc>
          <w:tcPr>
            <w:tcW w:w="963" w:type="dxa"/>
            <w:vAlign w:val="center"/>
          </w:tcPr>
          <w:p w14:paraId="595336EA">
            <w:pPr>
              <w:spacing w:line="360" w:lineRule="auto"/>
              <w:jc w:val="center"/>
              <w:rPr>
                <w:rFonts w:ascii="宋体" w:hAnsi="宋体" w:cs="宋体"/>
                <w:sz w:val="24"/>
              </w:rPr>
            </w:pPr>
          </w:p>
        </w:tc>
        <w:tc>
          <w:tcPr>
            <w:tcW w:w="962" w:type="dxa"/>
            <w:vAlign w:val="center"/>
          </w:tcPr>
          <w:p w14:paraId="4ED5E6AF">
            <w:pPr>
              <w:spacing w:line="360" w:lineRule="auto"/>
              <w:jc w:val="center"/>
              <w:rPr>
                <w:rFonts w:ascii="宋体" w:hAnsi="宋体" w:cs="宋体"/>
                <w:sz w:val="24"/>
              </w:rPr>
            </w:pPr>
          </w:p>
        </w:tc>
        <w:tc>
          <w:tcPr>
            <w:tcW w:w="913" w:type="dxa"/>
            <w:vAlign w:val="center"/>
          </w:tcPr>
          <w:p w14:paraId="4F47DB8B">
            <w:pPr>
              <w:spacing w:line="360" w:lineRule="auto"/>
              <w:jc w:val="center"/>
              <w:rPr>
                <w:rFonts w:ascii="宋体" w:hAnsi="宋体" w:cs="宋体"/>
                <w:sz w:val="24"/>
              </w:rPr>
            </w:pPr>
          </w:p>
        </w:tc>
        <w:tc>
          <w:tcPr>
            <w:tcW w:w="1000" w:type="dxa"/>
            <w:vAlign w:val="center"/>
          </w:tcPr>
          <w:p w14:paraId="7A75D71A">
            <w:pPr>
              <w:spacing w:line="360" w:lineRule="auto"/>
              <w:jc w:val="center"/>
              <w:rPr>
                <w:rFonts w:ascii="宋体" w:hAnsi="宋体" w:cs="宋体"/>
                <w:sz w:val="24"/>
              </w:rPr>
            </w:pPr>
          </w:p>
        </w:tc>
        <w:tc>
          <w:tcPr>
            <w:tcW w:w="1237" w:type="dxa"/>
            <w:vAlign w:val="center"/>
          </w:tcPr>
          <w:p w14:paraId="4DD8A675">
            <w:pPr>
              <w:spacing w:line="360" w:lineRule="auto"/>
              <w:jc w:val="center"/>
              <w:rPr>
                <w:rFonts w:ascii="宋体" w:hAnsi="宋体" w:cs="宋体"/>
                <w:sz w:val="24"/>
              </w:rPr>
            </w:pPr>
          </w:p>
        </w:tc>
        <w:tc>
          <w:tcPr>
            <w:tcW w:w="1034" w:type="dxa"/>
            <w:vAlign w:val="center"/>
          </w:tcPr>
          <w:p w14:paraId="40075B9D">
            <w:pPr>
              <w:spacing w:line="360" w:lineRule="auto"/>
              <w:jc w:val="center"/>
              <w:rPr>
                <w:rFonts w:ascii="宋体" w:hAnsi="宋体" w:cs="宋体"/>
                <w:sz w:val="24"/>
              </w:rPr>
            </w:pPr>
          </w:p>
        </w:tc>
      </w:tr>
      <w:tr w14:paraId="15C4A3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7E6479E5">
            <w:pPr>
              <w:spacing w:line="360" w:lineRule="auto"/>
              <w:jc w:val="center"/>
              <w:rPr>
                <w:rFonts w:ascii="宋体" w:hAnsi="宋体" w:cs="宋体"/>
                <w:sz w:val="24"/>
              </w:rPr>
            </w:pPr>
          </w:p>
        </w:tc>
        <w:tc>
          <w:tcPr>
            <w:tcW w:w="2013" w:type="dxa"/>
            <w:vAlign w:val="center"/>
          </w:tcPr>
          <w:p w14:paraId="74E5A49F">
            <w:pPr>
              <w:spacing w:line="360" w:lineRule="auto"/>
              <w:jc w:val="center"/>
              <w:rPr>
                <w:rFonts w:ascii="宋体" w:hAnsi="宋体" w:cs="宋体"/>
                <w:sz w:val="24"/>
              </w:rPr>
            </w:pPr>
            <w:r>
              <w:rPr>
                <w:rFonts w:hint="eastAsia" w:ascii="宋体" w:hAnsi="宋体" w:cs="宋体"/>
                <w:sz w:val="24"/>
              </w:rPr>
              <w:t>偏差率</w:t>
            </w:r>
          </w:p>
        </w:tc>
        <w:tc>
          <w:tcPr>
            <w:tcW w:w="837" w:type="dxa"/>
            <w:vMerge w:val="continue"/>
            <w:vAlign w:val="center"/>
          </w:tcPr>
          <w:p w14:paraId="1E18B79A">
            <w:pPr>
              <w:spacing w:line="360" w:lineRule="auto"/>
              <w:ind w:right="370" w:rightChars="176"/>
              <w:jc w:val="center"/>
              <w:rPr>
                <w:rFonts w:ascii="宋体" w:hAnsi="宋体" w:cs="宋体"/>
                <w:sz w:val="24"/>
              </w:rPr>
            </w:pPr>
          </w:p>
        </w:tc>
        <w:tc>
          <w:tcPr>
            <w:tcW w:w="963" w:type="dxa"/>
            <w:vAlign w:val="center"/>
          </w:tcPr>
          <w:p w14:paraId="08EFF478">
            <w:pPr>
              <w:spacing w:line="360" w:lineRule="auto"/>
              <w:jc w:val="center"/>
              <w:rPr>
                <w:rFonts w:ascii="宋体" w:hAnsi="宋体" w:cs="宋体"/>
                <w:sz w:val="24"/>
              </w:rPr>
            </w:pPr>
          </w:p>
        </w:tc>
        <w:tc>
          <w:tcPr>
            <w:tcW w:w="962" w:type="dxa"/>
            <w:vAlign w:val="center"/>
          </w:tcPr>
          <w:p w14:paraId="22D6931D">
            <w:pPr>
              <w:spacing w:line="360" w:lineRule="auto"/>
              <w:jc w:val="center"/>
              <w:rPr>
                <w:rFonts w:ascii="宋体" w:hAnsi="宋体" w:cs="宋体"/>
                <w:sz w:val="24"/>
              </w:rPr>
            </w:pPr>
          </w:p>
        </w:tc>
        <w:tc>
          <w:tcPr>
            <w:tcW w:w="913" w:type="dxa"/>
            <w:vAlign w:val="center"/>
          </w:tcPr>
          <w:p w14:paraId="29BB16A6">
            <w:pPr>
              <w:spacing w:line="360" w:lineRule="auto"/>
              <w:jc w:val="center"/>
              <w:rPr>
                <w:rFonts w:ascii="宋体" w:hAnsi="宋体" w:cs="宋体"/>
                <w:sz w:val="24"/>
              </w:rPr>
            </w:pPr>
          </w:p>
        </w:tc>
        <w:tc>
          <w:tcPr>
            <w:tcW w:w="1000" w:type="dxa"/>
            <w:vAlign w:val="center"/>
          </w:tcPr>
          <w:p w14:paraId="380DEAF8">
            <w:pPr>
              <w:spacing w:line="360" w:lineRule="auto"/>
              <w:jc w:val="center"/>
              <w:rPr>
                <w:rFonts w:ascii="宋体" w:hAnsi="宋体" w:cs="宋体"/>
                <w:sz w:val="24"/>
              </w:rPr>
            </w:pPr>
          </w:p>
        </w:tc>
        <w:tc>
          <w:tcPr>
            <w:tcW w:w="1237" w:type="dxa"/>
            <w:vAlign w:val="center"/>
          </w:tcPr>
          <w:p w14:paraId="4FF4A31E">
            <w:pPr>
              <w:spacing w:line="360" w:lineRule="auto"/>
              <w:jc w:val="center"/>
              <w:rPr>
                <w:rFonts w:ascii="宋体" w:hAnsi="宋体" w:cs="宋体"/>
                <w:sz w:val="24"/>
              </w:rPr>
            </w:pPr>
          </w:p>
        </w:tc>
        <w:tc>
          <w:tcPr>
            <w:tcW w:w="1034" w:type="dxa"/>
            <w:vAlign w:val="center"/>
          </w:tcPr>
          <w:p w14:paraId="639E9D5D">
            <w:pPr>
              <w:spacing w:line="360" w:lineRule="auto"/>
              <w:jc w:val="center"/>
              <w:rPr>
                <w:rFonts w:ascii="宋体" w:hAnsi="宋体" w:cs="宋体"/>
                <w:sz w:val="24"/>
              </w:rPr>
            </w:pPr>
          </w:p>
        </w:tc>
      </w:tr>
      <w:tr w14:paraId="45DA68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3E9CFF88">
            <w:pPr>
              <w:spacing w:line="360" w:lineRule="auto"/>
              <w:jc w:val="center"/>
              <w:rPr>
                <w:rFonts w:ascii="宋体" w:hAnsi="宋体" w:cs="宋体"/>
                <w:sz w:val="24"/>
              </w:rPr>
            </w:pPr>
          </w:p>
        </w:tc>
        <w:tc>
          <w:tcPr>
            <w:tcW w:w="2013" w:type="dxa"/>
            <w:vAlign w:val="center"/>
          </w:tcPr>
          <w:p w14:paraId="56B50112">
            <w:pPr>
              <w:spacing w:line="360" w:lineRule="auto"/>
              <w:jc w:val="center"/>
              <w:rPr>
                <w:rFonts w:ascii="宋体" w:hAnsi="宋体" w:cs="宋体"/>
                <w:sz w:val="24"/>
              </w:rPr>
            </w:pPr>
            <w:r>
              <w:rPr>
                <w:rFonts w:hint="eastAsia" w:ascii="宋体" w:hAnsi="宋体" w:cs="宋体"/>
                <w:sz w:val="24"/>
              </w:rPr>
              <w:t>设计投标报价</w:t>
            </w:r>
          </w:p>
          <w:p w14:paraId="08473EDF">
            <w:pPr>
              <w:spacing w:line="360" w:lineRule="auto"/>
              <w:jc w:val="center"/>
              <w:rPr>
                <w:rFonts w:ascii="宋体" w:hAnsi="宋体" w:cs="宋体"/>
                <w:sz w:val="24"/>
              </w:rPr>
            </w:pPr>
            <w:r>
              <w:rPr>
                <w:rFonts w:hint="eastAsia" w:ascii="宋体" w:hAnsi="宋体" w:cs="宋体"/>
                <w:sz w:val="24"/>
              </w:rPr>
              <w:t>得分D1</w:t>
            </w:r>
          </w:p>
        </w:tc>
        <w:tc>
          <w:tcPr>
            <w:tcW w:w="837" w:type="dxa"/>
            <w:vMerge w:val="continue"/>
            <w:vAlign w:val="center"/>
          </w:tcPr>
          <w:p w14:paraId="202E718F">
            <w:pPr>
              <w:spacing w:line="360" w:lineRule="auto"/>
              <w:ind w:right="370" w:rightChars="176"/>
              <w:jc w:val="center"/>
              <w:rPr>
                <w:rFonts w:ascii="宋体" w:hAnsi="宋体" w:cs="宋体"/>
                <w:sz w:val="24"/>
              </w:rPr>
            </w:pPr>
          </w:p>
        </w:tc>
        <w:tc>
          <w:tcPr>
            <w:tcW w:w="963" w:type="dxa"/>
            <w:vAlign w:val="center"/>
          </w:tcPr>
          <w:p w14:paraId="597C6DAA">
            <w:pPr>
              <w:spacing w:line="360" w:lineRule="auto"/>
              <w:jc w:val="center"/>
              <w:rPr>
                <w:rFonts w:ascii="宋体" w:hAnsi="宋体" w:cs="宋体"/>
                <w:sz w:val="24"/>
              </w:rPr>
            </w:pPr>
          </w:p>
        </w:tc>
        <w:tc>
          <w:tcPr>
            <w:tcW w:w="962" w:type="dxa"/>
            <w:vAlign w:val="center"/>
          </w:tcPr>
          <w:p w14:paraId="6AA568BB">
            <w:pPr>
              <w:spacing w:line="360" w:lineRule="auto"/>
              <w:jc w:val="center"/>
              <w:rPr>
                <w:rFonts w:ascii="宋体" w:hAnsi="宋体" w:cs="宋体"/>
                <w:sz w:val="24"/>
              </w:rPr>
            </w:pPr>
          </w:p>
        </w:tc>
        <w:tc>
          <w:tcPr>
            <w:tcW w:w="913" w:type="dxa"/>
            <w:vAlign w:val="center"/>
          </w:tcPr>
          <w:p w14:paraId="0C3E772B">
            <w:pPr>
              <w:spacing w:line="360" w:lineRule="auto"/>
              <w:jc w:val="center"/>
              <w:rPr>
                <w:rFonts w:ascii="宋体" w:hAnsi="宋体" w:cs="宋体"/>
                <w:sz w:val="24"/>
              </w:rPr>
            </w:pPr>
          </w:p>
        </w:tc>
        <w:tc>
          <w:tcPr>
            <w:tcW w:w="1000" w:type="dxa"/>
            <w:vAlign w:val="center"/>
          </w:tcPr>
          <w:p w14:paraId="137D0573">
            <w:pPr>
              <w:spacing w:line="360" w:lineRule="auto"/>
              <w:jc w:val="center"/>
              <w:rPr>
                <w:rFonts w:ascii="宋体" w:hAnsi="宋体" w:cs="宋体"/>
                <w:sz w:val="24"/>
              </w:rPr>
            </w:pPr>
          </w:p>
        </w:tc>
        <w:tc>
          <w:tcPr>
            <w:tcW w:w="1237" w:type="dxa"/>
            <w:vAlign w:val="center"/>
          </w:tcPr>
          <w:p w14:paraId="29B5B013">
            <w:pPr>
              <w:spacing w:line="360" w:lineRule="auto"/>
              <w:jc w:val="center"/>
              <w:rPr>
                <w:rFonts w:ascii="宋体" w:hAnsi="宋体" w:cs="宋体"/>
                <w:sz w:val="24"/>
              </w:rPr>
            </w:pPr>
          </w:p>
        </w:tc>
        <w:tc>
          <w:tcPr>
            <w:tcW w:w="1034" w:type="dxa"/>
            <w:vAlign w:val="center"/>
          </w:tcPr>
          <w:p w14:paraId="45DD0395">
            <w:pPr>
              <w:spacing w:line="360" w:lineRule="auto"/>
              <w:jc w:val="center"/>
              <w:rPr>
                <w:rFonts w:ascii="宋体" w:hAnsi="宋体" w:cs="宋体"/>
                <w:sz w:val="24"/>
              </w:rPr>
            </w:pPr>
          </w:p>
        </w:tc>
      </w:tr>
      <w:tr w14:paraId="7A2783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restart"/>
            <w:vAlign w:val="center"/>
          </w:tcPr>
          <w:p w14:paraId="171B31AE">
            <w:pPr>
              <w:spacing w:line="360" w:lineRule="auto"/>
              <w:jc w:val="center"/>
              <w:rPr>
                <w:rFonts w:ascii="宋体" w:hAnsi="宋体" w:cs="宋体"/>
                <w:sz w:val="24"/>
              </w:rPr>
            </w:pPr>
            <w:r>
              <w:rPr>
                <w:rFonts w:hint="eastAsia" w:ascii="宋体" w:hAnsi="宋体" w:cs="宋体"/>
                <w:sz w:val="24"/>
              </w:rPr>
              <w:t>施工</w:t>
            </w:r>
          </w:p>
        </w:tc>
        <w:tc>
          <w:tcPr>
            <w:tcW w:w="2013" w:type="dxa"/>
            <w:vAlign w:val="center"/>
          </w:tcPr>
          <w:p w14:paraId="5E15C123">
            <w:pPr>
              <w:spacing w:line="360" w:lineRule="auto"/>
              <w:jc w:val="center"/>
              <w:rPr>
                <w:rFonts w:ascii="宋体" w:hAnsi="宋体" w:cs="宋体"/>
                <w:sz w:val="24"/>
              </w:rPr>
            </w:pPr>
            <w:r>
              <w:rPr>
                <w:rFonts w:hint="eastAsia" w:ascii="宋体" w:hAnsi="宋体" w:cs="宋体"/>
                <w:sz w:val="24"/>
              </w:rPr>
              <w:t>投标人施工</w:t>
            </w:r>
          </w:p>
          <w:p w14:paraId="71E49B92">
            <w:pPr>
              <w:spacing w:line="360" w:lineRule="auto"/>
              <w:jc w:val="center"/>
              <w:rPr>
                <w:rFonts w:ascii="宋体" w:hAnsi="宋体" w:cs="宋体"/>
                <w:sz w:val="24"/>
              </w:rPr>
            </w:pPr>
            <w:r>
              <w:rPr>
                <w:rFonts w:hint="eastAsia" w:ascii="宋体" w:hAnsi="宋体" w:cs="宋体"/>
                <w:sz w:val="24"/>
              </w:rPr>
              <w:t>投标报价</w:t>
            </w:r>
          </w:p>
        </w:tc>
        <w:tc>
          <w:tcPr>
            <w:tcW w:w="837" w:type="dxa"/>
            <w:vMerge w:val="restart"/>
            <w:vAlign w:val="center"/>
          </w:tcPr>
          <w:p w14:paraId="566F0146">
            <w:pPr>
              <w:spacing w:line="360" w:lineRule="auto"/>
              <w:ind w:right="370" w:rightChars="176"/>
              <w:jc w:val="center"/>
              <w:rPr>
                <w:rFonts w:ascii="宋体" w:hAnsi="宋体" w:cs="宋体"/>
                <w:sz w:val="24"/>
              </w:rPr>
            </w:pPr>
          </w:p>
        </w:tc>
        <w:tc>
          <w:tcPr>
            <w:tcW w:w="963" w:type="dxa"/>
            <w:vAlign w:val="center"/>
          </w:tcPr>
          <w:p w14:paraId="17869519">
            <w:pPr>
              <w:spacing w:line="360" w:lineRule="auto"/>
              <w:jc w:val="center"/>
              <w:rPr>
                <w:rFonts w:ascii="宋体" w:hAnsi="宋体" w:cs="宋体"/>
                <w:sz w:val="24"/>
              </w:rPr>
            </w:pPr>
          </w:p>
        </w:tc>
        <w:tc>
          <w:tcPr>
            <w:tcW w:w="962" w:type="dxa"/>
            <w:vAlign w:val="center"/>
          </w:tcPr>
          <w:p w14:paraId="2E60B109">
            <w:pPr>
              <w:spacing w:line="360" w:lineRule="auto"/>
              <w:jc w:val="center"/>
              <w:rPr>
                <w:rFonts w:ascii="宋体" w:hAnsi="宋体" w:cs="宋体"/>
                <w:sz w:val="24"/>
              </w:rPr>
            </w:pPr>
          </w:p>
        </w:tc>
        <w:tc>
          <w:tcPr>
            <w:tcW w:w="913" w:type="dxa"/>
            <w:vAlign w:val="center"/>
          </w:tcPr>
          <w:p w14:paraId="2054B405">
            <w:pPr>
              <w:spacing w:line="360" w:lineRule="auto"/>
              <w:jc w:val="center"/>
              <w:rPr>
                <w:rFonts w:ascii="宋体" w:hAnsi="宋体" w:cs="宋体"/>
                <w:sz w:val="24"/>
              </w:rPr>
            </w:pPr>
          </w:p>
        </w:tc>
        <w:tc>
          <w:tcPr>
            <w:tcW w:w="1000" w:type="dxa"/>
            <w:vAlign w:val="center"/>
          </w:tcPr>
          <w:p w14:paraId="65CA7840">
            <w:pPr>
              <w:spacing w:line="360" w:lineRule="auto"/>
              <w:jc w:val="center"/>
              <w:rPr>
                <w:rFonts w:ascii="宋体" w:hAnsi="宋体" w:cs="宋体"/>
                <w:sz w:val="24"/>
              </w:rPr>
            </w:pPr>
          </w:p>
        </w:tc>
        <w:tc>
          <w:tcPr>
            <w:tcW w:w="1237" w:type="dxa"/>
            <w:vAlign w:val="center"/>
          </w:tcPr>
          <w:p w14:paraId="57FA157D">
            <w:pPr>
              <w:spacing w:line="360" w:lineRule="auto"/>
              <w:jc w:val="center"/>
              <w:rPr>
                <w:rFonts w:ascii="宋体" w:hAnsi="宋体" w:cs="宋体"/>
                <w:sz w:val="24"/>
              </w:rPr>
            </w:pPr>
          </w:p>
        </w:tc>
        <w:tc>
          <w:tcPr>
            <w:tcW w:w="1034" w:type="dxa"/>
            <w:vAlign w:val="center"/>
          </w:tcPr>
          <w:p w14:paraId="039B8205">
            <w:pPr>
              <w:spacing w:line="360" w:lineRule="auto"/>
              <w:jc w:val="center"/>
              <w:rPr>
                <w:rFonts w:ascii="宋体" w:hAnsi="宋体" w:cs="宋体"/>
                <w:sz w:val="24"/>
              </w:rPr>
            </w:pPr>
          </w:p>
        </w:tc>
      </w:tr>
      <w:tr w14:paraId="7EE7A7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62734358">
            <w:pPr>
              <w:spacing w:line="360" w:lineRule="auto"/>
              <w:jc w:val="center"/>
              <w:rPr>
                <w:rFonts w:ascii="宋体" w:hAnsi="宋体" w:cs="宋体"/>
                <w:sz w:val="24"/>
              </w:rPr>
            </w:pPr>
          </w:p>
        </w:tc>
        <w:tc>
          <w:tcPr>
            <w:tcW w:w="2013" w:type="dxa"/>
            <w:vAlign w:val="center"/>
          </w:tcPr>
          <w:p w14:paraId="0F787993">
            <w:pPr>
              <w:spacing w:line="360" w:lineRule="auto"/>
              <w:jc w:val="center"/>
              <w:rPr>
                <w:rFonts w:ascii="宋体" w:hAnsi="宋体" w:cs="宋体"/>
                <w:sz w:val="24"/>
              </w:rPr>
            </w:pPr>
            <w:r>
              <w:rPr>
                <w:rFonts w:hint="eastAsia" w:ascii="宋体" w:hAnsi="宋体" w:cs="宋体"/>
                <w:sz w:val="24"/>
              </w:rPr>
              <w:t>评标基准价</w:t>
            </w:r>
          </w:p>
        </w:tc>
        <w:tc>
          <w:tcPr>
            <w:tcW w:w="837" w:type="dxa"/>
            <w:vMerge w:val="continue"/>
            <w:vAlign w:val="center"/>
          </w:tcPr>
          <w:p w14:paraId="36A96BD6">
            <w:pPr>
              <w:spacing w:line="360" w:lineRule="auto"/>
              <w:ind w:right="370" w:rightChars="176"/>
              <w:jc w:val="center"/>
              <w:rPr>
                <w:rFonts w:ascii="宋体" w:hAnsi="宋体" w:cs="宋体"/>
                <w:sz w:val="24"/>
              </w:rPr>
            </w:pPr>
          </w:p>
        </w:tc>
        <w:tc>
          <w:tcPr>
            <w:tcW w:w="963" w:type="dxa"/>
            <w:vAlign w:val="center"/>
          </w:tcPr>
          <w:p w14:paraId="7C369D26">
            <w:pPr>
              <w:spacing w:line="360" w:lineRule="auto"/>
              <w:jc w:val="center"/>
              <w:rPr>
                <w:rFonts w:ascii="宋体" w:hAnsi="宋体" w:cs="宋体"/>
                <w:sz w:val="24"/>
              </w:rPr>
            </w:pPr>
          </w:p>
        </w:tc>
        <w:tc>
          <w:tcPr>
            <w:tcW w:w="962" w:type="dxa"/>
            <w:vAlign w:val="center"/>
          </w:tcPr>
          <w:p w14:paraId="25337C51">
            <w:pPr>
              <w:spacing w:line="360" w:lineRule="auto"/>
              <w:jc w:val="center"/>
              <w:rPr>
                <w:rFonts w:ascii="宋体" w:hAnsi="宋体" w:cs="宋体"/>
                <w:sz w:val="24"/>
              </w:rPr>
            </w:pPr>
          </w:p>
        </w:tc>
        <w:tc>
          <w:tcPr>
            <w:tcW w:w="913" w:type="dxa"/>
            <w:vAlign w:val="center"/>
          </w:tcPr>
          <w:p w14:paraId="7FA44255">
            <w:pPr>
              <w:spacing w:line="360" w:lineRule="auto"/>
              <w:jc w:val="center"/>
              <w:rPr>
                <w:rFonts w:ascii="宋体" w:hAnsi="宋体" w:cs="宋体"/>
                <w:sz w:val="24"/>
              </w:rPr>
            </w:pPr>
          </w:p>
        </w:tc>
        <w:tc>
          <w:tcPr>
            <w:tcW w:w="1000" w:type="dxa"/>
            <w:vAlign w:val="center"/>
          </w:tcPr>
          <w:p w14:paraId="136EA50F">
            <w:pPr>
              <w:spacing w:line="360" w:lineRule="auto"/>
              <w:jc w:val="center"/>
              <w:rPr>
                <w:rFonts w:ascii="宋体" w:hAnsi="宋体" w:cs="宋体"/>
                <w:sz w:val="24"/>
              </w:rPr>
            </w:pPr>
          </w:p>
        </w:tc>
        <w:tc>
          <w:tcPr>
            <w:tcW w:w="1237" w:type="dxa"/>
            <w:vAlign w:val="center"/>
          </w:tcPr>
          <w:p w14:paraId="2B6D8BF3">
            <w:pPr>
              <w:spacing w:line="360" w:lineRule="auto"/>
              <w:jc w:val="center"/>
              <w:rPr>
                <w:rFonts w:ascii="宋体" w:hAnsi="宋体" w:cs="宋体"/>
                <w:sz w:val="24"/>
              </w:rPr>
            </w:pPr>
          </w:p>
        </w:tc>
        <w:tc>
          <w:tcPr>
            <w:tcW w:w="1034" w:type="dxa"/>
            <w:vAlign w:val="center"/>
          </w:tcPr>
          <w:p w14:paraId="613679BF">
            <w:pPr>
              <w:spacing w:line="360" w:lineRule="auto"/>
              <w:jc w:val="center"/>
              <w:rPr>
                <w:rFonts w:ascii="宋体" w:hAnsi="宋体" w:cs="宋体"/>
                <w:sz w:val="24"/>
              </w:rPr>
            </w:pPr>
          </w:p>
        </w:tc>
      </w:tr>
      <w:tr w14:paraId="4C365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4ED2970B">
            <w:pPr>
              <w:spacing w:line="360" w:lineRule="auto"/>
              <w:jc w:val="center"/>
              <w:rPr>
                <w:rFonts w:ascii="宋体" w:hAnsi="宋体" w:cs="宋体"/>
                <w:sz w:val="24"/>
              </w:rPr>
            </w:pPr>
          </w:p>
        </w:tc>
        <w:tc>
          <w:tcPr>
            <w:tcW w:w="2013" w:type="dxa"/>
            <w:vAlign w:val="center"/>
          </w:tcPr>
          <w:p w14:paraId="4352A462">
            <w:pPr>
              <w:spacing w:line="360" w:lineRule="auto"/>
              <w:jc w:val="center"/>
              <w:rPr>
                <w:rFonts w:ascii="宋体" w:hAnsi="宋体" w:cs="宋体"/>
                <w:sz w:val="24"/>
              </w:rPr>
            </w:pPr>
            <w:r>
              <w:rPr>
                <w:rFonts w:hint="eastAsia" w:ascii="宋体" w:hAnsi="宋体" w:cs="宋体"/>
                <w:sz w:val="24"/>
              </w:rPr>
              <w:t>偏差率</w:t>
            </w:r>
          </w:p>
        </w:tc>
        <w:tc>
          <w:tcPr>
            <w:tcW w:w="837" w:type="dxa"/>
            <w:vMerge w:val="continue"/>
            <w:vAlign w:val="center"/>
          </w:tcPr>
          <w:p w14:paraId="476B961F">
            <w:pPr>
              <w:spacing w:line="360" w:lineRule="auto"/>
              <w:ind w:right="370" w:rightChars="176"/>
              <w:jc w:val="center"/>
              <w:rPr>
                <w:rFonts w:ascii="宋体" w:hAnsi="宋体" w:cs="宋体"/>
                <w:sz w:val="24"/>
              </w:rPr>
            </w:pPr>
          </w:p>
        </w:tc>
        <w:tc>
          <w:tcPr>
            <w:tcW w:w="963" w:type="dxa"/>
            <w:vAlign w:val="center"/>
          </w:tcPr>
          <w:p w14:paraId="400CDB56">
            <w:pPr>
              <w:spacing w:line="360" w:lineRule="auto"/>
              <w:jc w:val="center"/>
              <w:rPr>
                <w:rFonts w:ascii="宋体" w:hAnsi="宋体" w:cs="宋体"/>
                <w:sz w:val="24"/>
              </w:rPr>
            </w:pPr>
          </w:p>
        </w:tc>
        <w:tc>
          <w:tcPr>
            <w:tcW w:w="962" w:type="dxa"/>
            <w:vAlign w:val="center"/>
          </w:tcPr>
          <w:p w14:paraId="005863D3">
            <w:pPr>
              <w:spacing w:line="360" w:lineRule="auto"/>
              <w:jc w:val="center"/>
              <w:rPr>
                <w:rFonts w:ascii="宋体" w:hAnsi="宋体" w:cs="宋体"/>
                <w:sz w:val="24"/>
              </w:rPr>
            </w:pPr>
          </w:p>
        </w:tc>
        <w:tc>
          <w:tcPr>
            <w:tcW w:w="913" w:type="dxa"/>
            <w:vAlign w:val="center"/>
          </w:tcPr>
          <w:p w14:paraId="614CFEC3">
            <w:pPr>
              <w:spacing w:line="360" w:lineRule="auto"/>
              <w:jc w:val="center"/>
              <w:rPr>
                <w:rFonts w:ascii="宋体" w:hAnsi="宋体" w:cs="宋体"/>
                <w:sz w:val="24"/>
              </w:rPr>
            </w:pPr>
          </w:p>
        </w:tc>
        <w:tc>
          <w:tcPr>
            <w:tcW w:w="1000" w:type="dxa"/>
            <w:vAlign w:val="center"/>
          </w:tcPr>
          <w:p w14:paraId="6AEFB9FC">
            <w:pPr>
              <w:spacing w:line="360" w:lineRule="auto"/>
              <w:jc w:val="center"/>
              <w:rPr>
                <w:rFonts w:ascii="宋体" w:hAnsi="宋体" w:cs="宋体"/>
                <w:sz w:val="24"/>
              </w:rPr>
            </w:pPr>
          </w:p>
        </w:tc>
        <w:tc>
          <w:tcPr>
            <w:tcW w:w="1237" w:type="dxa"/>
            <w:vAlign w:val="center"/>
          </w:tcPr>
          <w:p w14:paraId="5204ADD0">
            <w:pPr>
              <w:spacing w:line="360" w:lineRule="auto"/>
              <w:jc w:val="center"/>
              <w:rPr>
                <w:rFonts w:ascii="宋体" w:hAnsi="宋体" w:cs="宋体"/>
                <w:sz w:val="24"/>
              </w:rPr>
            </w:pPr>
          </w:p>
        </w:tc>
        <w:tc>
          <w:tcPr>
            <w:tcW w:w="1034" w:type="dxa"/>
            <w:vAlign w:val="center"/>
          </w:tcPr>
          <w:p w14:paraId="7F381483">
            <w:pPr>
              <w:spacing w:line="360" w:lineRule="auto"/>
              <w:jc w:val="center"/>
              <w:rPr>
                <w:rFonts w:ascii="宋体" w:hAnsi="宋体" w:cs="宋体"/>
                <w:sz w:val="24"/>
              </w:rPr>
            </w:pPr>
          </w:p>
        </w:tc>
      </w:tr>
      <w:tr w14:paraId="40F402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59" w:type="dxa"/>
            <w:vMerge w:val="continue"/>
            <w:vAlign w:val="center"/>
          </w:tcPr>
          <w:p w14:paraId="06942DB7">
            <w:pPr>
              <w:spacing w:line="360" w:lineRule="auto"/>
              <w:jc w:val="center"/>
              <w:rPr>
                <w:rFonts w:ascii="宋体" w:hAnsi="宋体" w:cs="宋体"/>
                <w:sz w:val="24"/>
              </w:rPr>
            </w:pPr>
          </w:p>
        </w:tc>
        <w:tc>
          <w:tcPr>
            <w:tcW w:w="2013" w:type="dxa"/>
            <w:vAlign w:val="center"/>
          </w:tcPr>
          <w:p w14:paraId="08EE1CBD">
            <w:pPr>
              <w:spacing w:line="360" w:lineRule="auto"/>
              <w:jc w:val="center"/>
              <w:rPr>
                <w:rFonts w:ascii="宋体" w:hAnsi="宋体" w:cs="宋体"/>
                <w:sz w:val="24"/>
              </w:rPr>
            </w:pPr>
            <w:r>
              <w:rPr>
                <w:rFonts w:hint="eastAsia" w:ascii="宋体" w:hAnsi="宋体" w:cs="宋体"/>
                <w:sz w:val="24"/>
              </w:rPr>
              <w:t>施工投标报价</w:t>
            </w:r>
          </w:p>
          <w:p w14:paraId="64D007F6">
            <w:pPr>
              <w:spacing w:line="360" w:lineRule="auto"/>
              <w:jc w:val="center"/>
              <w:rPr>
                <w:rFonts w:ascii="宋体" w:hAnsi="宋体" w:cs="宋体"/>
                <w:sz w:val="24"/>
              </w:rPr>
            </w:pPr>
            <w:r>
              <w:rPr>
                <w:rFonts w:hint="eastAsia" w:ascii="宋体" w:hAnsi="宋体" w:cs="宋体"/>
                <w:sz w:val="24"/>
              </w:rPr>
              <w:t>得分D2</w:t>
            </w:r>
          </w:p>
        </w:tc>
        <w:tc>
          <w:tcPr>
            <w:tcW w:w="837" w:type="dxa"/>
            <w:vMerge w:val="continue"/>
            <w:vAlign w:val="center"/>
          </w:tcPr>
          <w:p w14:paraId="5B6C66C6">
            <w:pPr>
              <w:spacing w:line="360" w:lineRule="auto"/>
              <w:ind w:right="370" w:rightChars="176"/>
              <w:jc w:val="center"/>
              <w:rPr>
                <w:rFonts w:ascii="宋体" w:hAnsi="宋体" w:cs="宋体"/>
                <w:sz w:val="24"/>
              </w:rPr>
            </w:pPr>
          </w:p>
        </w:tc>
        <w:tc>
          <w:tcPr>
            <w:tcW w:w="963" w:type="dxa"/>
            <w:vAlign w:val="center"/>
          </w:tcPr>
          <w:p w14:paraId="32FDF739">
            <w:pPr>
              <w:spacing w:line="360" w:lineRule="auto"/>
              <w:jc w:val="center"/>
              <w:rPr>
                <w:rFonts w:ascii="宋体" w:hAnsi="宋体" w:cs="宋体"/>
                <w:sz w:val="24"/>
              </w:rPr>
            </w:pPr>
          </w:p>
        </w:tc>
        <w:tc>
          <w:tcPr>
            <w:tcW w:w="962" w:type="dxa"/>
            <w:vAlign w:val="center"/>
          </w:tcPr>
          <w:p w14:paraId="34DCF03E">
            <w:pPr>
              <w:spacing w:line="360" w:lineRule="auto"/>
              <w:jc w:val="center"/>
              <w:rPr>
                <w:rFonts w:ascii="宋体" w:hAnsi="宋体" w:cs="宋体"/>
                <w:sz w:val="24"/>
              </w:rPr>
            </w:pPr>
          </w:p>
        </w:tc>
        <w:tc>
          <w:tcPr>
            <w:tcW w:w="913" w:type="dxa"/>
            <w:vAlign w:val="center"/>
          </w:tcPr>
          <w:p w14:paraId="38CCC345">
            <w:pPr>
              <w:spacing w:line="360" w:lineRule="auto"/>
              <w:jc w:val="center"/>
              <w:rPr>
                <w:rFonts w:ascii="宋体" w:hAnsi="宋体" w:cs="宋体"/>
                <w:sz w:val="24"/>
              </w:rPr>
            </w:pPr>
          </w:p>
        </w:tc>
        <w:tc>
          <w:tcPr>
            <w:tcW w:w="1000" w:type="dxa"/>
            <w:vAlign w:val="center"/>
          </w:tcPr>
          <w:p w14:paraId="1C1154AF">
            <w:pPr>
              <w:spacing w:line="360" w:lineRule="auto"/>
              <w:jc w:val="center"/>
              <w:rPr>
                <w:rFonts w:ascii="宋体" w:hAnsi="宋体" w:cs="宋体"/>
                <w:sz w:val="24"/>
              </w:rPr>
            </w:pPr>
          </w:p>
        </w:tc>
        <w:tc>
          <w:tcPr>
            <w:tcW w:w="1237" w:type="dxa"/>
            <w:vAlign w:val="center"/>
          </w:tcPr>
          <w:p w14:paraId="5D04A518">
            <w:pPr>
              <w:spacing w:line="360" w:lineRule="auto"/>
              <w:jc w:val="center"/>
              <w:rPr>
                <w:rFonts w:ascii="宋体" w:hAnsi="宋体" w:cs="宋体"/>
                <w:sz w:val="24"/>
              </w:rPr>
            </w:pPr>
          </w:p>
        </w:tc>
        <w:tc>
          <w:tcPr>
            <w:tcW w:w="1034" w:type="dxa"/>
            <w:vAlign w:val="center"/>
          </w:tcPr>
          <w:p w14:paraId="4742CD9A">
            <w:pPr>
              <w:spacing w:line="360" w:lineRule="auto"/>
              <w:jc w:val="center"/>
              <w:rPr>
                <w:rFonts w:ascii="宋体" w:hAnsi="宋体" w:cs="宋体"/>
                <w:sz w:val="24"/>
              </w:rPr>
            </w:pPr>
          </w:p>
        </w:tc>
      </w:tr>
      <w:tr w14:paraId="7BF72A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72" w:type="dxa"/>
            <w:gridSpan w:val="2"/>
            <w:vAlign w:val="center"/>
          </w:tcPr>
          <w:p w14:paraId="5E53F463">
            <w:pPr>
              <w:spacing w:line="360" w:lineRule="auto"/>
              <w:jc w:val="center"/>
              <w:rPr>
                <w:rFonts w:ascii="宋体" w:hAnsi="宋体" w:cs="宋体"/>
                <w:sz w:val="24"/>
              </w:rPr>
            </w:pPr>
            <w:r>
              <w:rPr>
                <w:rFonts w:hint="eastAsia" w:ascii="宋体" w:hAnsi="宋体" w:cs="宋体"/>
                <w:sz w:val="24"/>
              </w:rPr>
              <w:t>投标报价得分D=D1+D2</w:t>
            </w:r>
          </w:p>
        </w:tc>
        <w:tc>
          <w:tcPr>
            <w:tcW w:w="837" w:type="dxa"/>
            <w:vAlign w:val="center"/>
          </w:tcPr>
          <w:p w14:paraId="2CB3233A">
            <w:pPr>
              <w:spacing w:line="360" w:lineRule="auto"/>
              <w:ind w:right="370" w:rightChars="176"/>
              <w:jc w:val="center"/>
              <w:rPr>
                <w:rFonts w:ascii="宋体" w:hAnsi="宋体" w:cs="宋体"/>
                <w:sz w:val="24"/>
              </w:rPr>
            </w:pPr>
          </w:p>
        </w:tc>
        <w:tc>
          <w:tcPr>
            <w:tcW w:w="963" w:type="dxa"/>
            <w:vAlign w:val="center"/>
          </w:tcPr>
          <w:p w14:paraId="6F04D3EE">
            <w:pPr>
              <w:spacing w:line="360" w:lineRule="auto"/>
              <w:jc w:val="center"/>
              <w:rPr>
                <w:rFonts w:ascii="宋体" w:hAnsi="宋体" w:cs="宋体"/>
                <w:sz w:val="24"/>
              </w:rPr>
            </w:pPr>
          </w:p>
        </w:tc>
        <w:tc>
          <w:tcPr>
            <w:tcW w:w="962" w:type="dxa"/>
            <w:vAlign w:val="center"/>
          </w:tcPr>
          <w:p w14:paraId="715CAAE6">
            <w:pPr>
              <w:spacing w:line="360" w:lineRule="auto"/>
              <w:jc w:val="center"/>
              <w:rPr>
                <w:rFonts w:ascii="宋体" w:hAnsi="宋体" w:cs="宋体"/>
                <w:sz w:val="24"/>
              </w:rPr>
            </w:pPr>
          </w:p>
        </w:tc>
        <w:tc>
          <w:tcPr>
            <w:tcW w:w="913" w:type="dxa"/>
            <w:vAlign w:val="center"/>
          </w:tcPr>
          <w:p w14:paraId="1894DF32">
            <w:pPr>
              <w:spacing w:line="360" w:lineRule="auto"/>
              <w:jc w:val="center"/>
              <w:rPr>
                <w:rFonts w:ascii="宋体" w:hAnsi="宋体" w:cs="宋体"/>
                <w:sz w:val="24"/>
              </w:rPr>
            </w:pPr>
          </w:p>
        </w:tc>
        <w:tc>
          <w:tcPr>
            <w:tcW w:w="1000" w:type="dxa"/>
            <w:vAlign w:val="center"/>
          </w:tcPr>
          <w:p w14:paraId="7426E75A">
            <w:pPr>
              <w:spacing w:line="360" w:lineRule="auto"/>
              <w:jc w:val="center"/>
              <w:rPr>
                <w:rFonts w:ascii="宋体" w:hAnsi="宋体" w:cs="宋体"/>
                <w:sz w:val="24"/>
              </w:rPr>
            </w:pPr>
          </w:p>
        </w:tc>
        <w:tc>
          <w:tcPr>
            <w:tcW w:w="1237" w:type="dxa"/>
            <w:vAlign w:val="center"/>
          </w:tcPr>
          <w:p w14:paraId="599702F4">
            <w:pPr>
              <w:spacing w:line="360" w:lineRule="auto"/>
              <w:jc w:val="center"/>
              <w:rPr>
                <w:rFonts w:ascii="宋体" w:hAnsi="宋体" w:cs="宋体"/>
                <w:sz w:val="24"/>
              </w:rPr>
            </w:pPr>
          </w:p>
        </w:tc>
        <w:tc>
          <w:tcPr>
            <w:tcW w:w="1034" w:type="dxa"/>
            <w:vAlign w:val="center"/>
          </w:tcPr>
          <w:p w14:paraId="0F66044A">
            <w:pPr>
              <w:spacing w:line="360" w:lineRule="auto"/>
              <w:jc w:val="center"/>
              <w:rPr>
                <w:rFonts w:ascii="宋体" w:hAnsi="宋体" w:cs="宋体"/>
                <w:sz w:val="24"/>
              </w:rPr>
            </w:pPr>
          </w:p>
        </w:tc>
      </w:tr>
    </w:tbl>
    <w:p w14:paraId="5F4C3B1B">
      <w:pPr>
        <w:spacing w:line="360" w:lineRule="auto"/>
        <w:rPr>
          <w:rFonts w:ascii="宋体" w:hAnsi="宋体" w:cs="宋体"/>
          <w:sz w:val="24"/>
        </w:rPr>
      </w:pPr>
    </w:p>
    <w:p w14:paraId="1F72ADE8">
      <w:pPr>
        <w:spacing w:line="360" w:lineRule="auto"/>
        <w:rPr>
          <w:rFonts w:ascii="宋体" w:hAnsi="宋体" w:cs="宋体"/>
          <w:sz w:val="24"/>
        </w:rPr>
      </w:pPr>
      <w:r>
        <w:rPr>
          <w:rFonts w:hint="eastAsia" w:ascii="宋体" w:hAnsi="宋体" w:cs="宋体"/>
          <w:sz w:val="24"/>
        </w:rPr>
        <w:t>评标委员会全体成员签名：</w:t>
      </w:r>
    </w:p>
    <w:p w14:paraId="16A94A78">
      <w:pPr>
        <w:pStyle w:val="4"/>
        <w:rPr>
          <w:rFonts w:ascii="宋体" w:hAnsi="宋体" w:eastAsia="宋体" w:cs="宋体"/>
          <w:sz w:val="24"/>
          <w:szCs w:val="24"/>
        </w:rPr>
      </w:pPr>
      <w:r>
        <w:rPr>
          <w:rFonts w:ascii="宋体" w:hAnsi="宋体" w:eastAsia="宋体" w:cs="宋体"/>
          <w:sz w:val="24"/>
          <w:szCs w:val="24"/>
        </w:rPr>
        <w:br w:type="page"/>
      </w:r>
      <w:r>
        <w:rPr>
          <w:rFonts w:hint="eastAsia" w:ascii="宋体" w:hAnsi="宋体" w:eastAsia="宋体" w:cs="宋体"/>
          <w:sz w:val="24"/>
          <w:szCs w:val="24"/>
        </w:rPr>
        <w:t>附表10：其他因素评审记录表</w:t>
      </w:r>
    </w:p>
    <w:p w14:paraId="0D965755">
      <w:pPr>
        <w:spacing w:line="360" w:lineRule="auto"/>
        <w:jc w:val="center"/>
        <w:rPr>
          <w:rFonts w:ascii="宋体" w:hAnsi="宋体" w:cs="宋体"/>
          <w:b/>
          <w:sz w:val="24"/>
        </w:rPr>
      </w:pPr>
      <w:r>
        <w:rPr>
          <w:rFonts w:hint="eastAsia" w:ascii="宋体" w:hAnsi="宋体" w:cs="宋体"/>
          <w:b/>
          <w:sz w:val="24"/>
        </w:rPr>
        <w:t>其他因素评审记录表</w:t>
      </w:r>
    </w:p>
    <w:p w14:paraId="63F9DF27">
      <w:pPr>
        <w:spacing w:line="360" w:lineRule="auto"/>
        <w:jc w:val="center"/>
        <w:rPr>
          <w:rFonts w:ascii="宋体" w:hAnsi="宋体" w:cs="宋体"/>
          <w:b/>
          <w:sz w:val="24"/>
        </w:rPr>
      </w:pPr>
    </w:p>
    <w:p w14:paraId="031BBFBE">
      <w:pPr>
        <w:spacing w:line="360" w:lineRule="auto"/>
        <w:ind w:firstLine="240" w:firstLineChars="100"/>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09"/>
        <w:gridCol w:w="1540"/>
        <w:gridCol w:w="852"/>
        <w:gridCol w:w="739"/>
        <w:gridCol w:w="746"/>
        <w:gridCol w:w="748"/>
        <w:gridCol w:w="746"/>
        <w:gridCol w:w="748"/>
        <w:gridCol w:w="746"/>
        <w:gridCol w:w="748"/>
      </w:tblGrid>
      <w:tr w14:paraId="227579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Merge w:val="restart"/>
            <w:vAlign w:val="center"/>
          </w:tcPr>
          <w:p w14:paraId="285D81BE">
            <w:pPr>
              <w:spacing w:line="360" w:lineRule="auto"/>
              <w:jc w:val="center"/>
              <w:rPr>
                <w:rFonts w:ascii="宋体" w:hAnsi="宋体" w:cs="宋体"/>
                <w:sz w:val="24"/>
              </w:rPr>
            </w:pPr>
            <w:r>
              <w:rPr>
                <w:rFonts w:hint="eastAsia" w:ascii="宋体" w:hAnsi="宋体" w:cs="宋体"/>
                <w:sz w:val="24"/>
              </w:rPr>
              <w:t>序号</w:t>
            </w:r>
          </w:p>
        </w:tc>
        <w:tc>
          <w:tcPr>
            <w:tcW w:w="1540" w:type="dxa"/>
            <w:vMerge w:val="restart"/>
            <w:vAlign w:val="center"/>
          </w:tcPr>
          <w:p w14:paraId="44F7D916">
            <w:pPr>
              <w:spacing w:line="360" w:lineRule="auto"/>
              <w:jc w:val="center"/>
              <w:rPr>
                <w:rFonts w:ascii="宋体" w:hAnsi="宋体" w:cs="宋体"/>
                <w:sz w:val="24"/>
              </w:rPr>
            </w:pPr>
            <w:r>
              <w:rPr>
                <w:rFonts w:hint="eastAsia" w:ascii="宋体" w:hAnsi="宋体" w:cs="宋体"/>
                <w:sz w:val="24"/>
              </w:rPr>
              <w:t>评分因素</w:t>
            </w:r>
          </w:p>
        </w:tc>
        <w:tc>
          <w:tcPr>
            <w:tcW w:w="852" w:type="dxa"/>
            <w:vMerge w:val="restart"/>
            <w:vAlign w:val="center"/>
          </w:tcPr>
          <w:p w14:paraId="4E6D5D15">
            <w:pPr>
              <w:spacing w:line="360" w:lineRule="auto"/>
              <w:jc w:val="center"/>
              <w:rPr>
                <w:rFonts w:ascii="宋体" w:hAnsi="宋体" w:cs="宋体"/>
                <w:sz w:val="24"/>
              </w:rPr>
            </w:pPr>
            <w:r>
              <w:rPr>
                <w:rFonts w:hint="eastAsia" w:ascii="宋体" w:hAnsi="宋体" w:cs="宋体"/>
                <w:sz w:val="24"/>
              </w:rPr>
              <w:t>分值</w:t>
            </w:r>
          </w:p>
        </w:tc>
        <w:tc>
          <w:tcPr>
            <w:tcW w:w="5221" w:type="dxa"/>
            <w:gridSpan w:val="7"/>
            <w:vAlign w:val="center"/>
          </w:tcPr>
          <w:p w14:paraId="75F0F986">
            <w:pPr>
              <w:spacing w:line="360" w:lineRule="auto"/>
              <w:jc w:val="center"/>
              <w:rPr>
                <w:rFonts w:ascii="宋体" w:hAnsi="宋体" w:cs="宋体"/>
                <w:sz w:val="24"/>
              </w:rPr>
            </w:pPr>
            <w:r>
              <w:rPr>
                <w:rFonts w:hint="eastAsia" w:ascii="宋体" w:hAnsi="宋体" w:cs="宋体"/>
                <w:sz w:val="24"/>
              </w:rPr>
              <w:t>投标人名称及评审意见</w:t>
            </w:r>
          </w:p>
        </w:tc>
      </w:tr>
      <w:tr w14:paraId="518152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Merge w:val="continue"/>
            <w:vAlign w:val="center"/>
          </w:tcPr>
          <w:p w14:paraId="1C883C27">
            <w:pPr>
              <w:spacing w:line="360" w:lineRule="auto"/>
              <w:rPr>
                <w:rFonts w:ascii="宋体" w:hAnsi="宋体" w:cs="宋体"/>
                <w:sz w:val="24"/>
              </w:rPr>
            </w:pPr>
          </w:p>
        </w:tc>
        <w:tc>
          <w:tcPr>
            <w:tcW w:w="1540" w:type="dxa"/>
            <w:vMerge w:val="continue"/>
            <w:vAlign w:val="center"/>
          </w:tcPr>
          <w:p w14:paraId="02219CCC">
            <w:pPr>
              <w:spacing w:line="360" w:lineRule="auto"/>
              <w:rPr>
                <w:rFonts w:ascii="宋体" w:hAnsi="宋体" w:cs="宋体"/>
                <w:sz w:val="24"/>
              </w:rPr>
            </w:pPr>
          </w:p>
        </w:tc>
        <w:tc>
          <w:tcPr>
            <w:tcW w:w="852" w:type="dxa"/>
            <w:vMerge w:val="continue"/>
            <w:vAlign w:val="center"/>
          </w:tcPr>
          <w:p w14:paraId="7EC9BB27">
            <w:pPr>
              <w:spacing w:line="360" w:lineRule="auto"/>
              <w:rPr>
                <w:rFonts w:ascii="宋体" w:hAnsi="宋体" w:cs="宋体"/>
                <w:sz w:val="24"/>
              </w:rPr>
            </w:pPr>
          </w:p>
        </w:tc>
        <w:tc>
          <w:tcPr>
            <w:tcW w:w="739" w:type="dxa"/>
            <w:vAlign w:val="center"/>
          </w:tcPr>
          <w:p w14:paraId="4572ECA5">
            <w:pPr>
              <w:spacing w:line="360" w:lineRule="auto"/>
              <w:jc w:val="center"/>
              <w:rPr>
                <w:rFonts w:ascii="宋体" w:hAnsi="宋体" w:cs="宋体"/>
                <w:sz w:val="24"/>
              </w:rPr>
            </w:pPr>
          </w:p>
        </w:tc>
        <w:tc>
          <w:tcPr>
            <w:tcW w:w="746" w:type="dxa"/>
            <w:vAlign w:val="center"/>
          </w:tcPr>
          <w:p w14:paraId="5B7A9AB6">
            <w:pPr>
              <w:spacing w:line="360" w:lineRule="auto"/>
              <w:jc w:val="center"/>
              <w:rPr>
                <w:rFonts w:ascii="宋体" w:hAnsi="宋体" w:cs="宋体"/>
                <w:sz w:val="24"/>
              </w:rPr>
            </w:pPr>
          </w:p>
        </w:tc>
        <w:tc>
          <w:tcPr>
            <w:tcW w:w="748" w:type="dxa"/>
            <w:vAlign w:val="center"/>
          </w:tcPr>
          <w:p w14:paraId="2E16C15D">
            <w:pPr>
              <w:spacing w:line="360" w:lineRule="auto"/>
              <w:jc w:val="center"/>
              <w:rPr>
                <w:rFonts w:ascii="宋体" w:hAnsi="宋体" w:cs="宋体"/>
                <w:sz w:val="24"/>
              </w:rPr>
            </w:pPr>
          </w:p>
        </w:tc>
        <w:tc>
          <w:tcPr>
            <w:tcW w:w="746" w:type="dxa"/>
            <w:vAlign w:val="center"/>
          </w:tcPr>
          <w:p w14:paraId="0456A041">
            <w:pPr>
              <w:spacing w:line="360" w:lineRule="auto"/>
              <w:jc w:val="center"/>
              <w:rPr>
                <w:rFonts w:ascii="宋体" w:hAnsi="宋体" w:cs="宋体"/>
                <w:sz w:val="24"/>
              </w:rPr>
            </w:pPr>
          </w:p>
        </w:tc>
        <w:tc>
          <w:tcPr>
            <w:tcW w:w="748" w:type="dxa"/>
            <w:vAlign w:val="center"/>
          </w:tcPr>
          <w:p w14:paraId="12DEBE64">
            <w:pPr>
              <w:spacing w:line="360" w:lineRule="auto"/>
              <w:jc w:val="center"/>
              <w:rPr>
                <w:rFonts w:ascii="宋体" w:hAnsi="宋体" w:cs="宋体"/>
                <w:sz w:val="24"/>
              </w:rPr>
            </w:pPr>
          </w:p>
        </w:tc>
        <w:tc>
          <w:tcPr>
            <w:tcW w:w="746" w:type="dxa"/>
            <w:vAlign w:val="center"/>
          </w:tcPr>
          <w:p w14:paraId="734DC366">
            <w:pPr>
              <w:spacing w:line="360" w:lineRule="auto"/>
              <w:jc w:val="center"/>
              <w:rPr>
                <w:rFonts w:ascii="宋体" w:hAnsi="宋体" w:cs="宋体"/>
                <w:sz w:val="24"/>
              </w:rPr>
            </w:pPr>
          </w:p>
        </w:tc>
        <w:tc>
          <w:tcPr>
            <w:tcW w:w="748" w:type="dxa"/>
            <w:vAlign w:val="center"/>
          </w:tcPr>
          <w:p w14:paraId="2380B0BF">
            <w:pPr>
              <w:spacing w:line="360" w:lineRule="auto"/>
              <w:jc w:val="center"/>
              <w:rPr>
                <w:rFonts w:ascii="宋体" w:hAnsi="宋体" w:cs="宋体"/>
                <w:sz w:val="24"/>
              </w:rPr>
            </w:pPr>
          </w:p>
        </w:tc>
      </w:tr>
      <w:tr w14:paraId="3F89C9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Align w:val="center"/>
          </w:tcPr>
          <w:p w14:paraId="2717BD7D">
            <w:pPr>
              <w:spacing w:line="360" w:lineRule="auto"/>
              <w:jc w:val="center"/>
              <w:rPr>
                <w:rFonts w:ascii="宋体" w:hAnsi="宋体" w:cs="宋体"/>
                <w:sz w:val="24"/>
              </w:rPr>
            </w:pPr>
            <w:r>
              <w:rPr>
                <w:rFonts w:hint="eastAsia" w:ascii="宋体" w:hAnsi="宋体" w:cs="宋体"/>
                <w:sz w:val="24"/>
              </w:rPr>
              <w:t>1</w:t>
            </w:r>
          </w:p>
        </w:tc>
        <w:tc>
          <w:tcPr>
            <w:tcW w:w="1540" w:type="dxa"/>
            <w:vAlign w:val="center"/>
          </w:tcPr>
          <w:p w14:paraId="42304A3B">
            <w:pPr>
              <w:spacing w:line="360" w:lineRule="auto"/>
              <w:jc w:val="center"/>
              <w:rPr>
                <w:rFonts w:ascii="宋体" w:hAnsi="宋体" w:cs="宋体"/>
                <w:sz w:val="24"/>
              </w:rPr>
            </w:pPr>
            <w:r>
              <w:rPr>
                <w:rFonts w:hint="eastAsia" w:ascii="宋体" w:hAnsi="宋体" w:cs="宋体"/>
                <w:sz w:val="24"/>
              </w:rPr>
              <w:t>……</w:t>
            </w:r>
          </w:p>
        </w:tc>
        <w:tc>
          <w:tcPr>
            <w:tcW w:w="852" w:type="dxa"/>
            <w:vAlign w:val="center"/>
          </w:tcPr>
          <w:p w14:paraId="59445F86">
            <w:pPr>
              <w:spacing w:line="360" w:lineRule="auto"/>
              <w:jc w:val="center"/>
              <w:rPr>
                <w:rFonts w:ascii="宋体" w:hAnsi="宋体" w:cs="宋体"/>
                <w:sz w:val="24"/>
              </w:rPr>
            </w:pPr>
            <w:r>
              <w:rPr>
                <w:rFonts w:hint="eastAsia" w:ascii="宋体" w:hAnsi="宋体" w:cs="宋体"/>
                <w:sz w:val="24"/>
              </w:rPr>
              <w:t>……</w:t>
            </w:r>
          </w:p>
        </w:tc>
        <w:tc>
          <w:tcPr>
            <w:tcW w:w="739" w:type="dxa"/>
            <w:vAlign w:val="center"/>
          </w:tcPr>
          <w:p w14:paraId="4F88A3AF">
            <w:pPr>
              <w:spacing w:line="360" w:lineRule="auto"/>
              <w:jc w:val="center"/>
              <w:rPr>
                <w:rFonts w:ascii="宋体" w:hAnsi="宋体" w:cs="宋体"/>
                <w:sz w:val="24"/>
              </w:rPr>
            </w:pPr>
          </w:p>
        </w:tc>
        <w:tc>
          <w:tcPr>
            <w:tcW w:w="746" w:type="dxa"/>
            <w:vAlign w:val="center"/>
          </w:tcPr>
          <w:p w14:paraId="44341594">
            <w:pPr>
              <w:spacing w:line="360" w:lineRule="auto"/>
              <w:jc w:val="center"/>
              <w:rPr>
                <w:rFonts w:ascii="宋体" w:hAnsi="宋体" w:cs="宋体"/>
                <w:sz w:val="24"/>
              </w:rPr>
            </w:pPr>
          </w:p>
        </w:tc>
        <w:tc>
          <w:tcPr>
            <w:tcW w:w="748" w:type="dxa"/>
            <w:vAlign w:val="center"/>
          </w:tcPr>
          <w:p w14:paraId="743BA683">
            <w:pPr>
              <w:spacing w:line="360" w:lineRule="auto"/>
              <w:jc w:val="center"/>
              <w:rPr>
                <w:rFonts w:ascii="宋体" w:hAnsi="宋体" w:cs="宋体"/>
                <w:sz w:val="24"/>
              </w:rPr>
            </w:pPr>
          </w:p>
        </w:tc>
        <w:tc>
          <w:tcPr>
            <w:tcW w:w="746" w:type="dxa"/>
            <w:vAlign w:val="center"/>
          </w:tcPr>
          <w:p w14:paraId="1CEDFE09">
            <w:pPr>
              <w:spacing w:line="360" w:lineRule="auto"/>
              <w:jc w:val="center"/>
              <w:rPr>
                <w:rFonts w:ascii="宋体" w:hAnsi="宋体" w:cs="宋体"/>
                <w:sz w:val="24"/>
              </w:rPr>
            </w:pPr>
          </w:p>
        </w:tc>
        <w:tc>
          <w:tcPr>
            <w:tcW w:w="748" w:type="dxa"/>
            <w:vAlign w:val="center"/>
          </w:tcPr>
          <w:p w14:paraId="1E1AC888">
            <w:pPr>
              <w:spacing w:line="360" w:lineRule="auto"/>
              <w:jc w:val="center"/>
              <w:rPr>
                <w:rFonts w:ascii="宋体" w:hAnsi="宋体" w:cs="宋体"/>
                <w:sz w:val="24"/>
              </w:rPr>
            </w:pPr>
          </w:p>
        </w:tc>
        <w:tc>
          <w:tcPr>
            <w:tcW w:w="746" w:type="dxa"/>
            <w:vAlign w:val="center"/>
          </w:tcPr>
          <w:p w14:paraId="5E125754">
            <w:pPr>
              <w:spacing w:line="360" w:lineRule="auto"/>
              <w:jc w:val="center"/>
              <w:rPr>
                <w:rFonts w:ascii="宋体" w:hAnsi="宋体" w:cs="宋体"/>
                <w:sz w:val="24"/>
              </w:rPr>
            </w:pPr>
          </w:p>
        </w:tc>
        <w:tc>
          <w:tcPr>
            <w:tcW w:w="748" w:type="dxa"/>
            <w:vAlign w:val="center"/>
          </w:tcPr>
          <w:p w14:paraId="4D851F3B">
            <w:pPr>
              <w:spacing w:line="360" w:lineRule="auto"/>
              <w:jc w:val="center"/>
              <w:rPr>
                <w:rFonts w:ascii="宋体" w:hAnsi="宋体" w:cs="宋体"/>
                <w:sz w:val="24"/>
              </w:rPr>
            </w:pPr>
          </w:p>
        </w:tc>
      </w:tr>
      <w:tr w14:paraId="15B731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Align w:val="center"/>
          </w:tcPr>
          <w:p w14:paraId="3BC406C0">
            <w:pPr>
              <w:spacing w:line="360" w:lineRule="auto"/>
              <w:jc w:val="center"/>
              <w:rPr>
                <w:rFonts w:ascii="宋体" w:hAnsi="宋体" w:cs="宋体"/>
                <w:sz w:val="24"/>
              </w:rPr>
            </w:pPr>
            <w:r>
              <w:rPr>
                <w:rFonts w:hint="eastAsia" w:ascii="宋体" w:hAnsi="宋体" w:cs="宋体"/>
                <w:sz w:val="24"/>
              </w:rPr>
              <w:t>2</w:t>
            </w:r>
          </w:p>
        </w:tc>
        <w:tc>
          <w:tcPr>
            <w:tcW w:w="1540" w:type="dxa"/>
            <w:vAlign w:val="center"/>
          </w:tcPr>
          <w:p w14:paraId="008F3157">
            <w:pPr>
              <w:spacing w:line="360" w:lineRule="auto"/>
              <w:jc w:val="center"/>
              <w:rPr>
                <w:rFonts w:ascii="宋体" w:hAnsi="宋体" w:cs="宋体"/>
                <w:sz w:val="24"/>
              </w:rPr>
            </w:pPr>
            <w:r>
              <w:rPr>
                <w:rFonts w:hint="eastAsia" w:ascii="宋体" w:hAnsi="宋体" w:cs="宋体"/>
                <w:sz w:val="24"/>
              </w:rPr>
              <w:t>……</w:t>
            </w:r>
          </w:p>
        </w:tc>
        <w:tc>
          <w:tcPr>
            <w:tcW w:w="852" w:type="dxa"/>
            <w:vAlign w:val="center"/>
          </w:tcPr>
          <w:p w14:paraId="2091BC7A">
            <w:pPr>
              <w:spacing w:line="360" w:lineRule="auto"/>
              <w:jc w:val="center"/>
              <w:rPr>
                <w:rFonts w:ascii="宋体" w:hAnsi="宋体" w:cs="宋体"/>
                <w:sz w:val="24"/>
              </w:rPr>
            </w:pPr>
            <w:r>
              <w:rPr>
                <w:rFonts w:hint="eastAsia" w:ascii="宋体" w:hAnsi="宋体" w:cs="宋体"/>
                <w:sz w:val="24"/>
              </w:rPr>
              <w:t>……</w:t>
            </w:r>
          </w:p>
        </w:tc>
        <w:tc>
          <w:tcPr>
            <w:tcW w:w="739" w:type="dxa"/>
            <w:vAlign w:val="center"/>
          </w:tcPr>
          <w:p w14:paraId="6E712E0A">
            <w:pPr>
              <w:spacing w:line="360" w:lineRule="auto"/>
              <w:jc w:val="center"/>
              <w:rPr>
                <w:rFonts w:ascii="宋体" w:hAnsi="宋体" w:cs="宋体"/>
                <w:sz w:val="24"/>
              </w:rPr>
            </w:pPr>
          </w:p>
        </w:tc>
        <w:tc>
          <w:tcPr>
            <w:tcW w:w="746" w:type="dxa"/>
            <w:vAlign w:val="center"/>
          </w:tcPr>
          <w:p w14:paraId="2451790E">
            <w:pPr>
              <w:spacing w:line="360" w:lineRule="auto"/>
              <w:jc w:val="center"/>
              <w:rPr>
                <w:rFonts w:ascii="宋体" w:hAnsi="宋体" w:cs="宋体"/>
                <w:sz w:val="24"/>
              </w:rPr>
            </w:pPr>
          </w:p>
        </w:tc>
        <w:tc>
          <w:tcPr>
            <w:tcW w:w="748" w:type="dxa"/>
            <w:vAlign w:val="center"/>
          </w:tcPr>
          <w:p w14:paraId="74E4FC77">
            <w:pPr>
              <w:spacing w:line="360" w:lineRule="auto"/>
              <w:jc w:val="center"/>
              <w:rPr>
                <w:rFonts w:ascii="宋体" w:hAnsi="宋体" w:cs="宋体"/>
                <w:sz w:val="24"/>
              </w:rPr>
            </w:pPr>
          </w:p>
        </w:tc>
        <w:tc>
          <w:tcPr>
            <w:tcW w:w="746" w:type="dxa"/>
            <w:vAlign w:val="center"/>
          </w:tcPr>
          <w:p w14:paraId="43BA38E2">
            <w:pPr>
              <w:spacing w:line="360" w:lineRule="auto"/>
              <w:jc w:val="center"/>
              <w:rPr>
                <w:rFonts w:ascii="宋体" w:hAnsi="宋体" w:cs="宋体"/>
                <w:sz w:val="24"/>
              </w:rPr>
            </w:pPr>
          </w:p>
        </w:tc>
        <w:tc>
          <w:tcPr>
            <w:tcW w:w="748" w:type="dxa"/>
            <w:vAlign w:val="center"/>
          </w:tcPr>
          <w:p w14:paraId="1BD4DFF1">
            <w:pPr>
              <w:spacing w:line="360" w:lineRule="auto"/>
              <w:jc w:val="center"/>
              <w:rPr>
                <w:rFonts w:ascii="宋体" w:hAnsi="宋体" w:cs="宋体"/>
                <w:sz w:val="24"/>
              </w:rPr>
            </w:pPr>
          </w:p>
        </w:tc>
        <w:tc>
          <w:tcPr>
            <w:tcW w:w="746" w:type="dxa"/>
            <w:vAlign w:val="center"/>
          </w:tcPr>
          <w:p w14:paraId="7555E6F0">
            <w:pPr>
              <w:spacing w:line="360" w:lineRule="auto"/>
              <w:jc w:val="center"/>
              <w:rPr>
                <w:rFonts w:ascii="宋体" w:hAnsi="宋体" w:cs="宋体"/>
                <w:sz w:val="24"/>
              </w:rPr>
            </w:pPr>
          </w:p>
        </w:tc>
        <w:tc>
          <w:tcPr>
            <w:tcW w:w="748" w:type="dxa"/>
            <w:vAlign w:val="center"/>
          </w:tcPr>
          <w:p w14:paraId="4A014E53">
            <w:pPr>
              <w:spacing w:line="360" w:lineRule="auto"/>
              <w:jc w:val="center"/>
              <w:rPr>
                <w:rFonts w:ascii="宋体" w:hAnsi="宋体" w:cs="宋体"/>
                <w:sz w:val="24"/>
              </w:rPr>
            </w:pPr>
          </w:p>
        </w:tc>
      </w:tr>
      <w:tr w14:paraId="70AFC2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Align w:val="center"/>
          </w:tcPr>
          <w:p w14:paraId="1BB9B5FD">
            <w:pPr>
              <w:spacing w:line="360" w:lineRule="auto"/>
              <w:jc w:val="center"/>
              <w:rPr>
                <w:rFonts w:ascii="宋体" w:hAnsi="宋体" w:cs="宋体"/>
                <w:sz w:val="24"/>
              </w:rPr>
            </w:pPr>
            <w:r>
              <w:rPr>
                <w:rFonts w:hint="eastAsia" w:ascii="宋体" w:hAnsi="宋体" w:cs="宋体"/>
                <w:sz w:val="24"/>
              </w:rPr>
              <w:t>3</w:t>
            </w:r>
          </w:p>
        </w:tc>
        <w:tc>
          <w:tcPr>
            <w:tcW w:w="1540" w:type="dxa"/>
            <w:vAlign w:val="center"/>
          </w:tcPr>
          <w:p w14:paraId="51BAEFE6">
            <w:pPr>
              <w:spacing w:line="360" w:lineRule="auto"/>
              <w:jc w:val="center"/>
              <w:rPr>
                <w:rFonts w:ascii="宋体" w:hAnsi="宋体" w:cs="宋体"/>
                <w:sz w:val="24"/>
              </w:rPr>
            </w:pPr>
            <w:r>
              <w:rPr>
                <w:rFonts w:hint="eastAsia" w:ascii="宋体" w:hAnsi="宋体" w:cs="宋体"/>
                <w:sz w:val="24"/>
              </w:rPr>
              <w:t>……</w:t>
            </w:r>
          </w:p>
        </w:tc>
        <w:tc>
          <w:tcPr>
            <w:tcW w:w="852" w:type="dxa"/>
            <w:vAlign w:val="center"/>
          </w:tcPr>
          <w:p w14:paraId="06B79634">
            <w:pPr>
              <w:spacing w:line="360" w:lineRule="auto"/>
              <w:jc w:val="center"/>
              <w:rPr>
                <w:rFonts w:ascii="宋体" w:hAnsi="宋体" w:cs="宋体"/>
                <w:sz w:val="24"/>
              </w:rPr>
            </w:pPr>
            <w:r>
              <w:rPr>
                <w:rFonts w:hint="eastAsia" w:ascii="宋体" w:hAnsi="宋体" w:cs="宋体"/>
                <w:sz w:val="24"/>
              </w:rPr>
              <w:t>……</w:t>
            </w:r>
          </w:p>
        </w:tc>
        <w:tc>
          <w:tcPr>
            <w:tcW w:w="739" w:type="dxa"/>
            <w:vAlign w:val="center"/>
          </w:tcPr>
          <w:p w14:paraId="0635DA20">
            <w:pPr>
              <w:spacing w:line="360" w:lineRule="auto"/>
              <w:jc w:val="center"/>
              <w:rPr>
                <w:rFonts w:ascii="宋体" w:hAnsi="宋体" w:cs="宋体"/>
                <w:sz w:val="24"/>
              </w:rPr>
            </w:pPr>
          </w:p>
        </w:tc>
        <w:tc>
          <w:tcPr>
            <w:tcW w:w="746" w:type="dxa"/>
            <w:vAlign w:val="center"/>
          </w:tcPr>
          <w:p w14:paraId="08A44028">
            <w:pPr>
              <w:spacing w:line="360" w:lineRule="auto"/>
              <w:jc w:val="center"/>
              <w:rPr>
                <w:rFonts w:ascii="宋体" w:hAnsi="宋体" w:cs="宋体"/>
                <w:sz w:val="24"/>
              </w:rPr>
            </w:pPr>
          </w:p>
        </w:tc>
        <w:tc>
          <w:tcPr>
            <w:tcW w:w="748" w:type="dxa"/>
            <w:vAlign w:val="center"/>
          </w:tcPr>
          <w:p w14:paraId="61ADE3C4">
            <w:pPr>
              <w:spacing w:line="360" w:lineRule="auto"/>
              <w:jc w:val="center"/>
              <w:rPr>
                <w:rFonts w:ascii="宋体" w:hAnsi="宋体" w:cs="宋体"/>
                <w:sz w:val="24"/>
              </w:rPr>
            </w:pPr>
          </w:p>
        </w:tc>
        <w:tc>
          <w:tcPr>
            <w:tcW w:w="746" w:type="dxa"/>
            <w:vAlign w:val="center"/>
          </w:tcPr>
          <w:p w14:paraId="7446E6FD">
            <w:pPr>
              <w:spacing w:line="360" w:lineRule="auto"/>
              <w:jc w:val="center"/>
              <w:rPr>
                <w:rFonts w:ascii="宋体" w:hAnsi="宋体" w:cs="宋体"/>
                <w:sz w:val="24"/>
              </w:rPr>
            </w:pPr>
          </w:p>
        </w:tc>
        <w:tc>
          <w:tcPr>
            <w:tcW w:w="748" w:type="dxa"/>
            <w:vAlign w:val="center"/>
          </w:tcPr>
          <w:p w14:paraId="7D3236A4">
            <w:pPr>
              <w:spacing w:line="360" w:lineRule="auto"/>
              <w:jc w:val="center"/>
              <w:rPr>
                <w:rFonts w:ascii="宋体" w:hAnsi="宋体" w:cs="宋体"/>
                <w:sz w:val="24"/>
              </w:rPr>
            </w:pPr>
          </w:p>
        </w:tc>
        <w:tc>
          <w:tcPr>
            <w:tcW w:w="746" w:type="dxa"/>
            <w:vAlign w:val="center"/>
          </w:tcPr>
          <w:p w14:paraId="395FAC4A">
            <w:pPr>
              <w:spacing w:line="360" w:lineRule="auto"/>
              <w:jc w:val="center"/>
              <w:rPr>
                <w:rFonts w:ascii="宋体" w:hAnsi="宋体" w:cs="宋体"/>
                <w:sz w:val="24"/>
              </w:rPr>
            </w:pPr>
          </w:p>
        </w:tc>
        <w:tc>
          <w:tcPr>
            <w:tcW w:w="748" w:type="dxa"/>
            <w:vAlign w:val="center"/>
          </w:tcPr>
          <w:p w14:paraId="59CDED08">
            <w:pPr>
              <w:spacing w:line="360" w:lineRule="auto"/>
              <w:jc w:val="center"/>
              <w:rPr>
                <w:rFonts w:ascii="宋体" w:hAnsi="宋体" w:cs="宋体"/>
                <w:sz w:val="24"/>
              </w:rPr>
            </w:pPr>
          </w:p>
        </w:tc>
      </w:tr>
      <w:tr w14:paraId="43561A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09" w:type="dxa"/>
            <w:vAlign w:val="center"/>
          </w:tcPr>
          <w:p w14:paraId="109AA7FD">
            <w:pPr>
              <w:spacing w:line="360" w:lineRule="auto"/>
              <w:jc w:val="center"/>
              <w:rPr>
                <w:rFonts w:ascii="宋体" w:hAnsi="宋体" w:cs="宋体"/>
                <w:sz w:val="24"/>
              </w:rPr>
            </w:pPr>
            <w:r>
              <w:rPr>
                <w:rFonts w:hint="eastAsia" w:ascii="宋体" w:hAnsi="宋体" w:cs="宋体"/>
                <w:sz w:val="24"/>
              </w:rPr>
              <w:t>……</w:t>
            </w:r>
          </w:p>
        </w:tc>
        <w:tc>
          <w:tcPr>
            <w:tcW w:w="1540" w:type="dxa"/>
            <w:vAlign w:val="center"/>
          </w:tcPr>
          <w:p w14:paraId="66187299">
            <w:pPr>
              <w:spacing w:line="360" w:lineRule="auto"/>
              <w:jc w:val="center"/>
              <w:rPr>
                <w:rFonts w:ascii="宋体" w:hAnsi="宋体" w:cs="宋体"/>
                <w:sz w:val="24"/>
              </w:rPr>
            </w:pPr>
            <w:r>
              <w:rPr>
                <w:rFonts w:hint="eastAsia" w:ascii="宋体" w:hAnsi="宋体" w:cs="宋体"/>
                <w:sz w:val="24"/>
              </w:rPr>
              <w:t>……</w:t>
            </w:r>
          </w:p>
        </w:tc>
        <w:tc>
          <w:tcPr>
            <w:tcW w:w="852" w:type="dxa"/>
            <w:vAlign w:val="center"/>
          </w:tcPr>
          <w:p w14:paraId="7ADF110B">
            <w:pPr>
              <w:spacing w:line="360" w:lineRule="auto"/>
              <w:jc w:val="center"/>
              <w:rPr>
                <w:rFonts w:ascii="宋体" w:hAnsi="宋体" w:cs="宋体"/>
                <w:sz w:val="24"/>
              </w:rPr>
            </w:pPr>
            <w:r>
              <w:rPr>
                <w:rFonts w:hint="eastAsia" w:ascii="宋体" w:hAnsi="宋体" w:cs="宋体"/>
                <w:sz w:val="24"/>
              </w:rPr>
              <w:t>……</w:t>
            </w:r>
          </w:p>
        </w:tc>
        <w:tc>
          <w:tcPr>
            <w:tcW w:w="739" w:type="dxa"/>
            <w:vAlign w:val="center"/>
          </w:tcPr>
          <w:p w14:paraId="6D5EB5AB">
            <w:pPr>
              <w:spacing w:line="360" w:lineRule="auto"/>
              <w:jc w:val="center"/>
              <w:rPr>
                <w:rFonts w:ascii="宋体" w:hAnsi="宋体" w:cs="宋体"/>
                <w:sz w:val="24"/>
              </w:rPr>
            </w:pPr>
          </w:p>
        </w:tc>
        <w:tc>
          <w:tcPr>
            <w:tcW w:w="746" w:type="dxa"/>
            <w:vAlign w:val="center"/>
          </w:tcPr>
          <w:p w14:paraId="4E4738ED">
            <w:pPr>
              <w:spacing w:line="360" w:lineRule="auto"/>
              <w:jc w:val="center"/>
              <w:rPr>
                <w:rFonts w:ascii="宋体" w:hAnsi="宋体" w:cs="宋体"/>
                <w:sz w:val="24"/>
              </w:rPr>
            </w:pPr>
          </w:p>
        </w:tc>
        <w:tc>
          <w:tcPr>
            <w:tcW w:w="748" w:type="dxa"/>
            <w:vAlign w:val="center"/>
          </w:tcPr>
          <w:p w14:paraId="62ECC98A">
            <w:pPr>
              <w:spacing w:line="360" w:lineRule="auto"/>
              <w:jc w:val="center"/>
              <w:rPr>
                <w:rFonts w:ascii="宋体" w:hAnsi="宋体" w:cs="宋体"/>
                <w:sz w:val="24"/>
              </w:rPr>
            </w:pPr>
          </w:p>
        </w:tc>
        <w:tc>
          <w:tcPr>
            <w:tcW w:w="746" w:type="dxa"/>
            <w:vAlign w:val="center"/>
          </w:tcPr>
          <w:p w14:paraId="73AD2AAB">
            <w:pPr>
              <w:spacing w:line="360" w:lineRule="auto"/>
              <w:jc w:val="center"/>
              <w:rPr>
                <w:rFonts w:ascii="宋体" w:hAnsi="宋体" w:cs="宋体"/>
                <w:sz w:val="24"/>
              </w:rPr>
            </w:pPr>
          </w:p>
        </w:tc>
        <w:tc>
          <w:tcPr>
            <w:tcW w:w="748" w:type="dxa"/>
            <w:vAlign w:val="center"/>
          </w:tcPr>
          <w:p w14:paraId="70B57191">
            <w:pPr>
              <w:spacing w:line="360" w:lineRule="auto"/>
              <w:jc w:val="center"/>
              <w:rPr>
                <w:rFonts w:ascii="宋体" w:hAnsi="宋体" w:cs="宋体"/>
                <w:sz w:val="24"/>
              </w:rPr>
            </w:pPr>
          </w:p>
        </w:tc>
        <w:tc>
          <w:tcPr>
            <w:tcW w:w="746" w:type="dxa"/>
            <w:vAlign w:val="center"/>
          </w:tcPr>
          <w:p w14:paraId="15C9470A">
            <w:pPr>
              <w:spacing w:line="360" w:lineRule="auto"/>
              <w:jc w:val="center"/>
              <w:rPr>
                <w:rFonts w:ascii="宋体" w:hAnsi="宋体" w:cs="宋体"/>
                <w:sz w:val="24"/>
              </w:rPr>
            </w:pPr>
          </w:p>
        </w:tc>
        <w:tc>
          <w:tcPr>
            <w:tcW w:w="748" w:type="dxa"/>
            <w:vAlign w:val="center"/>
          </w:tcPr>
          <w:p w14:paraId="27FBDA04">
            <w:pPr>
              <w:spacing w:line="360" w:lineRule="auto"/>
              <w:jc w:val="center"/>
              <w:rPr>
                <w:rFonts w:ascii="宋体" w:hAnsi="宋体" w:cs="宋体"/>
                <w:sz w:val="24"/>
              </w:rPr>
            </w:pPr>
          </w:p>
        </w:tc>
      </w:tr>
      <w:tr w14:paraId="0A5484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9" w:type="dxa"/>
            <w:gridSpan w:val="2"/>
            <w:vAlign w:val="center"/>
          </w:tcPr>
          <w:p w14:paraId="1C49AF9D">
            <w:pPr>
              <w:spacing w:line="360" w:lineRule="auto"/>
              <w:jc w:val="center"/>
              <w:rPr>
                <w:rFonts w:ascii="宋体" w:hAnsi="宋体" w:cs="宋体"/>
                <w:sz w:val="24"/>
              </w:rPr>
            </w:pPr>
            <w:r>
              <w:rPr>
                <w:rFonts w:hint="eastAsia" w:ascii="宋体" w:hAnsi="宋体" w:cs="宋体"/>
                <w:sz w:val="24"/>
              </w:rPr>
              <w:t>其他因素得分合计E</w:t>
            </w:r>
          </w:p>
        </w:tc>
        <w:tc>
          <w:tcPr>
            <w:tcW w:w="852" w:type="dxa"/>
            <w:vAlign w:val="center"/>
          </w:tcPr>
          <w:p w14:paraId="25510C67">
            <w:pPr>
              <w:spacing w:line="360" w:lineRule="auto"/>
              <w:jc w:val="center"/>
              <w:rPr>
                <w:rFonts w:ascii="宋体" w:hAnsi="宋体" w:cs="宋体"/>
                <w:sz w:val="24"/>
              </w:rPr>
            </w:pPr>
          </w:p>
        </w:tc>
        <w:tc>
          <w:tcPr>
            <w:tcW w:w="739" w:type="dxa"/>
            <w:vAlign w:val="center"/>
          </w:tcPr>
          <w:p w14:paraId="19EC6FDC">
            <w:pPr>
              <w:spacing w:line="360" w:lineRule="auto"/>
              <w:jc w:val="center"/>
              <w:rPr>
                <w:rFonts w:ascii="宋体" w:hAnsi="宋体" w:cs="宋体"/>
                <w:sz w:val="24"/>
              </w:rPr>
            </w:pPr>
          </w:p>
        </w:tc>
        <w:tc>
          <w:tcPr>
            <w:tcW w:w="746" w:type="dxa"/>
            <w:vAlign w:val="center"/>
          </w:tcPr>
          <w:p w14:paraId="2586D762">
            <w:pPr>
              <w:spacing w:line="360" w:lineRule="auto"/>
              <w:jc w:val="center"/>
              <w:rPr>
                <w:rFonts w:ascii="宋体" w:hAnsi="宋体" w:cs="宋体"/>
                <w:sz w:val="24"/>
              </w:rPr>
            </w:pPr>
          </w:p>
        </w:tc>
        <w:tc>
          <w:tcPr>
            <w:tcW w:w="748" w:type="dxa"/>
            <w:vAlign w:val="center"/>
          </w:tcPr>
          <w:p w14:paraId="1E50924B">
            <w:pPr>
              <w:spacing w:line="360" w:lineRule="auto"/>
              <w:jc w:val="center"/>
              <w:rPr>
                <w:rFonts w:ascii="宋体" w:hAnsi="宋体" w:cs="宋体"/>
                <w:sz w:val="24"/>
              </w:rPr>
            </w:pPr>
          </w:p>
        </w:tc>
        <w:tc>
          <w:tcPr>
            <w:tcW w:w="746" w:type="dxa"/>
            <w:vAlign w:val="center"/>
          </w:tcPr>
          <w:p w14:paraId="1F1B4B58">
            <w:pPr>
              <w:spacing w:line="360" w:lineRule="auto"/>
              <w:jc w:val="center"/>
              <w:rPr>
                <w:rFonts w:ascii="宋体" w:hAnsi="宋体" w:cs="宋体"/>
                <w:sz w:val="24"/>
              </w:rPr>
            </w:pPr>
          </w:p>
        </w:tc>
        <w:tc>
          <w:tcPr>
            <w:tcW w:w="748" w:type="dxa"/>
            <w:vAlign w:val="center"/>
          </w:tcPr>
          <w:p w14:paraId="115926D4">
            <w:pPr>
              <w:spacing w:line="360" w:lineRule="auto"/>
              <w:jc w:val="center"/>
              <w:rPr>
                <w:rFonts w:ascii="宋体" w:hAnsi="宋体" w:cs="宋体"/>
                <w:sz w:val="24"/>
              </w:rPr>
            </w:pPr>
          </w:p>
        </w:tc>
        <w:tc>
          <w:tcPr>
            <w:tcW w:w="746" w:type="dxa"/>
            <w:vAlign w:val="center"/>
          </w:tcPr>
          <w:p w14:paraId="6544D2C2">
            <w:pPr>
              <w:spacing w:line="360" w:lineRule="auto"/>
              <w:jc w:val="center"/>
              <w:rPr>
                <w:rFonts w:ascii="宋体" w:hAnsi="宋体" w:cs="宋体"/>
                <w:sz w:val="24"/>
              </w:rPr>
            </w:pPr>
          </w:p>
        </w:tc>
        <w:tc>
          <w:tcPr>
            <w:tcW w:w="748" w:type="dxa"/>
            <w:vAlign w:val="center"/>
          </w:tcPr>
          <w:p w14:paraId="630888FD">
            <w:pPr>
              <w:spacing w:line="360" w:lineRule="auto"/>
              <w:jc w:val="center"/>
              <w:rPr>
                <w:rFonts w:ascii="宋体" w:hAnsi="宋体" w:cs="宋体"/>
                <w:sz w:val="24"/>
              </w:rPr>
            </w:pPr>
          </w:p>
        </w:tc>
      </w:tr>
    </w:tbl>
    <w:p w14:paraId="586C8EF5">
      <w:pPr>
        <w:spacing w:line="360" w:lineRule="auto"/>
        <w:ind w:firstLine="240" w:firstLineChars="100"/>
        <w:rPr>
          <w:rFonts w:ascii="宋体" w:hAnsi="宋体" w:cs="宋体"/>
          <w:sz w:val="24"/>
        </w:rPr>
      </w:pPr>
      <w:r>
        <w:rPr>
          <w:rFonts w:hint="eastAsia" w:ascii="宋体" w:hAnsi="宋体" w:cs="宋体"/>
          <w:sz w:val="24"/>
        </w:rPr>
        <w:t>评标委员会成员签名：</w:t>
      </w:r>
    </w:p>
    <w:p w14:paraId="28E1D9EA">
      <w:pPr>
        <w:spacing w:line="360" w:lineRule="auto"/>
        <w:rPr>
          <w:rFonts w:ascii="宋体" w:hAnsi="宋体" w:cs="宋体"/>
          <w:b/>
          <w:sz w:val="24"/>
        </w:rPr>
        <w:sectPr>
          <w:pgSz w:w="11906" w:h="16838"/>
          <w:pgMar w:top="1417" w:right="1417" w:bottom="1417" w:left="1417" w:header="851" w:footer="850" w:gutter="0"/>
          <w:cols w:space="720" w:num="1"/>
          <w:docGrid w:type="lines" w:linePitch="312" w:charSpace="0"/>
        </w:sectPr>
      </w:pPr>
    </w:p>
    <w:p w14:paraId="76BBA018">
      <w:pPr>
        <w:pStyle w:val="4"/>
        <w:rPr>
          <w:rFonts w:ascii="宋体" w:hAnsi="宋体" w:eastAsia="宋体" w:cs="宋体"/>
          <w:sz w:val="24"/>
          <w:szCs w:val="24"/>
        </w:rPr>
      </w:pPr>
      <w:r>
        <w:rPr>
          <w:rFonts w:hint="eastAsia" w:ascii="宋体" w:hAnsi="宋体" w:eastAsia="宋体" w:cs="宋体"/>
          <w:sz w:val="24"/>
          <w:szCs w:val="24"/>
        </w:rPr>
        <w:t>附表11：详细评审评分汇总表</w:t>
      </w:r>
    </w:p>
    <w:p w14:paraId="0E4D87A6">
      <w:pPr>
        <w:spacing w:line="360" w:lineRule="auto"/>
        <w:jc w:val="center"/>
        <w:rPr>
          <w:rFonts w:ascii="宋体" w:hAnsi="宋体" w:cs="宋体"/>
          <w:b/>
          <w:sz w:val="24"/>
        </w:rPr>
      </w:pPr>
      <w:r>
        <w:rPr>
          <w:rFonts w:hint="eastAsia" w:ascii="宋体" w:hAnsi="宋体" w:cs="宋体"/>
          <w:b/>
          <w:sz w:val="24"/>
        </w:rPr>
        <w:t>详细评审评分汇总表</w:t>
      </w:r>
    </w:p>
    <w:p w14:paraId="199E3FB7">
      <w:pPr>
        <w:spacing w:line="360" w:lineRule="auto"/>
        <w:jc w:val="center"/>
        <w:rPr>
          <w:rFonts w:ascii="宋体" w:hAnsi="宋体" w:cs="宋体"/>
          <w:b/>
          <w:sz w:val="24"/>
        </w:rPr>
      </w:pPr>
    </w:p>
    <w:p w14:paraId="2748B566">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5"/>
        <w:gridCol w:w="1965"/>
        <w:gridCol w:w="970"/>
        <w:gridCol w:w="709"/>
        <w:gridCol w:w="749"/>
        <w:gridCol w:w="854"/>
        <w:gridCol w:w="974"/>
        <w:gridCol w:w="856"/>
        <w:gridCol w:w="974"/>
        <w:gridCol w:w="1067"/>
      </w:tblGrid>
      <w:tr w14:paraId="0F5A40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Merge w:val="restart"/>
            <w:vAlign w:val="center"/>
          </w:tcPr>
          <w:p w14:paraId="52FF57FB">
            <w:pPr>
              <w:spacing w:line="360" w:lineRule="auto"/>
              <w:jc w:val="center"/>
              <w:rPr>
                <w:rFonts w:ascii="宋体" w:hAnsi="宋体" w:cs="宋体"/>
                <w:sz w:val="24"/>
              </w:rPr>
            </w:pPr>
            <w:r>
              <w:rPr>
                <w:rFonts w:hint="eastAsia" w:ascii="宋体" w:hAnsi="宋体" w:cs="宋体"/>
                <w:sz w:val="24"/>
              </w:rPr>
              <w:t>序号</w:t>
            </w:r>
          </w:p>
        </w:tc>
        <w:tc>
          <w:tcPr>
            <w:tcW w:w="1965" w:type="dxa"/>
            <w:vMerge w:val="restart"/>
            <w:vAlign w:val="center"/>
          </w:tcPr>
          <w:p w14:paraId="4C74C91E">
            <w:pPr>
              <w:spacing w:line="360" w:lineRule="auto"/>
              <w:jc w:val="center"/>
              <w:rPr>
                <w:rFonts w:ascii="宋体" w:hAnsi="宋体" w:cs="宋体"/>
                <w:sz w:val="24"/>
              </w:rPr>
            </w:pPr>
            <w:r>
              <w:rPr>
                <w:rFonts w:hint="eastAsia" w:ascii="宋体" w:hAnsi="宋体" w:cs="宋体"/>
                <w:sz w:val="24"/>
              </w:rPr>
              <w:t>评分因素</w:t>
            </w:r>
          </w:p>
        </w:tc>
        <w:tc>
          <w:tcPr>
            <w:tcW w:w="970" w:type="dxa"/>
            <w:vMerge w:val="restart"/>
            <w:vAlign w:val="center"/>
          </w:tcPr>
          <w:p w14:paraId="42FED9F0">
            <w:pPr>
              <w:spacing w:line="360" w:lineRule="auto"/>
              <w:jc w:val="center"/>
              <w:rPr>
                <w:rFonts w:ascii="宋体" w:hAnsi="宋体" w:cs="宋体"/>
                <w:sz w:val="24"/>
              </w:rPr>
            </w:pPr>
            <w:r>
              <w:rPr>
                <w:rFonts w:hint="eastAsia" w:ascii="宋体" w:hAnsi="宋体" w:cs="宋体"/>
                <w:sz w:val="24"/>
              </w:rPr>
              <w:t>分值</w:t>
            </w:r>
          </w:p>
          <w:p w14:paraId="4D66FCBA">
            <w:pPr>
              <w:spacing w:line="360" w:lineRule="auto"/>
              <w:jc w:val="center"/>
              <w:rPr>
                <w:rFonts w:ascii="宋体" w:hAnsi="宋体" w:cs="宋体"/>
                <w:sz w:val="24"/>
              </w:rPr>
            </w:pPr>
            <w:r>
              <w:rPr>
                <w:rFonts w:hint="eastAsia" w:ascii="宋体" w:hAnsi="宋体" w:cs="宋体"/>
                <w:sz w:val="24"/>
              </w:rPr>
              <w:t>代码</w:t>
            </w:r>
          </w:p>
        </w:tc>
        <w:tc>
          <w:tcPr>
            <w:tcW w:w="6183" w:type="dxa"/>
            <w:gridSpan w:val="7"/>
            <w:vAlign w:val="center"/>
          </w:tcPr>
          <w:p w14:paraId="58735C30">
            <w:pPr>
              <w:spacing w:line="360" w:lineRule="auto"/>
              <w:jc w:val="center"/>
              <w:rPr>
                <w:rFonts w:ascii="宋体" w:hAnsi="宋体" w:cs="宋体"/>
                <w:sz w:val="24"/>
              </w:rPr>
            </w:pPr>
            <w:r>
              <w:rPr>
                <w:rFonts w:hint="eastAsia" w:ascii="宋体" w:hAnsi="宋体" w:cs="宋体"/>
                <w:sz w:val="24"/>
              </w:rPr>
              <w:t>投标人名称及其得分</w:t>
            </w:r>
          </w:p>
        </w:tc>
      </w:tr>
      <w:tr w14:paraId="2E2F43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Merge w:val="continue"/>
            <w:vAlign w:val="center"/>
          </w:tcPr>
          <w:p w14:paraId="2CCBD708">
            <w:pPr>
              <w:spacing w:line="360" w:lineRule="auto"/>
              <w:rPr>
                <w:rFonts w:ascii="宋体" w:hAnsi="宋体" w:cs="宋体"/>
                <w:sz w:val="24"/>
              </w:rPr>
            </w:pPr>
          </w:p>
        </w:tc>
        <w:tc>
          <w:tcPr>
            <w:tcW w:w="1965" w:type="dxa"/>
            <w:vMerge w:val="continue"/>
            <w:vAlign w:val="center"/>
          </w:tcPr>
          <w:p w14:paraId="606B01EF">
            <w:pPr>
              <w:spacing w:line="360" w:lineRule="auto"/>
              <w:rPr>
                <w:rFonts w:ascii="宋体" w:hAnsi="宋体" w:cs="宋体"/>
                <w:sz w:val="24"/>
              </w:rPr>
            </w:pPr>
          </w:p>
        </w:tc>
        <w:tc>
          <w:tcPr>
            <w:tcW w:w="970" w:type="dxa"/>
            <w:vMerge w:val="continue"/>
            <w:vAlign w:val="center"/>
          </w:tcPr>
          <w:p w14:paraId="1285AF4F">
            <w:pPr>
              <w:spacing w:line="360" w:lineRule="auto"/>
              <w:rPr>
                <w:rFonts w:ascii="宋体" w:hAnsi="宋体" w:cs="宋体"/>
                <w:sz w:val="24"/>
              </w:rPr>
            </w:pPr>
          </w:p>
        </w:tc>
        <w:tc>
          <w:tcPr>
            <w:tcW w:w="709" w:type="dxa"/>
            <w:vAlign w:val="center"/>
          </w:tcPr>
          <w:p w14:paraId="63CCBF6E">
            <w:pPr>
              <w:spacing w:line="360" w:lineRule="auto"/>
              <w:jc w:val="center"/>
              <w:rPr>
                <w:rFonts w:ascii="宋体" w:hAnsi="宋体" w:cs="宋体"/>
                <w:sz w:val="24"/>
              </w:rPr>
            </w:pPr>
          </w:p>
        </w:tc>
        <w:tc>
          <w:tcPr>
            <w:tcW w:w="749" w:type="dxa"/>
            <w:vAlign w:val="center"/>
          </w:tcPr>
          <w:p w14:paraId="3EC333B8">
            <w:pPr>
              <w:spacing w:line="360" w:lineRule="auto"/>
              <w:jc w:val="center"/>
              <w:rPr>
                <w:rFonts w:ascii="宋体" w:hAnsi="宋体" w:cs="宋体"/>
                <w:sz w:val="24"/>
              </w:rPr>
            </w:pPr>
          </w:p>
        </w:tc>
        <w:tc>
          <w:tcPr>
            <w:tcW w:w="854" w:type="dxa"/>
            <w:vAlign w:val="center"/>
          </w:tcPr>
          <w:p w14:paraId="5C504E45">
            <w:pPr>
              <w:spacing w:line="360" w:lineRule="auto"/>
              <w:jc w:val="center"/>
              <w:rPr>
                <w:rFonts w:ascii="宋体" w:hAnsi="宋体" w:cs="宋体"/>
                <w:sz w:val="24"/>
              </w:rPr>
            </w:pPr>
          </w:p>
        </w:tc>
        <w:tc>
          <w:tcPr>
            <w:tcW w:w="974" w:type="dxa"/>
            <w:vAlign w:val="center"/>
          </w:tcPr>
          <w:p w14:paraId="2B02DF48">
            <w:pPr>
              <w:spacing w:line="360" w:lineRule="auto"/>
              <w:jc w:val="center"/>
              <w:rPr>
                <w:rFonts w:ascii="宋体" w:hAnsi="宋体" w:cs="宋体"/>
                <w:sz w:val="24"/>
              </w:rPr>
            </w:pPr>
          </w:p>
        </w:tc>
        <w:tc>
          <w:tcPr>
            <w:tcW w:w="856" w:type="dxa"/>
            <w:vAlign w:val="center"/>
          </w:tcPr>
          <w:p w14:paraId="7EA5799A">
            <w:pPr>
              <w:spacing w:line="360" w:lineRule="auto"/>
              <w:jc w:val="center"/>
              <w:rPr>
                <w:rFonts w:ascii="宋体" w:hAnsi="宋体" w:cs="宋体"/>
                <w:sz w:val="24"/>
              </w:rPr>
            </w:pPr>
          </w:p>
        </w:tc>
        <w:tc>
          <w:tcPr>
            <w:tcW w:w="974" w:type="dxa"/>
            <w:vAlign w:val="center"/>
          </w:tcPr>
          <w:p w14:paraId="06CB10CF">
            <w:pPr>
              <w:spacing w:line="360" w:lineRule="auto"/>
              <w:jc w:val="center"/>
              <w:rPr>
                <w:rFonts w:ascii="宋体" w:hAnsi="宋体" w:cs="宋体"/>
                <w:sz w:val="24"/>
              </w:rPr>
            </w:pPr>
          </w:p>
        </w:tc>
        <w:tc>
          <w:tcPr>
            <w:tcW w:w="1067" w:type="dxa"/>
            <w:vAlign w:val="center"/>
          </w:tcPr>
          <w:p w14:paraId="1B60FCE7">
            <w:pPr>
              <w:spacing w:line="360" w:lineRule="auto"/>
              <w:jc w:val="center"/>
              <w:rPr>
                <w:rFonts w:ascii="宋体" w:hAnsi="宋体" w:cs="宋体"/>
                <w:sz w:val="24"/>
              </w:rPr>
            </w:pPr>
          </w:p>
        </w:tc>
      </w:tr>
      <w:tr w14:paraId="07C376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Align w:val="center"/>
          </w:tcPr>
          <w:p w14:paraId="45FD61A9">
            <w:pPr>
              <w:spacing w:line="360" w:lineRule="auto"/>
              <w:jc w:val="center"/>
              <w:rPr>
                <w:rFonts w:ascii="宋体" w:hAnsi="宋体" w:cs="宋体"/>
                <w:sz w:val="24"/>
              </w:rPr>
            </w:pPr>
            <w:r>
              <w:rPr>
                <w:rFonts w:hint="eastAsia" w:ascii="宋体" w:hAnsi="宋体" w:cs="宋体"/>
                <w:sz w:val="24"/>
              </w:rPr>
              <w:t>1</w:t>
            </w:r>
          </w:p>
        </w:tc>
        <w:tc>
          <w:tcPr>
            <w:tcW w:w="1965" w:type="dxa"/>
            <w:vAlign w:val="center"/>
          </w:tcPr>
          <w:p w14:paraId="6EB05800">
            <w:pPr>
              <w:spacing w:line="360" w:lineRule="auto"/>
              <w:jc w:val="center"/>
              <w:rPr>
                <w:rFonts w:ascii="宋体" w:hAnsi="宋体" w:cs="宋体"/>
                <w:sz w:val="24"/>
              </w:rPr>
            </w:pPr>
            <w:r>
              <w:rPr>
                <w:rFonts w:hint="eastAsia" w:ascii="宋体" w:hAnsi="宋体" w:cs="宋体"/>
                <w:sz w:val="24"/>
              </w:rPr>
              <w:t>承包人建议书</w:t>
            </w:r>
          </w:p>
        </w:tc>
        <w:tc>
          <w:tcPr>
            <w:tcW w:w="970" w:type="dxa"/>
            <w:vAlign w:val="center"/>
          </w:tcPr>
          <w:p w14:paraId="2D0783A0">
            <w:pPr>
              <w:spacing w:line="360" w:lineRule="auto"/>
              <w:jc w:val="center"/>
              <w:rPr>
                <w:rFonts w:ascii="宋体" w:hAnsi="宋体" w:cs="宋体"/>
                <w:sz w:val="24"/>
              </w:rPr>
            </w:pPr>
            <w:r>
              <w:rPr>
                <w:rFonts w:hint="eastAsia" w:ascii="宋体" w:hAnsi="宋体" w:cs="宋体"/>
                <w:sz w:val="24"/>
              </w:rPr>
              <w:t>A</w:t>
            </w:r>
          </w:p>
        </w:tc>
        <w:tc>
          <w:tcPr>
            <w:tcW w:w="709" w:type="dxa"/>
            <w:vAlign w:val="center"/>
          </w:tcPr>
          <w:p w14:paraId="2198EA71">
            <w:pPr>
              <w:spacing w:line="360" w:lineRule="auto"/>
              <w:jc w:val="center"/>
              <w:rPr>
                <w:rFonts w:ascii="宋体" w:hAnsi="宋体" w:cs="宋体"/>
                <w:sz w:val="24"/>
              </w:rPr>
            </w:pPr>
          </w:p>
        </w:tc>
        <w:tc>
          <w:tcPr>
            <w:tcW w:w="749" w:type="dxa"/>
            <w:vAlign w:val="center"/>
          </w:tcPr>
          <w:p w14:paraId="4764D0F1">
            <w:pPr>
              <w:spacing w:line="360" w:lineRule="auto"/>
              <w:jc w:val="center"/>
              <w:rPr>
                <w:rFonts w:ascii="宋体" w:hAnsi="宋体" w:cs="宋体"/>
                <w:sz w:val="24"/>
              </w:rPr>
            </w:pPr>
          </w:p>
        </w:tc>
        <w:tc>
          <w:tcPr>
            <w:tcW w:w="854" w:type="dxa"/>
            <w:vAlign w:val="center"/>
          </w:tcPr>
          <w:p w14:paraId="508C4E34">
            <w:pPr>
              <w:spacing w:line="360" w:lineRule="auto"/>
              <w:jc w:val="center"/>
              <w:rPr>
                <w:rFonts w:ascii="宋体" w:hAnsi="宋体" w:cs="宋体"/>
                <w:sz w:val="24"/>
              </w:rPr>
            </w:pPr>
          </w:p>
        </w:tc>
        <w:tc>
          <w:tcPr>
            <w:tcW w:w="974" w:type="dxa"/>
            <w:vAlign w:val="center"/>
          </w:tcPr>
          <w:p w14:paraId="17A205DE">
            <w:pPr>
              <w:spacing w:line="360" w:lineRule="auto"/>
              <w:jc w:val="center"/>
              <w:rPr>
                <w:rFonts w:ascii="宋体" w:hAnsi="宋体" w:cs="宋体"/>
                <w:sz w:val="24"/>
              </w:rPr>
            </w:pPr>
          </w:p>
        </w:tc>
        <w:tc>
          <w:tcPr>
            <w:tcW w:w="856" w:type="dxa"/>
            <w:vAlign w:val="center"/>
          </w:tcPr>
          <w:p w14:paraId="7FAB1995">
            <w:pPr>
              <w:spacing w:line="360" w:lineRule="auto"/>
              <w:jc w:val="center"/>
              <w:rPr>
                <w:rFonts w:ascii="宋体" w:hAnsi="宋体" w:cs="宋体"/>
                <w:sz w:val="24"/>
              </w:rPr>
            </w:pPr>
          </w:p>
        </w:tc>
        <w:tc>
          <w:tcPr>
            <w:tcW w:w="974" w:type="dxa"/>
            <w:vAlign w:val="center"/>
          </w:tcPr>
          <w:p w14:paraId="4CE7C75B">
            <w:pPr>
              <w:spacing w:line="360" w:lineRule="auto"/>
              <w:jc w:val="center"/>
              <w:rPr>
                <w:rFonts w:ascii="宋体" w:hAnsi="宋体" w:cs="宋体"/>
                <w:sz w:val="24"/>
              </w:rPr>
            </w:pPr>
          </w:p>
        </w:tc>
        <w:tc>
          <w:tcPr>
            <w:tcW w:w="1067" w:type="dxa"/>
            <w:vAlign w:val="center"/>
          </w:tcPr>
          <w:p w14:paraId="3F478D23">
            <w:pPr>
              <w:spacing w:line="360" w:lineRule="auto"/>
              <w:jc w:val="center"/>
              <w:rPr>
                <w:rFonts w:ascii="宋体" w:hAnsi="宋体" w:cs="宋体"/>
                <w:sz w:val="24"/>
              </w:rPr>
            </w:pPr>
          </w:p>
        </w:tc>
      </w:tr>
      <w:tr w14:paraId="57E355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Align w:val="center"/>
          </w:tcPr>
          <w:p w14:paraId="2C62B7B4">
            <w:pPr>
              <w:spacing w:line="360" w:lineRule="auto"/>
              <w:jc w:val="center"/>
              <w:rPr>
                <w:rFonts w:ascii="宋体" w:hAnsi="宋体" w:cs="宋体"/>
                <w:sz w:val="24"/>
              </w:rPr>
            </w:pPr>
            <w:r>
              <w:rPr>
                <w:rFonts w:hint="eastAsia" w:ascii="宋体" w:hAnsi="宋体" w:cs="宋体"/>
                <w:sz w:val="24"/>
              </w:rPr>
              <w:t>2</w:t>
            </w:r>
          </w:p>
        </w:tc>
        <w:tc>
          <w:tcPr>
            <w:tcW w:w="1965" w:type="dxa"/>
            <w:vAlign w:val="center"/>
          </w:tcPr>
          <w:p w14:paraId="2D45FCBB">
            <w:pPr>
              <w:spacing w:line="360" w:lineRule="auto"/>
              <w:jc w:val="center"/>
              <w:rPr>
                <w:rFonts w:ascii="宋体" w:hAnsi="宋体" w:cs="宋体"/>
                <w:sz w:val="24"/>
              </w:rPr>
            </w:pPr>
            <w:r>
              <w:rPr>
                <w:rFonts w:hint="eastAsia" w:ascii="宋体" w:hAnsi="宋体" w:cs="宋体"/>
                <w:sz w:val="24"/>
              </w:rPr>
              <w:t>资信业绩</w:t>
            </w:r>
          </w:p>
        </w:tc>
        <w:tc>
          <w:tcPr>
            <w:tcW w:w="970" w:type="dxa"/>
            <w:vAlign w:val="center"/>
          </w:tcPr>
          <w:p w14:paraId="5C8E0916">
            <w:pPr>
              <w:spacing w:line="360" w:lineRule="auto"/>
              <w:jc w:val="center"/>
              <w:rPr>
                <w:rFonts w:ascii="宋体" w:hAnsi="宋体" w:cs="宋体"/>
                <w:sz w:val="24"/>
              </w:rPr>
            </w:pPr>
            <w:r>
              <w:rPr>
                <w:rFonts w:hint="eastAsia" w:ascii="宋体" w:hAnsi="宋体" w:cs="宋体"/>
                <w:sz w:val="24"/>
              </w:rPr>
              <w:t>B</w:t>
            </w:r>
          </w:p>
        </w:tc>
        <w:tc>
          <w:tcPr>
            <w:tcW w:w="709" w:type="dxa"/>
            <w:vAlign w:val="center"/>
          </w:tcPr>
          <w:p w14:paraId="67583AED">
            <w:pPr>
              <w:spacing w:line="360" w:lineRule="auto"/>
              <w:jc w:val="center"/>
              <w:rPr>
                <w:rFonts w:ascii="宋体" w:hAnsi="宋体" w:cs="宋体"/>
                <w:sz w:val="24"/>
              </w:rPr>
            </w:pPr>
          </w:p>
        </w:tc>
        <w:tc>
          <w:tcPr>
            <w:tcW w:w="749" w:type="dxa"/>
            <w:vAlign w:val="center"/>
          </w:tcPr>
          <w:p w14:paraId="3E3B8A1C">
            <w:pPr>
              <w:spacing w:line="360" w:lineRule="auto"/>
              <w:jc w:val="center"/>
              <w:rPr>
                <w:rFonts w:ascii="宋体" w:hAnsi="宋体" w:cs="宋体"/>
                <w:sz w:val="24"/>
              </w:rPr>
            </w:pPr>
          </w:p>
        </w:tc>
        <w:tc>
          <w:tcPr>
            <w:tcW w:w="854" w:type="dxa"/>
            <w:vAlign w:val="center"/>
          </w:tcPr>
          <w:p w14:paraId="433B31B0">
            <w:pPr>
              <w:spacing w:line="360" w:lineRule="auto"/>
              <w:jc w:val="center"/>
              <w:rPr>
                <w:rFonts w:ascii="宋体" w:hAnsi="宋体" w:cs="宋体"/>
                <w:sz w:val="24"/>
              </w:rPr>
            </w:pPr>
          </w:p>
        </w:tc>
        <w:tc>
          <w:tcPr>
            <w:tcW w:w="974" w:type="dxa"/>
            <w:vAlign w:val="center"/>
          </w:tcPr>
          <w:p w14:paraId="6E20CCFE">
            <w:pPr>
              <w:spacing w:line="360" w:lineRule="auto"/>
              <w:jc w:val="center"/>
              <w:rPr>
                <w:rFonts w:ascii="宋体" w:hAnsi="宋体" w:cs="宋体"/>
                <w:sz w:val="24"/>
              </w:rPr>
            </w:pPr>
          </w:p>
        </w:tc>
        <w:tc>
          <w:tcPr>
            <w:tcW w:w="856" w:type="dxa"/>
            <w:vAlign w:val="center"/>
          </w:tcPr>
          <w:p w14:paraId="0BFBB495">
            <w:pPr>
              <w:spacing w:line="360" w:lineRule="auto"/>
              <w:jc w:val="center"/>
              <w:rPr>
                <w:rFonts w:ascii="宋体" w:hAnsi="宋体" w:cs="宋体"/>
                <w:sz w:val="24"/>
              </w:rPr>
            </w:pPr>
          </w:p>
        </w:tc>
        <w:tc>
          <w:tcPr>
            <w:tcW w:w="974" w:type="dxa"/>
            <w:vAlign w:val="center"/>
          </w:tcPr>
          <w:p w14:paraId="4D261A47">
            <w:pPr>
              <w:spacing w:line="360" w:lineRule="auto"/>
              <w:jc w:val="center"/>
              <w:rPr>
                <w:rFonts w:ascii="宋体" w:hAnsi="宋体" w:cs="宋体"/>
                <w:sz w:val="24"/>
              </w:rPr>
            </w:pPr>
          </w:p>
        </w:tc>
        <w:tc>
          <w:tcPr>
            <w:tcW w:w="1067" w:type="dxa"/>
            <w:vAlign w:val="center"/>
          </w:tcPr>
          <w:p w14:paraId="1EAE6B6C">
            <w:pPr>
              <w:spacing w:line="360" w:lineRule="auto"/>
              <w:jc w:val="center"/>
              <w:rPr>
                <w:rFonts w:ascii="宋体" w:hAnsi="宋体" w:cs="宋体"/>
                <w:sz w:val="24"/>
              </w:rPr>
            </w:pPr>
          </w:p>
        </w:tc>
      </w:tr>
      <w:tr w14:paraId="1B53A2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Align w:val="center"/>
          </w:tcPr>
          <w:p w14:paraId="2AB13AA4">
            <w:pPr>
              <w:spacing w:line="360" w:lineRule="auto"/>
              <w:jc w:val="center"/>
              <w:rPr>
                <w:rFonts w:ascii="宋体" w:hAnsi="宋体" w:cs="宋体"/>
                <w:sz w:val="24"/>
              </w:rPr>
            </w:pPr>
          </w:p>
        </w:tc>
        <w:tc>
          <w:tcPr>
            <w:tcW w:w="1965" w:type="dxa"/>
            <w:vAlign w:val="center"/>
          </w:tcPr>
          <w:p w14:paraId="06BE1101">
            <w:pPr>
              <w:spacing w:line="360" w:lineRule="auto"/>
              <w:jc w:val="center"/>
              <w:rPr>
                <w:rFonts w:ascii="宋体" w:hAnsi="宋体" w:cs="宋体"/>
                <w:sz w:val="24"/>
              </w:rPr>
            </w:pPr>
            <w:r>
              <w:rPr>
                <w:rFonts w:hint="eastAsia" w:ascii="宋体" w:hAnsi="宋体" w:cs="宋体"/>
                <w:sz w:val="24"/>
              </w:rPr>
              <w:t>承包人实施方案</w:t>
            </w:r>
          </w:p>
        </w:tc>
        <w:tc>
          <w:tcPr>
            <w:tcW w:w="970" w:type="dxa"/>
            <w:vAlign w:val="center"/>
          </w:tcPr>
          <w:p w14:paraId="30D2BB6F">
            <w:pPr>
              <w:spacing w:line="360" w:lineRule="auto"/>
              <w:jc w:val="center"/>
              <w:rPr>
                <w:rFonts w:ascii="宋体" w:hAnsi="宋体" w:cs="宋体"/>
                <w:sz w:val="24"/>
              </w:rPr>
            </w:pPr>
            <w:r>
              <w:rPr>
                <w:rFonts w:hint="eastAsia" w:ascii="宋体" w:hAnsi="宋体" w:cs="宋体"/>
                <w:sz w:val="24"/>
              </w:rPr>
              <w:t>C</w:t>
            </w:r>
          </w:p>
        </w:tc>
        <w:tc>
          <w:tcPr>
            <w:tcW w:w="709" w:type="dxa"/>
            <w:vAlign w:val="center"/>
          </w:tcPr>
          <w:p w14:paraId="4B9BA6E6">
            <w:pPr>
              <w:spacing w:line="360" w:lineRule="auto"/>
              <w:jc w:val="center"/>
              <w:rPr>
                <w:rFonts w:ascii="宋体" w:hAnsi="宋体" w:cs="宋体"/>
                <w:sz w:val="24"/>
              </w:rPr>
            </w:pPr>
          </w:p>
        </w:tc>
        <w:tc>
          <w:tcPr>
            <w:tcW w:w="749" w:type="dxa"/>
            <w:vAlign w:val="center"/>
          </w:tcPr>
          <w:p w14:paraId="3DB93EFA">
            <w:pPr>
              <w:spacing w:line="360" w:lineRule="auto"/>
              <w:jc w:val="center"/>
              <w:rPr>
                <w:rFonts w:ascii="宋体" w:hAnsi="宋体" w:cs="宋体"/>
                <w:sz w:val="24"/>
              </w:rPr>
            </w:pPr>
          </w:p>
        </w:tc>
        <w:tc>
          <w:tcPr>
            <w:tcW w:w="854" w:type="dxa"/>
            <w:vAlign w:val="center"/>
          </w:tcPr>
          <w:p w14:paraId="47C11943">
            <w:pPr>
              <w:spacing w:line="360" w:lineRule="auto"/>
              <w:jc w:val="center"/>
              <w:rPr>
                <w:rFonts w:ascii="宋体" w:hAnsi="宋体" w:cs="宋体"/>
                <w:sz w:val="24"/>
              </w:rPr>
            </w:pPr>
          </w:p>
        </w:tc>
        <w:tc>
          <w:tcPr>
            <w:tcW w:w="974" w:type="dxa"/>
            <w:vAlign w:val="center"/>
          </w:tcPr>
          <w:p w14:paraId="6A935E04">
            <w:pPr>
              <w:spacing w:line="360" w:lineRule="auto"/>
              <w:jc w:val="center"/>
              <w:rPr>
                <w:rFonts w:ascii="宋体" w:hAnsi="宋体" w:cs="宋体"/>
                <w:sz w:val="24"/>
              </w:rPr>
            </w:pPr>
          </w:p>
        </w:tc>
        <w:tc>
          <w:tcPr>
            <w:tcW w:w="856" w:type="dxa"/>
            <w:vAlign w:val="center"/>
          </w:tcPr>
          <w:p w14:paraId="46997C90">
            <w:pPr>
              <w:spacing w:line="360" w:lineRule="auto"/>
              <w:jc w:val="center"/>
              <w:rPr>
                <w:rFonts w:ascii="宋体" w:hAnsi="宋体" w:cs="宋体"/>
                <w:sz w:val="24"/>
              </w:rPr>
            </w:pPr>
          </w:p>
        </w:tc>
        <w:tc>
          <w:tcPr>
            <w:tcW w:w="974" w:type="dxa"/>
            <w:vAlign w:val="center"/>
          </w:tcPr>
          <w:p w14:paraId="2B151223">
            <w:pPr>
              <w:spacing w:line="360" w:lineRule="auto"/>
              <w:jc w:val="center"/>
              <w:rPr>
                <w:rFonts w:ascii="宋体" w:hAnsi="宋体" w:cs="宋体"/>
                <w:sz w:val="24"/>
              </w:rPr>
            </w:pPr>
          </w:p>
        </w:tc>
        <w:tc>
          <w:tcPr>
            <w:tcW w:w="1067" w:type="dxa"/>
            <w:vAlign w:val="center"/>
          </w:tcPr>
          <w:p w14:paraId="6C6AA1DE">
            <w:pPr>
              <w:spacing w:line="360" w:lineRule="auto"/>
              <w:jc w:val="center"/>
              <w:rPr>
                <w:rFonts w:ascii="宋体" w:hAnsi="宋体" w:cs="宋体"/>
                <w:sz w:val="24"/>
              </w:rPr>
            </w:pPr>
          </w:p>
        </w:tc>
      </w:tr>
      <w:tr w14:paraId="5DBE5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Align w:val="center"/>
          </w:tcPr>
          <w:p w14:paraId="71B2F07B">
            <w:pPr>
              <w:spacing w:line="360" w:lineRule="auto"/>
              <w:jc w:val="center"/>
              <w:rPr>
                <w:rFonts w:ascii="宋体" w:hAnsi="宋体" w:cs="宋体"/>
                <w:sz w:val="24"/>
              </w:rPr>
            </w:pPr>
            <w:r>
              <w:rPr>
                <w:rFonts w:hint="eastAsia" w:ascii="宋体" w:hAnsi="宋体" w:cs="宋体"/>
                <w:sz w:val="24"/>
              </w:rPr>
              <w:t>3</w:t>
            </w:r>
          </w:p>
        </w:tc>
        <w:tc>
          <w:tcPr>
            <w:tcW w:w="1965" w:type="dxa"/>
            <w:vAlign w:val="center"/>
          </w:tcPr>
          <w:p w14:paraId="3B68AD5E">
            <w:pPr>
              <w:spacing w:line="360" w:lineRule="auto"/>
              <w:jc w:val="center"/>
              <w:rPr>
                <w:rFonts w:ascii="宋体" w:hAnsi="宋体" w:cs="宋体"/>
                <w:sz w:val="24"/>
              </w:rPr>
            </w:pPr>
            <w:r>
              <w:rPr>
                <w:rFonts w:hint="eastAsia" w:ascii="宋体" w:hAnsi="宋体" w:cs="宋体"/>
                <w:sz w:val="24"/>
              </w:rPr>
              <w:t>投标报价</w:t>
            </w:r>
          </w:p>
        </w:tc>
        <w:tc>
          <w:tcPr>
            <w:tcW w:w="970" w:type="dxa"/>
            <w:vAlign w:val="center"/>
          </w:tcPr>
          <w:p w14:paraId="14C4CA52">
            <w:pPr>
              <w:spacing w:line="360" w:lineRule="auto"/>
              <w:jc w:val="center"/>
              <w:rPr>
                <w:rFonts w:ascii="宋体" w:hAnsi="宋体" w:cs="宋体"/>
                <w:sz w:val="24"/>
              </w:rPr>
            </w:pPr>
            <w:r>
              <w:rPr>
                <w:rFonts w:hint="eastAsia" w:ascii="宋体" w:hAnsi="宋体" w:cs="宋体"/>
                <w:sz w:val="24"/>
              </w:rPr>
              <w:t>D</w:t>
            </w:r>
          </w:p>
        </w:tc>
        <w:tc>
          <w:tcPr>
            <w:tcW w:w="709" w:type="dxa"/>
            <w:vAlign w:val="center"/>
          </w:tcPr>
          <w:p w14:paraId="26B65213">
            <w:pPr>
              <w:spacing w:line="360" w:lineRule="auto"/>
              <w:jc w:val="center"/>
              <w:rPr>
                <w:rFonts w:ascii="宋体" w:hAnsi="宋体" w:cs="宋体"/>
                <w:sz w:val="24"/>
              </w:rPr>
            </w:pPr>
          </w:p>
        </w:tc>
        <w:tc>
          <w:tcPr>
            <w:tcW w:w="749" w:type="dxa"/>
            <w:vAlign w:val="center"/>
          </w:tcPr>
          <w:p w14:paraId="656807CD">
            <w:pPr>
              <w:spacing w:line="360" w:lineRule="auto"/>
              <w:jc w:val="center"/>
              <w:rPr>
                <w:rFonts w:ascii="宋体" w:hAnsi="宋体" w:cs="宋体"/>
                <w:sz w:val="24"/>
              </w:rPr>
            </w:pPr>
          </w:p>
        </w:tc>
        <w:tc>
          <w:tcPr>
            <w:tcW w:w="854" w:type="dxa"/>
            <w:vAlign w:val="center"/>
          </w:tcPr>
          <w:p w14:paraId="602E2369">
            <w:pPr>
              <w:spacing w:line="360" w:lineRule="auto"/>
              <w:jc w:val="center"/>
              <w:rPr>
                <w:rFonts w:ascii="宋体" w:hAnsi="宋体" w:cs="宋体"/>
                <w:sz w:val="24"/>
              </w:rPr>
            </w:pPr>
          </w:p>
        </w:tc>
        <w:tc>
          <w:tcPr>
            <w:tcW w:w="974" w:type="dxa"/>
            <w:vAlign w:val="center"/>
          </w:tcPr>
          <w:p w14:paraId="792113B4">
            <w:pPr>
              <w:spacing w:line="360" w:lineRule="auto"/>
              <w:jc w:val="center"/>
              <w:rPr>
                <w:rFonts w:ascii="宋体" w:hAnsi="宋体" w:cs="宋体"/>
                <w:sz w:val="24"/>
              </w:rPr>
            </w:pPr>
          </w:p>
        </w:tc>
        <w:tc>
          <w:tcPr>
            <w:tcW w:w="856" w:type="dxa"/>
            <w:vAlign w:val="center"/>
          </w:tcPr>
          <w:p w14:paraId="7BB22396">
            <w:pPr>
              <w:spacing w:line="360" w:lineRule="auto"/>
              <w:jc w:val="center"/>
              <w:rPr>
                <w:rFonts w:ascii="宋体" w:hAnsi="宋体" w:cs="宋体"/>
                <w:sz w:val="24"/>
              </w:rPr>
            </w:pPr>
          </w:p>
        </w:tc>
        <w:tc>
          <w:tcPr>
            <w:tcW w:w="974" w:type="dxa"/>
            <w:vAlign w:val="center"/>
          </w:tcPr>
          <w:p w14:paraId="4D122D17">
            <w:pPr>
              <w:spacing w:line="360" w:lineRule="auto"/>
              <w:jc w:val="center"/>
              <w:rPr>
                <w:rFonts w:ascii="宋体" w:hAnsi="宋体" w:cs="宋体"/>
                <w:sz w:val="24"/>
              </w:rPr>
            </w:pPr>
          </w:p>
        </w:tc>
        <w:tc>
          <w:tcPr>
            <w:tcW w:w="1067" w:type="dxa"/>
            <w:vAlign w:val="center"/>
          </w:tcPr>
          <w:p w14:paraId="110E7C45">
            <w:pPr>
              <w:spacing w:line="360" w:lineRule="auto"/>
              <w:jc w:val="center"/>
              <w:rPr>
                <w:rFonts w:ascii="宋体" w:hAnsi="宋体" w:cs="宋体"/>
                <w:sz w:val="24"/>
              </w:rPr>
            </w:pPr>
          </w:p>
        </w:tc>
      </w:tr>
      <w:tr w14:paraId="3F0080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 w:type="dxa"/>
            <w:vAlign w:val="center"/>
          </w:tcPr>
          <w:p w14:paraId="7A4C82F5">
            <w:pPr>
              <w:spacing w:line="360" w:lineRule="auto"/>
              <w:jc w:val="center"/>
              <w:rPr>
                <w:rFonts w:ascii="宋体" w:hAnsi="宋体" w:cs="宋体"/>
                <w:sz w:val="24"/>
              </w:rPr>
            </w:pPr>
            <w:r>
              <w:rPr>
                <w:rFonts w:hint="eastAsia" w:ascii="宋体" w:hAnsi="宋体" w:cs="宋体"/>
                <w:sz w:val="24"/>
              </w:rPr>
              <w:t>4</w:t>
            </w:r>
          </w:p>
        </w:tc>
        <w:tc>
          <w:tcPr>
            <w:tcW w:w="1965" w:type="dxa"/>
            <w:vAlign w:val="center"/>
          </w:tcPr>
          <w:p w14:paraId="06465B83">
            <w:pPr>
              <w:spacing w:line="360" w:lineRule="auto"/>
              <w:jc w:val="center"/>
              <w:rPr>
                <w:rFonts w:ascii="宋体" w:hAnsi="宋体" w:cs="宋体"/>
                <w:sz w:val="24"/>
              </w:rPr>
            </w:pPr>
            <w:r>
              <w:rPr>
                <w:rFonts w:hint="eastAsia" w:ascii="宋体" w:hAnsi="宋体" w:cs="宋体"/>
                <w:sz w:val="24"/>
              </w:rPr>
              <w:t>其他因素</w:t>
            </w:r>
          </w:p>
        </w:tc>
        <w:tc>
          <w:tcPr>
            <w:tcW w:w="970" w:type="dxa"/>
            <w:vAlign w:val="center"/>
          </w:tcPr>
          <w:p w14:paraId="2477D645">
            <w:pPr>
              <w:spacing w:line="360" w:lineRule="auto"/>
              <w:jc w:val="center"/>
              <w:rPr>
                <w:rFonts w:ascii="宋体" w:hAnsi="宋体" w:cs="宋体"/>
                <w:sz w:val="24"/>
              </w:rPr>
            </w:pPr>
            <w:r>
              <w:rPr>
                <w:rFonts w:hint="eastAsia" w:ascii="宋体" w:hAnsi="宋体" w:cs="宋体"/>
                <w:sz w:val="24"/>
              </w:rPr>
              <w:t>E</w:t>
            </w:r>
          </w:p>
        </w:tc>
        <w:tc>
          <w:tcPr>
            <w:tcW w:w="709" w:type="dxa"/>
            <w:vAlign w:val="center"/>
          </w:tcPr>
          <w:p w14:paraId="153BF1F1">
            <w:pPr>
              <w:spacing w:line="360" w:lineRule="auto"/>
              <w:jc w:val="center"/>
              <w:rPr>
                <w:rFonts w:ascii="宋体" w:hAnsi="宋体" w:cs="宋体"/>
                <w:sz w:val="24"/>
              </w:rPr>
            </w:pPr>
          </w:p>
        </w:tc>
        <w:tc>
          <w:tcPr>
            <w:tcW w:w="749" w:type="dxa"/>
            <w:vAlign w:val="center"/>
          </w:tcPr>
          <w:p w14:paraId="028613F4">
            <w:pPr>
              <w:spacing w:line="360" w:lineRule="auto"/>
              <w:jc w:val="center"/>
              <w:rPr>
                <w:rFonts w:ascii="宋体" w:hAnsi="宋体" w:cs="宋体"/>
                <w:sz w:val="24"/>
              </w:rPr>
            </w:pPr>
          </w:p>
        </w:tc>
        <w:tc>
          <w:tcPr>
            <w:tcW w:w="854" w:type="dxa"/>
            <w:vAlign w:val="center"/>
          </w:tcPr>
          <w:p w14:paraId="2C747F71">
            <w:pPr>
              <w:spacing w:line="360" w:lineRule="auto"/>
              <w:jc w:val="center"/>
              <w:rPr>
                <w:rFonts w:ascii="宋体" w:hAnsi="宋体" w:cs="宋体"/>
                <w:sz w:val="24"/>
              </w:rPr>
            </w:pPr>
          </w:p>
        </w:tc>
        <w:tc>
          <w:tcPr>
            <w:tcW w:w="974" w:type="dxa"/>
            <w:vAlign w:val="center"/>
          </w:tcPr>
          <w:p w14:paraId="2F5849C7">
            <w:pPr>
              <w:spacing w:line="360" w:lineRule="auto"/>
              <w:jc w:val="center"/>
              <w:rPr>
                <w:rFonts w:ascii="宋体" w:hAnsi="宋体" w:cs="宋体"/>
                <w:sz w:val="24"/>
              </w:rPr>
            </w:pPr>
          </w:p>
        </w:tc>
        <w:tc>
          <w:tcPr>
            <w:tcW w:w="856" w:type="dxa"/>
            <w:vAlign w:val="center"/>
          </w:tcPr>
          <w:p w14:paraId="2FDD3574">
            <w:pPr>
              <w:spacing w:line="360" w:lineRule="auto"/>
              <w:jc w:val="center"/>
              <w:rPr>
                <w:rFonts w:ascii="宋体" w:hAnsi="宋体" w:cs="宋体"/>
                <w:sz w:val="24"/>
              </w:rPr>
            </w:pPr>
          </w:p>
        </w:tc>
        <w:tc>
          <w:tcPr>
            <w:tcW w:w="974" w:type="dxa"/>
            <w:vAlign w:val="center"/>
          </w:tcPr>
          <w:p w14:paraId="5A3A4978">
            <w:pPr>
              <w:spacing w:line="360" w:lineRule="auto"/>
              <w:jc w:val="center"/>
              <w:rPr>
                <w:rFonts w:ascii="宋体" w:hAnsi="宋体" w:cs="宋体"/>
                <w:sz w:val="24"/>
              </w:rPr>
            </w:pPr>
          </w:p>
        </w:tc>
        <w:tc>
          <w:tcPr>
            <w:tcW w:w="1067" w:type="dxa"/>
            <w:vAlign w:val="center"/>
          </w:tcPr>
          <w:p w14:paraId="57FE4A76">
            <w:pPr>
              <w:spacing w:line="360" w:lineRule="auto"/>
              <w:jc w:val="center"/>
              <w:rPr>
                <w:rFonts w:ascii="宋体" w:hAnsi="宋体" w:cs="宋体"/>
                <w:sz w:val="24"/>
              </w:rPr>
            </w:pPr>
          </w:p>
        </w:tc>
      </w:tr>
      <w:tr w14:paraId="3957C5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350" w:type="dxa"/>
            <w:gridSpan w:val="3"/>
            <w:vAlign w:val="center"/>
          </w:tcPr>
          <w:p w14:paraId="0B54133E">
            <w:pPr>
              <w:spacing w:line="360" w:lineRule="auto"/>
              <w:jc w:val="center"/>
              <w:rPr>
                <w:rFonts w:ascii="宋体" w:hAnsi="宋体" w:cs="宋体"/>
                <w:sz w:val="24"/>
              </w:rPr>
            </w:pPr>
            <w:r>
              <w:rPr>
                <w:rFonts w:hint="eastAsia" w:ascii="宋体" w:hAnsi="宋体" w:cs="宋体"/>
                <w:sz w:val="24"/>
              </w:rPr>
              <w:t>详细评审得分合计</w:t>
            </w:r>
          </w:p>
        </w:tc>
        <w:tc>
          <w:tcPr>
            <w:tcW w:w="709" w:type="dxa"/>
            <w:vAlign w:val="center"/>
          </w:tcPr>
          <w:p w14:paraId="57587CD0">
            <w:pPr>
              <w:spacing w:line="360" w:lineRule="auto"/>
              <w:jc w:val="center"/>
              <w:rPr>
                <w:rFonts w:ascii="宋体" w:hAnsi="宋体" w:cs="宋体"/>
                <w:sz w:val="24"/>
              </w:rPr>
            </w:pPr>
          </w:p>
        </w:tc>
        <w:tc>
          <w:tcPr>
            <w:tcW w:w="749" w:type="dxa"/>
            <w:vAlign w:val="center"/>
          </w:tcPr>
          <w:p w14:paraId="094F8E26">
            <w:pPr>
              <w:spacing w:line="360" w:lineRule="auto"/>
              <w:jc w:val="center"/>
              <w:rPr>
                <w:rFonts w:ascii="宋体" w:hAnsi="宋体" w:cs="宋体"/>
                <w:sz w:val="24"/>
              </w:rPr>
            </w:pPr>
          </w:p>
        </w:tc>
        <w:tc>
          <w:tcPr>
            <w:tcW w:w="854" w:type="dxa"/>
            <w:vAlign w:val="center"/>
          </w:tcPr>
          <w:p w14:paraId="3E593807">
            <w:pPr>
              <w:spacing w:line="360" w:lineRule="auto"/>
              <w:jc w:val="center"/>
              <w:rPr>
                <w:rFonts w:ascii="宋体" w:hAnsi="宋体" w:cs="宋体"/>
                <w:sz w:val="24"/>
              </w:rPr>
            </w:pPr>
          </w:p>
        </w:tc>
        <w:tc>
          <w:tcPr>
            <w:tcW w:w="974" w:type="dxa"/>
            <w:vAlign w:val="center"/>
          </w:tcPr>
          <w:p w14:paraId="30D2A467">
            <w:pPr>
              <w:spacing w:line="360" w:lineRule="auto"/>
              <w:jc w:val="center"/>
              <w:rPr>
                <w:rFonts w:ascii="宋体" w:hAnsi="宋体" w:cs="宋体"/>
                <w:sz w:val="24"/>
              </w:rPr>
            </w:pPr>
          </w:p>
        </w:tc>
        <w:tc>
          <w:tcPr>
            <w:tcW w:w="856" w:type="dxa"/>
            <w:vAlign w:val="center"/>
          </w:tcPr>
          <w:p w14:paraId="065975DE">
            <w:pPr>
              <w:spacing w:line="360" w:lineRule="auto"/>
              <w:jc w:val="center"/>
              <w:rPr>
                <w:rFonts w:ascii="宋体" w:hAnsi="宋体" w:cs="宋体"/>
                <w:sz w:val="24"/>
              </w:rPr>
            </w:pPr>
          </w:p>
        </w:tc>
        <w:tc>
          <w:tcPr>
            <w:tcW w:w="974" w:type="dxa"/>
            <w:vAlign w:val="center"/>
          </w:tcPr>
          <w:p w14:paraId="456312C9">
            <w:pPr>
              <w:spacing w:line="360" w:lineRule="auto"/>
              <w:jc w:val="center"/>
              <w:rPr>
                <w:rFonts w:ascii="宋体" w:hAnsi="宋体" w:cs="宋体"/>
                <w:sz w:val="24"/>
              </w:rPr>
            </w:pPr>
          </w:p>
        </w:tc>
        <w:tc>
          <w:tcPr>
            <w:tcW w:w="1067" w:type="dxa"/>
            <w:vAlign w:val="center"/>
          </w:tcPr>
          <w:p w14:paraId="15867CEC">
            <w:pPr>
              <w:spacing w:line="360" w:lineRule="auto"/>
              <w:jc w:val="center"/>
              <w:rPr>
                <w:rFonts w:ascii="宋体" w:hAnsi="宋体" w:cs="宋体"/>
                <w:sz w:val="24"/>
              </w:rPr>
            </w:pPr>
          </w:p>
        </w:tc>
      </w:tr>
    </w:tbl>
    <w:p w14:paraId="7BA47BC5">
      <w:pPr>
        <w:spacing w:line="360" w:lineRule="auto"/>
        <w:rPr>
          <w:rFonts w:ascii="宋体" w:hAnsi="宋体" w:cs="宋体"/>
          <w:sz w:val="24"/>
        </w:rPr>
      </w:pPr>
      <w:r>
        <w:rPr>
          <w:rFonts w:hint="eastAsia" w:ascii="宋体" w:hAnsi="宋体" w:cs="宋体"/>
          <w:sz w:val="24"/>
        </w:rPr>
        <w:t>评标委员会成员签名：</w:t>
      </w:r>
    </w:p>
    <w:p w14:paraId="52475184">
      <w:pPr>
        <w:spacing w:line="360" w:lineRule="auto"/>
        <w:rPr>
          <w:rFonts w:ascii="宋体" w:hAnsi="宋体" w:cs="宋体"/>
          <w:b/>
          <w:sz w:val="24"/>
        </w:rPr>
        <w:sectPr>
          <w:pgSz w:w="11906" w:h="16838"/>
          <w:pgMar w:top="1417" w:right="1417" w:bottom="1417" w:left="1417" w:header="851" w:footer="850" w:gutter="0"/>
          <w:cols w:space="720" w:num="1"/>
          <w:docGrid w:type="lines" w:linePitch="312" w:charSpace="0"/>
        </w:sectPr>
      </w:pPr>
    </w:p>
    <w:p w14:paraId="34E0FCBD">
      <w:pPr>
        <w:pStyle w:val="4"/>
        <w:rPr>
          <w:rFonts w:ascii="宋体" w:hAnsi="宋体" w:eastAsia="宋体" w:cs="宋体"/>
          <w:sz w:val="24"/>
          <w:szCs w:val="24"/>
        </w:rPr>
      </w:pPr>
      <w:r>
        <w:rPr>
          <w:rFonts w:hint="eastAsia" w:ascii="宋体" w:hAnsi="宋体" w:eastAsia="宋体" w:cs="宋体"/>
          <w:sz w:val="24"/>
          <w:szCs w:val="24"/>
        </w:rPr>
        <w:t>附表12：评标结果汇总表</w:t>
      </w:r>
    </w:p>
    <w:p w14:paraId="22538EEB">
      <w:pPr>
        <w:spacing w:line="360" w:lineRule="auto"/>
        <w:jc w:val="center"/>
        <w:rPr>
          <w:rFonts w:ascii="宋体" w:hAnsi="宋体" w:cs="宋体"/>
          <w:b/>
          <w:sz w:val="24"/>
        </w:rPr>
      </w:pPr>
      <w:r>
        <w:rPr>
          <w:rFonts w:hint="eastAsia" w:ascii="宋体" w:hAnsi="宋体" w:cs="宋体"/>
          <w:b/>
          <w:sz w:val="24"/>
        </w:rPr>
        <w:t>评标结果汇总表</w:t>
      </w:r>
    </w:p>
    <w:p w14:paraId="06445794">
      <w:pPr>
        <w:spacing w:line="360" w:lineRule="auto"/>
        <w:jc w:val="center"/>
        <w:rPr>
          <w:rFonts w:ascii="宋体" w:hAnsi="宋体" w:cs="宋体"/>
          <w:b/>
          <w:sz w:val="24"/>
        </w:rPr>
      </w:pPr>
    </w:p>
    <w:p w14:paraId="14A2C0F2">
      <w:pPr>
        <w:spacing w:line="360" w:lineRule="auto"/>
        <w:rPr>
          <w:rFonts w:ascii="宋体" w:hAnsi="宋体" w:cs="宋体"/>
          <w:sz w:val="24"/>
        </w:rPr>
      </w:pPr>
      <w:r>
        <w:rPr>
          <w:rFonts w:hint="eastAsia" w:ascii="宋体" w:hAnsi="宋体" w:cs="宋体"/>
          <w:sz w:val="24"/>
        </w:rPr>
        <w:t>工程名称：</w:t>
      </w:r>
      <w:r>
        <w:rPr>
          <w:rFonts w:hint="eastAsia" w:ascii="宋体" w:hAnsi="宋体" w:cs="宋体"/>
          <w:bCs/>
          <w:sz w:val="24"/>
        </w:rPr>
        <w:t>______（项目名称）设计施工总承包_______标段</w:t>
      </w:r>
    </w:p>
    <w:tbl>
      <w:tblPr>
        <w:tblStyle w:val="23"/>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590"/>
        <w:gridCol w:w="1019"/>
        <w:gridCol w:w="1019"/>
        <w:gridCol w:w="1019"/>
        <w:gridCol w:w="1019"/>
        <w:gridCol w:w="1019"/>
        <w:gridCol w:w="1019"/>
        <w:gridCol w:w="1018"/>
      </w:tblGrid>
      <w:tr w14:paraId="64C238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Merge w:val="restart"/>
            <w:vAlign w:val="center"/>
          </w:tcPr>
          <w:p w14:paraId="0EAF9399">
            <w:pPr>
              <w:spacing w:line="360" w:lineRule="auto"/>
              <w:jc w:val="center"/>
              <w:rPr>
                <w:rFonts w:ascii="宋体" w:hAnsi="宋体" w:cs="宋体"/>
                <w:sz w:val="24"/>
              </w:rPr>
            </w:pPr>
            <w:r>
              <w:rPr>
                <w:rFonts w:hint="eastAsia" w:ascii="宋体" w:hAnsi="宋体" w:cs="宋体"/>
                <w:sz w:val="24"/>
              </w:rPr>
              <w:t>评标委员会成员</w:t>
            </w:r>
          </w:p>
          <w:p w14:paraId="3F4A3A65">
            <w:pPr>
              <w:spacing w:line="360" w:lineRule="auto"/>
              <w:jc w:val="center"/>
              <w:rPr>
                <w:rFonts w:ascii="宋体" w:hAnsi="宋体" w:cs="宋体"/>
                <w:sz w:val="24"/>
              </w:rPr>
            </w:pPr>
            <w:r>
              <w:rPr>
                <w:rFonts w:hint="eastAsia" w:ascii="宋体" w:hAnsi="宋体" w:cs="宋体"/>
                <w:sz w:val="24"/>
              </w:rPr>
              <w:t>姓名</w:t>
            </w:r>
          </w:p>
        </w:tc>
        <w:tc>
          <w:tcPr>
            <w:tcW w:w="7132" w:type="dxa"/>
            <w:gridSpan w:val="7"/>
            <w:vAlign w:val="center"/>
          </w:tcPr>
          <w:p w14:paraId="1B06590B">
            <w:pPr>
              <w:spacing w:line="360" w:lineRule="auto"/>
              <w:jc w:val="center"/>
              <w:rPr>
                <w:rFonts w:ascii="宋体" w:hAnsi="宋体" w:cs="宋体"/>
                <w:sz w:val="24"/>
              </w:rPr>
            </w:pPr>
            <w:r>
              <w:rPr>
                <w:rFonts w:hint="eastAsia" w:ascii="宋体" w:hAnsi="宋体" w:cs="宋体"/>
                <w:sz w:val="24"/>
              </w:rPr>
              <w:t>投标人名称及其得分</w:t>
            </w:r>
          </w:p>
        </w:tc>
      </w:tr>
      <w:tr w14:paraId="49723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Merge w:val="continue"/>
            <w:vAlign w:val="center"/>
          </w:tcPr>
          <w:p w14:paraId="1E416F1D">
            <w:pPr>
              <w:spacing w:line="360" w:lineRule="auto"/>
              <w:rPr>
                <w:rFonts w:ascii="宋体" w:hAnsi="宋体" w:cs="宋体"/>
                <w:sz w:val="24"/>
              </w:rPr>
            </w:pPr>
          </w:p>
        </w:tc>
        <w:tc>
          <w:tcPr>
            <w:tcW w:w="1019" w:type="dxa"/>
            <w:vAlign w:val="center"/>
          </w:tcPr>
          <w:p w14:paraId="7EAA8A82">
            <w:pPr>
              <w:spacing w:line="360" w:lineRule="auto"/>
              <w:jc w:val="center"/>
              <w:rPr>
                <w:rFonts w:ascii="宋体" w:hAnsi="宋体" w:cs="宋体"/>
                <w:sz w:val="24"/>
              </w:rPr>
            </w:pPr>
          </w:p>
        </w:tc>
        <w:tc>
          <w:tcPr>
            <w:tcW w:w="1019" w:type="dxa"/>
            <w:vAlign w:val="center"/>
          </w:tcPr>
          <w:p w14:paraId="4C771811">
            <w:pPr>
              <w:spacing w:line="360" w:lineRule="auto"/>
              <w:jc w:val="center"/>
              <w:rPr>
                <w:rFonts w:ascii="宋体" w:hAnsi="宋体" w:cs="宋体"/>
                <w:sz w:val="24"/>
              </w:rPr>
            </w:pPr>
          </w:p>
        </w:tc>
        <w:tc>
          <w:tcPr>
            <w:tcW w:w="1019" w:type="dxa"/>
            <w:vAlign w:val="center"/>
          </w:tcPr>
          <w:p w14:paraId="3BD39F8F">
            <w:pPr>
              <w:spacing w:line="360" w:lineRule="auto"/>
              <w:jc w:val="center"/>
              <w:rPr>
                <w:rFonts w:ascii="宋体" w:hAnsi="宋体" w:cs="宋体"/>
                <w:sz w:val="24"/>
              </w:rPr>
            </w:pPr>
          </w:p>
        </w:tc>
        <w:tc>
          <w:tcPr>
            <w:tcW w:w="1019" w:type="dxa"/>
            <w:vAlign w:val="center"/>
          </w:tcPr>
          <w:p w14:paraId="347DD4EA">
            <w:pPr>
              <w:spacing w:line="360" w:lineRule="auto"/>
              <w:jc w:val="center"/>
              <w:rPr>
                <w:rFonts w:ascii="宋体" w:hAnsi="宋体" w:cs="宋体"/>
                <w:sz w:val="24"/>
              </w:rPr>
            </w:pPr>
          </w:p>
        </w:tc>
        <w:tc>
          <w:tcPr>
            <w:tcW w:w="1019" w:type="dxa"/>
            <w:vAlign w:val="center"/>
          </w:tcPr>
          <w:p w14:paraId="2AAF3904">
            <w:pPr>
              <w:spacing w:line="360" w:lineRule="auto"/>
              <w:jc w:val="center"/>
              <w:rPr>
                <w:rFonts w:ascii="宋体" w:hAnsi="宋体" w:cs="宋体"/>
                <w:sz w:val="24"/>
              </w:rPr>
            </w:pPr>
          </w:p>
        </w:tc>
        <w:tc>
          <w:tcPr>
            <w:tcW w:w="1019" w:type="dxa"/>
            <w:vAlign w:val="center"/>
          </w:tcPr>
          <w:p w14:paraId="4FDDD6B4">
            <w:pPr>
              <w:spacing w:line="360" w:lineRule="auto"/>
              <w:jc w:val="center"/>
              <w:rPr>
                <w:rFonts w:ascii="宋体" w:hAnsi="宋体" w:cs="宋体"/>
                <w:sz w:val="24"/>
              </w:rPr>
            </w:pPr>
          </w:p>
        </w:tc>
        <w:tc>
          <w:tcPr>
            <w:tcW w:w="1018" w:type="dxa"/>
            <w:vAlign w:val="center"/>
          </w:tcPr>
          <w:p w14:paraId="4DD5EBFE">
            <w:pPr>
              <w:spacing w:line="360" w:lineRule="auto"/>
              <w:jc w:val="center"/>
              <w:rPr>
                <w:rFonts w:ascii="宋体" w:hAnsi="宋体" w:cs="宋体"/>
                <w:sz w:val="24"/>
              </w:rPr>
            </w:pPr>
          </w:p>
        </w:tc>
      </w:tr>
      <w:tr w14:paraId="4BB950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57095662">
            <w:pPr>
              <w:spacing w:line="360" w:lineRule="auto"/>
              <w:rPr>
                <w:rFonts w:ascii="宋体" w:hAnsi="宋体" w:cs="宋体"/>
                <w:sz w:val="24"/>
              </w:rPr>
            </w:pPr>
          </w:p>
        </w:tc>
        <w:tc>
          <w:tcPr>
            <w:tcW w:w="1019" w:type="dxa"/>
            <w:vAlign w:val="center"/>
          </w:tcPr>
          <w:p w14:paraId="743DCB29">
            <w:pPr>
              <w:spacing w:line="360" w:lineRule="auto"/>
              <w:jc w:val="center"/>
              <w:rPr>
                <w:rFonts w:ascii="宋体" w:hAnsi="宋体" w:cs="宋体"/>
                <w:sz w:val="24"/>
              </w:rPr>
            </w:pPr>
          </w:p>
        </w:tc>
        <w:tc>
          <w:tcPr>
            <w:tcW w:w="1019" w:type="dxa"/>
            <w:vAlign w:val="center"/>
          </w:tcPr>
          <w:p w14:paraId="7D6402B5">
            <w:pPr>
              <w:spacing w:line="360" w:lineRule="auto"/>
              <w:jc w:val="center"/>
              <w:rPr>
                <w:rFonts w:ascii="宋体" w:hAnsi="宋体" w:cs="宋体"/>
                <w:sz w:val="24"/>
              </w:rPr>
            </w:pPr>
          </w:p>
        </w:tc>
        <w:tc>
          <w:tcPr>
            <w:tcW w:w="1019" w:type="dxa"/>
            <w:vAlign w:val="center"/>
          </w:tcPr>
          <w:p w14:paraId="71DC401F">
            <w:pPr>
              <w:spacing w:line="360" w:lineRule="auto"/>
              <w:jc w:val="center"/>
              <w:rPr>
                <w:rFonts w:ascii="宋体" w:hAnsi="宋体" w:cs="宋体"/>
                <w:sz w:val="24"/>
              </w:rPr>
            </w:pPr>
          </w:p>
        </w:tc>
        <w:tc>
          <w:tcPr>
            <w:tcW w:w="1019" w:type="dxa"/>
            <w:vAlign w:val="center"/>
          </w:tcPr>
          <w:p w14:paraId="15098C8F">
            <w:pPr>
              <w:spacing w:line="360" w:lineRule="auto"/>
              <w:jc w:val="center"/>
              <w:rPr>
                <w:rFonts w:ascii="宋体" w:hAnsi="宋体" w:cs="宋体"/>
                <w:sz w:val="24"/>
              </w:rPr>
            </w:pPr>
          </w:p>
        </w:tc>
        <w:tc>
          <w:tcPr>
            <w:tcW w:w="1019" w:type="dxa"/>
            <w:vAlign w:val="center"/>
          </w:tcPr>
          <w:p w14:paraId="4D166C1B">
            <w:pPr>
              <w:spacing w:line="360" w:lineRule="auto"/>
              <w:jc w:val="center"/>
              <w:rPr>
                <w:rFonts w:ascii="宋体" w:hAnsi="宋体" w:cs="宋体"/>
                <w:sz w:val="24"/>
              </w:rPr>
            </w:pPr>
          </w:p>
        </w:tc>
        <w:tc>
          <w:tcPr>
            <w:tcW w:w="1019" w:type="dxa"/>
            <w:vAlign w:val="center"/>
          </w:tcPr>
          <w:p w14:paraId="1F41EC02">
            <w:pPr>
              <w:spacing w:line="360" w:lineRule="auto"/>
              <w:jc w:val="center"/>
              <w:rPr>
                <w:rFonts w:ascii="宋体" w:hAnsi="宋体" w:cs="宋体"/>
                <w:sz w:val="24"/>
              </w:rPr>
            </w:pPr>
          </w:p>
        </w:tc>
        <w:tc>
          <w:tcPr>
            <w:tcW w:w="1018" w:type="dxa"/>
            <w:vAlign w:val="center"/>
          </w:tcPr>
          <w:p w14:paraId="4B733D28">
            <w:pPr>
              <w:spacing w:line="360" w:lineRule="auto"/>
              <w:jc w:val="center"/>
              <w:rPr>
                <w:rFonts w:ascii="宋体" w:hAnsi="宋体" w:cs="宋体"/>
                <w:sz w:val="24"/>
              </w:rPr>
            </w:pPr>
          </w:p>
        </w:tc>
      </w:tr>
      <w:tr w14:paraId="3A1C2C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67BDFAFF">
            <w:pPr>
              <w:spacing w:line="360" w:lineRule="auto"/>
              <w:rPr>
                <w:rFonts w:ascii="宋体" w:hAnsi="宋体" w:cs="宋体"/>
                <w:sz w:val="24"/>
              </w:rPr>
            </w:pPr>
          </w:p>
        </w:tc>
        <w:tc>
          <w:tcPr>
            <w:tcW w:w="1019" w:type="dxa"/>
            <w:vAlign w:val="center"/>
          </w:tcPr>
          <w:p w14:paraId="235D285D">
            <w:pPr>
              <w:spacing w:line="360" w:lineRule="auto"/>
              <w:jc w:val="center"/>
              <w:rPr>
                <w:rFonts w:ascii="宋体" w:hAnsi="宋体" w:cs="宋体"/>
                <w:sz w:val="24"/>
              </w:rPr>
            </w:pPr>
          </w:p>
        </w:tc>
        <w:tc>
          <w:tcPr>
            <w:tcW w:w="1019" w:type="dxa"/>
            <w:vAlign w:val="center"/>
          </w:tcPr>
          <w:p w14:paraId="321AC563">
            <w:pPr>
              <w:spacing w:line="360" w:lineRule="auto"/>
              <w:jc w:val="center"/>
              <w:rPr>
                <w:rFonts w:ascii="宋体" w:hAnsi="宋体" w:cs="宋体"/>
                <w:sz w:val="24"/>
              </w:rPr>
            </w:pPr>
          </w:p>
        </w:tc>
        <w:tc>
          <w:tcPr>
            <w:tcW w:w="1019" w:type="dxa"/>
            <w:vAlign w:val="center"/>
          </w:tcPr>
          <w:p w14:paraId="7543221E">
            <w:pPr>
              <w:spacing w:line="360" w:lineRule="auto"/>
              <w:jc w:val="center"/>
              <w:rPr>
                <w:rFonts w:ascii="宋体" w:hAnsi="宋体" w:cs="宋体"/>
                <w:sz w:val="24"/>
              </w:rPr>
            </w:pPr>
          </w:p>
        </w:tc>
        <w:tc>
          <w:tcPr>
            <w:tcW w:w="1019" w:type="dxa"/>
            <w:vAlign w:val="center"/>
          </w:tcPr>
          <w:p w14:paraId="1CB0123D">
            <w:pPr>
              <w:spacing w:line="360" w:lineRule="auto"/>
              <w:jc w:val="center"/>
              <w:rPr>
                <w:rFonts w:ascii="宋体" w:hAnsi="宋体" w:cs="宋体"/>
                <w:sz w:val="24"/>
              </w:rPr>
            </w:pPr>
          </w:p>
        </w:tc>
        <w:tc>
          <w:tcPr>
            <w:tcW w:w="1019" w:type="dxa"/>
            <w:vAlign w:val="center"/>
          </w:tcPr>
          <w:p w14:paraId="039CC72A">
            <w:pPr>
              <w:spacing w:line="360" w:lineRule="auto"/>
              <w:jc w:val="center"/>
              <w:rPr>
                <w:rFonts w:ascii="宋体" w:hAnsi="宋体" w:cs="宋体"/>
                <w:sz w:val="24"/>
              </w:rPr>
            </w:pPr>
          </w:p>
        </w:tc>
        <w:tc>
          <w:tcPr>
            <w:tcW w:w="1019" w:type="dxa"/>
            <w:vAlign w:val="center"/>
          </w:tcPr>
          <w:p w14:paraId="0BE585B3">
            <w:pPr>
              <w:spacing w:line="360" w:lineRule="auto"/>
              <w:jc w:val="center"/>
              <w:rPr>
                <w:rFonts w:ascii="宋体" w:hAnsi="宋体" w:cs="宋体"/>
                <w:sz w:val="24"/>
              </w:rPr>
            </w:pPr>
          </w:p>
        </w:tc>
        <w:tc>
          <w:tcPr>
            <w:tcW w:w="1018" w:type="dxa"/>
            <w:vAlign w:val="center"/>
          </w:tcPr>
          <w:p w14:paraId="09E2EC42">
            <w:pPr>
              <w:spacing w:line="360" w:lineRule="auto"/>
              <w:jc w:val="center"/>
              <w:rPr>
                <w:rFonts w:ascii="宋体" w:hAnsi="宋体" w:cs="宋体"/>
                <w:sz w:val="24"/>
              </w:rPr>
            </w:pPr>
          </w:p>
        </w:tc>
      </w:tr>
      <w:tr w14:paraId="24EDCE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7DE60540">
            <w:pPr>
              <w:spacing w:line="360" w:lineRule="auto"/>
              <w:rPr>
                <w:rFonts w:ascii="宋体" w:hAnsi="宋体" w:cs="宋体"/>
                <w:sz w:val="24"/>
              </w:rPr>
            </w:pPr>
          </w:p>
        </w:tc>
        <w:tc>
          <w:tcPr>
            <w:tcW w:w="1019" w:type="dxa"/>
            <w:vAlign w:val="center"/>
          </w:tcPr>
          <w:p w14:paraId="71171B36">
            <w:pPr>
              <w:spacing w:line="360" w:lineRule="auto"/>
              <w:jc w:val="center"/>
              <w:rPr>
                <w:rFonts w:ascii="宋体" w:hAnsi="宋体" w:cs="宋体"/>
                <w:sz w:val="24"/>
              </w:rPr>
            </w:pPr>
          </w:p>
        </w:tc>
        <w:tc>
          <w:tcPr>
            <w:tcW w:w="1019" w:type="dxa"/>
            <w:vAlign w:val="center"/>
          </w:tcPr>
          <w:p w14:paraId="7ECDDF49">
            <w:pPr>
              <w:spacing w:line="360" w:lineRule="auto"/>
              <w:jc w:val="center"/>
              <w:rPr>
                <w:rFonts w:ascii="宋体" w:hAnsi="宋体" w:cs="宋体"/>
                <w:sz w:val="24"/>
              </w:rPr>
            </w:pPr>
          </w:p>
        </w:tc>
        <w:tc>
          <w:tcPr>
            <w:tcW w:w="1019" w:type="dxa"/>
            <w:vAlign w:val="center"/>
          </w:tcPr>
          <w:p w14:paraId="4A5D4C9C">
            <w:pPr>
              <w:spacing w:line="360" w:lineRule="auto"/>
              <w:jc w:val="center"/>
              <w:rPr>
                <w:rFonts w:ascii="宋体" w:hAnsi="宋体" w:cs="宋体"/>
                <w:sz w:val="24"/>
              </w:rPr>
            </w:pPr>
          </w:p>
        </w:tc>
        <w:tc>
          <w:tcPr>
            <w:tcW w:w="1019" w:type="dxa"/>
            <w:vAlign w:val="center"/>
          </w:tcPr>
          <w:p w14:paraId="2DBA8C9B">
            <w:pPr>
              <w:spacing w:line="360" w:lineRule="auto"/>
              <w:jc w:val="center"/>
              <w:rPr>
                <w:rFonts w:ascii="宋体" w:hAnsi="宋体" w:cs="宋体"/>
                <w:sz w:val="24"/>
              </w:rPr>
            </w:pPr>
          </w:p>
        </w:tc>
        <w:tc>
          <w:tcPr>
            <w:tcW w:w="1019" w:type="dxa"/>
            <w:vAlign w:val="center"/>
          </w:tcPr>
          <w:p w14:paraId="180D4B68">
            <w:pPr>
              <w:spacing w:line="360" w:lineRule="auto"/>
              <w:jc w:val="center"/>
              <w:rPr>
                <w:rFonts w:ascii="宋体" w:hAnsi="宋体" w:cs="宋体"/>
                <w:sz w:val="24"/>
              </w:rPr>
            </w:pPr>
          </w:p>
        </w:tc>
        <w:tc>
          <w:tcPr>
            <w:tcW w:w="1019" w:type="dxa"/>
            <w:vAlign w:val="center"/>
          </w:tcPr>
          <w:p w14:paraId="509291E1">
            <w:pPr>
              <w:spacing w:line="360" w:lineRule="auto"/>
              <w:jc w:val="center"/>
              <w:rPr>
                <w:rFonts w:ascii="宋体" w:hAnsi="宋体" w:cs="宋体"/>
                <w:sz w:val="24"/>
              </w:rPr>
            </w:pPr>
          </w:p>
        </w:tc>
        <w:tc>
          <w:tcPr>
            <w:tcW w:w="1018" w:type="dxa"/>
            <w:vAlign w:val="center"/>
          </w:tcPr>
          <w:p w14:paraId="560F856C">
            <w:pPr>
              <w:spacing w:line="360" w:lineRule="auto"/>
              <w:jc w:val="center"/>
              <w:rPr>
                <w:rFonts w:ascii="宋体" w:hAnsi="宋体" w:cs="宋体"/>
                <w:sz w:val="24"/>
              </w:rPr>
            </w:pPr>
          </w:p>
        </w:tc>
      </w:tr>
      <w:tr w14:paraId="7CFB3D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46DEBC91">
            <w:pPr>
              <w:spacing w:line="360" w:lineRule="auto"/>
              <w:rPr>
                <w:rFonts w:ascii="宋体" w:hAnsi="宋体" w:cs="宋体"/>
                <w:sz w:val="24"/>
              </w:rPr>
            </w:pPr>
          </w:p>
        </w:tc>
        <w:tc>
          <w:tcPr>
            <w:tcW w:w="1019" w:type="dxa"/>
            <w:vAlign w:val="center"/>
          </w:tcPr>
          <w:p w14:paraId="0F616C6C">
            <w:pPr>
              <w:spacing w:line="360" w:lineRule="auto"/>
              <w:jc w:val="center"/>
              <w:rPr>
                <w:rFonts w:ascii="宋体" w:hAnsi="宋体" w:cs="宋体"/>
                <w:sz w:val="24"/>
              </w:rPr>
            </w:pPr>
          </w:p>
        </w:tc>
        <w:tc>
          <w:tcPr>
            <w:tcW w:w="1019" w:type="dxa"/>
            <w:vAlign w:val="center"/>
          </w:tcPr>
          <w:p w14:paraId="69A66135">
            <w:pPr>
              <w:spacing w:line="360" w:lineRule="auto"/>
              <w:jc w:val="center"/>
              <w:rPr>
                <w:rFonts w:ascii="宋体" w:hAnsi="宋体" w:cs="宋体"/>
                <w:sz w:val="24"/>
              </w:rPr>
            </w:pPr>
          </w:p>
        </w:tc>
        <w:tc>
          <w:tcPr>
            <w:tcW w:w="1019" w:type="dxa"/>
            <w:vAlign w:val="center"/>
          </w:tcPr>
          <w:p w14:paraId="70804284">
            <w:pPr>
              <w:spacing w:line="360" w:lineRule="auto"/>
              <w:jc w:val="center"/>
              <w:rPr>
                <w:rFonts w:ascii="宋体" w:hAnsi="宋体" w:cs="宋体"/>
                <w:sz w:val="24"/>
              </w:rPr>
            </w:pPr>
          </w:p>
        </w:tc>
        <w:tc>
          <w:tcPr>
            <w:tcW w:w="1019" w:type="dxa"/>
            <w:vAlign w:val="center"/>
          </w:tcPr>
          <w:p w14:paraId="5484A670">
            <w:pPr>
              <w:spacing w:line="360" w:lineRule="auto"/>
              <w:jc w:val="center"/>
              <w:rPr>
                <w:rFonts w:ascii="宋体" w:hAnsi="宋体" w:cs="宋体"/>
                <w:sz w:val="24"/>
              </w:rPr>
            </w:pPr>
          </w:p>
        </w:tc>
        <w:tc>
          <w:tcPr>
            <w:tcW w:w="1019" w:type="dxa"/>
            <w:vAlign w:val="center"/>
          </w:tcPr>
          <w:p w14:paraId="183E52CD">
            <w:pPr>
              <w:spacing w:line="360" w:lineRule="auto"/>
              <w:jc w:val="center"/>
              <w:rPr>
                <w:rFonts w:ascii="宋体" w:hAnsi="宋体" w:cs="宋体"/>
                <w:sz w:val="24"/>
              </w:rPr>
            </w:pPr>
          </w:p>
        </w:tc>
        <w:tc>
          <w:tcPr>
            <w:tcW w:w="1019" w:type="dxa"/>
            <w:vAlign w:val="center"/>
          </w:tcPr>
          <w:p w14:paraId="7CBF4023">
            <w:pPr>
              <w:spacing w:line="360" w:lineRule="auto"/>
              <w:jc w:val="center"/>
              <w:rPr>
                <w:rFonts w:ascii="宋体" w:hAnsi="宋体" w:cs="宋体"/>
                <w:sz w:val="24"/>
              </w:rPr>
            </w:pPr>
          </w:p>
        </w:tc>
        <w:tc>
          <w:tcPr>
            <w:tcW w:w="1018" w:type="dxa"/>
            <w:vAlign w:val="center"/>
          </w:tcPr>
          <w:p w14:paraId="0D788362">
            <w:pPr>
              <w:spacing w:line="360" w:lineRule="auto"/>
              <w:jc w:val="center"/>
              <w:rPr>
                <w:rFonts w:ascii="宋体" w:hAnsi="宋体" w:cs="宋体"/>
                <w:sz w:val="24"/>
              </w:rPr>
            </w:pPr>
          </w:p>
        </w:tc>
      </w:tr>
      <w:tr w14:paraId="6F9E2F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57CE1573">
            <w:pPr>
              <w:spacing w:line="360" w:lineRule="auto"/>
              <w:rPr>
                <w:rFonts w:ascii="宋体" w:hAnsi="宋体" w:cs="宋体"/>
                <w:sz w:val="24"/>
              </w:rPr>
            </w:pPr>
          </w:p>
        </w:tc>
        <w:tc>
          <w:tcPr>
            <w:tcW w:w="1019" w:type="dxa"/>
            <w:vAlign w:val="center"/>
          </w:tcPr>
          <w:p w14:paraId="5E2AA5AD">
            <w:pPr>
              <w:spacing w:line="360" w:lineRule="auto"/>
              <w:jc w:val="center"/>
              <w:rPr>
                <w:rFonts w:ascii="宋体" w:hAnsi="宋体" w:cs="宋体"/>
                <w:sz w:val="24"/>
              </w:rPr>
            </w:pPr>
          </w:p>
        </w:tc>
        <w:tc>
          <w:tcPr>
            <w:tcW w:w="1019" w:type="dxa"/>
            <w:vAlign w:val="center"/>
          </w:tcPr>
          <w:p w14:paraId="2699BE09">
            <w:pPr>
              <w:spacing w:line="360" w:lineRule="auto"/>
              <w:jc w:val="center"/>
              <w:rPr>
                <w:rFonts w:ascii="宋体" w:hAnsi="宋体" w:cs="宋体"/>
                <w:sz w:val="24"/>
              </w:rPr>
            </w:pPr>
          </w:p>
        </w:tc>
        <w:tc>
          <w:tcPr>
            <w:tcW w:w="1019" w:type="dxa"/>
            <w:vAlign w:val="center"/>
          </w:tcPr>
          <w:p w14:paraId="03C8938E">
            <w:pPr>
              <w:spacing w:line="360" w:lineRule="auto"/>
              <w:jc w:val="center"/>
              <w:rPr>
                <w:rFonts w:ascii="宋体" w:hAnsi="宋体" w:cs="宋体"/>
                <w:sz w:val="24"/>
              </w:rPr>
            </w:pPr>
          </w:p>
        </w:tc>
        <w:tc>
          <w:tcPr>
            <w:tcW w:w="1019" w:type="dxa"/>
            <w:vAlign w:val="center"/>
          </w:tcPr>
          <w:p w14:paraId="413FECC3">
            <w:pPr>
              <w:spacing w:line="360" w:lineRule="auto"/>
              <w:jc w:val="center"/>
              <w:rPr>
                <w:rFonts w:ascii="宋体" w:hAnsi="宋体" w:cs="宋体"/>
                <w:sz w:val="24"/>
              </w:rPr>
            </w:pPr>
          </w:p>
        </w:tc>
        <w:tc>
          <w:tcPr>
            <w:tcW w:w="1019" w:type="dxa"/>
            <w:vAlign w:val="center"/>
          </w:tcPr>
          <w:p w14:paraId="43379E4B">
            <w:pPr>
              <w:spacing w:line="360" w:lineRule="auto"/>
              <w:jc w:val="center"/>
              <w:rPr>
                <w:rFonts w:ascii="宋体" w:hAnsi="宋体" w:cs="宋体"/>
                <w:sz w:val="24"/>
              </w:rPr>
            </w:pPr>
          </w:p>
        </w:tc>
        <w:tc>
          <w:tcPr>
            <w:tcW w:w="1019" w:type="dxa"/>
            <w:vAlign w:val="center"/>
          </w:tcPr>
          <w:p w14:paraId="2B4C13EB">
            <w:pPr>
              <w:spacing w:line="360" w:lineRule="auto"/>
              <w:jc w:val="center"/>
              <w:rPr>
                <w:rFonts w:ascii="宋体" w:hAnsi="宋体" w:cs="宋体"/>
                <w:sz w:val="24"/>
              </w:rPr>
            </w:pPr>
          </w:p>
        </w:tc>
        <w:tc>
          <w:tcPr>
            <w:tcW w:w="1018" w:type="dxa"/>
            <w:vAlign w:val="center"/>
          </w:tcPr>
          <w:p w14:paraId="2DC43689">
            <w:pPr>
              <w:spacing w:line="360" w:lineRule="auto"/>
              <w:jc w:val="center"/>
              <w:rPr>
                <w:rFonts w:ascii="宋体" w:hAnsi="宋体" w:cs="宋体"/>
                <w:sz w:val="24"/>
              </w:rPr>
            </w:pPr>
          </w:p>
        </w:tc>
      </w:tr>
      <w:tr w14:paraId="7EC2B7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2D15FA5F">
            <w:pPr>
              <w:spacing w:line="360" w:lineRule="auto"/>
              <w:ind w:firstLine="960" w:firstLineChars="400"/>
              <w:rPr>
                <w:rFonts w:ascii="宋体" w:hAnsi="宋体" w:cs="宋体"/>
                <w:sz w:val="24"/>
              </w:rPr>
            </w:pPr>
            <w:r>
              <w:rPr>
                <w:rFonts w:hint="eastAsia" w:ascii="宋体" w:hAnsi="宋体" w:cs="宋体"/>
                <w:sz w:val="24"/>
              </w:rPr>
              <w:t>……</w:t>
            </w:r>
          </w:p>
        </w:tc>
        <w:tc>
          <w:tcPr>
            <w:tcW w:w="1019" w:type="dxa"/>
            <w:vAlign w:val="center"/>
          </w:tcPr>
          <w:p w14:paraId="4B005AB1">
            <w:pPr>
              <w:spacing w:line="360" w:lineRule="auto"/>
              <w:jc w:val="center"/>
              <w:rPr>
                <w:rFonts w:ascii="宋体" w:hAnsi="宋体" w:cs="宋体"/>
                <w:sz w:val="24"/>
              </w:rPr>
            </w:pPr>
          </w:p>
        </w:tc>
        <w:tc>
          <w:tcPr>
            <w:tcW w:w="1019" w:type="dxa"/>
            <w:vAlign w:val="center"/>
          </w:tcPr>
          <w:p w14:paraId="6E77DBE5">
            <w:pPr>
              <w:spacing w:line="360" w:lineRule="auto"/>
              <w:jc w:val="center"/>
              <w:rPr>
                <w:rFonts w:ascii="宋体" w:hAnsi="宋体" w:cs="宋体"/>
                <w:sz w:val="24"/>
              </w:rPr>
            </w:pPr>
          </w:p>
        </w:tc>
        <w:tc>
          <w:tcPr>
            <w:tcW w:w="1019" w:type="dxa"/>
            <w:vAlign w:val="center"/>
          </w:tcPr>
          <w:p w14:paraId="52C7E391">
            <w:pPr>
              <w:spacing w:line="360" w:lineRule="auto"/>
              <w:jc w:val="center"/>
              <w:rPr>
                <w:rFonts w:ascii="宋体" w:hAnsi="宋体" w:cs="宋体"/>
                <w:sz w:val="24"/>
              </w:rPr>
            </w:pPr>
          </w:p>
        </w:tc>
        <w:tc>
          <w:tcPr>
            <w:tcW w:w="1019" w:type="dxa"/>
            <w:vAlign w:val="center"/>
          </w:tcPr>
          <w:p w14:paraId="01D0A1ED">
            <w:pPr>
              <w:spacing w:line="360" w:lineRule="auto"/>
              <w:jc w:val="center"/>
              <w:rPr>
                <w:rFonts w:ascii="宋体" w:hAnsi="宋体" w:cs="宋体"/>
                <w:sz w:val="24"/>
              </w:rPr>
            </w:pPr>
          </w:p>
        </w:tc>
        <w:tc>
          <w:tcPr>
            <w:tcW w:w="1019" w:type="dxa"/>
            <w:vAlign w:val="center"/>
          </w:tcPr>
          <w:p w14:paraId="5022CD8E">
            <w:pPr>
              <w:spacing w:line="360" w:lineRule="auto"/>
              <w:jc w:val="center"/>
              <w:rPr>
                <w:rFonts w:ascii="宋体" w:hAnsi="宋体" w:cs="宋体"/>
                <w:sz w:val="24"/>
              </w:rPr>
            </w:pPr>
          </w:p>
        </w:tc>
        <w:tc>
          <w:tcPr>
            <w:tcW w:w="1019" w:type="dxa"/>
            <w:vAlign w:val="center"/>
          </w:tcPr>
          <w:p w14:paraId="41E8AE7D">
            <w:pPr>
              <w:spacing w:line="360" w:lineRule="auto"/>
              <w:jc w:val="center"/>
              <w:rPr>
                <w:rFonts w:ascii="宋体" w:hAnsi="宋体" w:cs="宋体"/>
                <w:sz w:val="24"/>
              </w:rPr>
            </w:pPr>
          </w:p>
        </w:tc>
        <w:tc>
          <w:tcPr>
            <w:tcW w:w="1018" w:type="dxa"/>
            <w:vAlign w:val="center"/>
          </w:tcPr>
          <w:p w14:paraId="14ECAB6F">
            <w:pPr>
              <w:spacing w:line="360" w:lineRule="auto"/>
              <w:jc w:val="center"/>
              <w:rPr>
                <w:rFonts w:ascii="宋体" w:hAnsi="宋体" w:cs="宋体"/>
                <w:sz w:val="24"/>
              </w:rPr>
            </w:pPr>
          </w:p>
        </w:tc>
      </w:tr>
      <w:tr w14:paraId="1FDE0C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1A1DD2DA">
            <w:pPr>
              <w:spacing w:line="360" w:lineRule="auto"/>
              <w:jc w:val="center"/>
              <w:rPr>
                <w:rFonts w:ascii="宋体" w:hAnsi="宋体" w:cs="宋体"/>
                <w:sz w:val="24"/>
              </w:rPr>
            </w:pPr>
            <w:r>
              <w:rPr>
                <w:rFonts w:hint="eastAsia" w:ascii="宋体" w:hAnsi="宋体" w:cs="宋体"/>
                <w:sz w:val="24"/>
              </w:rPr>
              <w:t>得分合计</w:t>
            </w:r>
          </w:p>
        </w:tc>
        <w:tc>
          <w:tcPr>
            <w:tcW w:w="1019" w:type="dxa"/>
            <w:vAlign w:val="center"/>
          </w:tcPr>
          <w:p w14:paraId="67A9B158">
            <w:pPr>
              <w:spacing w:line="360" w:lineRule="auto"/>
              <w:jc w:val="center"/>
              <w:rPr>
                <w:rFonts w:ascii="宋体" w:hAnsi="宋体" w:cs="宋体"/>
                <w:sz w:val="24"/>
              </w:rPr>
            </w:pPr>
          </w:p>
        </w:tc>
        <w:tc>
          <w:tcPr>
            <w:tcW w:w="1019" w:type="dxa"/>
            <w:vAlign w:val="center"/>
          </w:tcPr>
          <w:p w14:paraId="13E268D9">
            <w:pPr>
              <w:spacing w:line="360" w:lineRule="auto"/>
              <w:jc w:val="center"/>
              <w:rPr>
                <w:rFonts w:ascii="宋体" w:hAnsi="宋体" w:cs="宋体"/>
                <w:sz w:val="24"/>
              </w:rPr>
            </w:pPr>
          </w:p>
        </w:tc>
        <w:tc>
          <w:tcPr>
            <w:tcW w:w="1019" w:type="dxa"/>
            <w:vAlign w:val="center"/>
          </w:tcPr>
          <w:p w14:paraId="027D8C70">
            <w:pPr>
              <w:spacing w:line="360" w:lineRule="auto"/>
              <w:jc w:val="center"/>
              <w:rPr>
                <w:rFonts w:ascii="宋体" w:hAnsi="宋体" w:cs="宋体"/>
                <w:sz w:val="24"/>
              </w:rPr>
            </w:pPr>
          </w:p>
        </w:tc>
        <w:tc>
          <w:tcPr>
            <w:tcW w:w="1019" w:type="dxa"/>
            <w:vAlign w:val="center"/>
          </w:tcPr>
          <w:p w14:paraId="4C882E1C">
            <w:pPr>
              <w:spacing w:line="360" w:lineRule="auto"/>
              <w:jc w:val="center"/>
              <w:rPr>
                <w:rFonts w:ascii="宋体" w:hAnsi="宋体" w:cs="宋体"/>
                <w:sz w:val="24"/>
              </w:rPr>
            </w:pPr>
          </w:p>
        </w:tc>
        <w:tc>
          <w:tcPr>
            <w:tcW w:w="1019" w:type="dxa"/>
            <w:vAlign w:val="center"/>
          </w:tcPr>
          <w:p w14:paraId="353E37C8">
            <w:pPr>
              <w:spacing w:line="360" w:lineRule="auto"/>
              <w:jc w:val="center"/>
              <w:rPr>
                <w:rFonts w:ascii="宋体" w:hAnsi="宋体" w:cs="宋体"/>
                <w:sz w:val="24"/>
              </w:rPr>
            </w:pPr>
          </w:p>
        </w:tc>
        <w:tc>
          <w:tcPr>
            <w:tcW w:w="1019" w:type="dxa"/>
            <w:vAlign w:val="center"/>
          </w:tcPr>
          <w:p w14:paraId="666E0D2E">
            <w:pPr>
              <w:spacing w:line="360" w:lineRule="auto"/>
              <w:jc w:val="center"/>
              <w:rPr>
                <w:rFonts w:ascii="宋体" w:hAnsi="宋体" w:cs="宋体"/>
                <w:sz w:val="24"/>
              </w:rPr>
            </w:pPr>
          </w:p>
        </w:tc>
        <w:tc>
          <w:tcPr>
            <w:tcW w:w="1018" w:type="dxa"/>
            <w:vAlign w:val="center"/>
          </w:tcPr>
          <w:p w14:paraId="79F3360F">
            <w:pPr>
              <w:spacing w:line="360" w:lineRule="auto"/>
              <w:jc w:val="center"/>
              <w:rPr>
                <w:rFonts w:ascii="宋体" w:hAnsi="宋体" w:cs="宋体"/>
                <w:sz w:val="24"/>
              </w:rPr>
            </w:pPr>
          </w:p>
        </w:tc>
      </w:tr>
      <w:tr w14:paraId="0953DC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2069718B">
            <w:pPr>
              <w:spacing w:line="360" w:lineRule="auto"/>
              <w:jc w:val="center"/>
              <w:rPr>
                <w:rFonts w:ascii="宋体" w:hAnsi="宋体" w:cs="宋体"/>
                <w:sz w:val="24"/>
              </w:rPr>
            </w:pPr>
            <w:r>
              <w:rPr>
                <w:rFonts w:hint="eastAsia" w:ascii="宋体" w:hAnsi="宋体" w:cs="宋体"/>
                <w:sz w:val="24"/>
              </w:rPr>
              <w:t>得分平均值</w:t>
            </w:r>
          </w:p>
        </w:tc>
        <w:tc>
          <w:tcPr>
            <w:tcW w:w="1019" w:type="dxa"/>
            <w:vAlign w:val="center"/>
          </w:tcPr>
          <w:p w14:paraId="671321B4">
            <w:pPr>
              <w:spacing w:line="360" w:lineRule="auto"/>
              <w:jc w:val="center"/>
              <w:rPr>
                <w:rFonts w:ascii="宋体" w:hAnsi="宋体" w:cs="宋体"/>
                <w:sz w:val="24"/>
              </w:rPr>
            </w:pPr>
          </w:p>
        </w:tc>
        <w:tc>
          <w:tcPr>
            <w:tcW w:w="1019" w:type="dxa"/>
            <w:vAlign w:val="center"/>
          </w:tcPr>
          <w:p w14:paraId="5847169A">
            <w:pPr>
              <w:spacing w:line="360" w:lineRule="auto"/>
              <w:jc w:val="center"/>
              <w:rPr>
                <w:rFonts w:ascii="宋体" w:hAnsi="宋体" w:cs="宋体"/>
                <w:sz w:val="24"/>
              </w:rPr>
            </w:pPr>
          </w:p>
        </w:tc>
        <w:tc>
          <w:tcPr>
            <w:tcW w:w="1019" w:type="dxa"/>
            <w:vAlign w:val="center"/>
          </w:tcPr>
          <w:p w14:paraId="6313215C">
            <w:pPr>
              <w:spacing w:line="360" w:lineRule="auto"/>
              <w:jc w:val="center"/>
              <w:rPr>
                <w:rFonts w:ascii="宋体" w:hAnsi="宋体" w:cs="宋体"/>
                <w:sz w:val="24"/>
              </w:rPr>
            </w:pPr>
          </w:p>
        </w:tc>
        <w:tc>
          <w:tcPr>
            <w:tcW w:w="1019" w:type="dxa"/>
            <w:vAlign w:val="center"/>
          </w:tcPr>
          <w:p w14:paraId="2987B4C3">
            <w:pPr>
              <w:spacing w:line="360" w:lineRule="auto"/>
              <w:jc w:val="center"/>
              <w:rPr>
                <w:rFonts w:ascii="宋体" w:hAnsi="宋体" w:cs="宋体"/>
                <w:sz w:val="24"/>
              </w:rPr>
            </w:pPr>
          </w:p>
        </w:tc>
        <w:tc>
          <w:tcPr>
            <w:tcW w:w="1019" w:type="dxa"/>
            <w:vAlign w:val="center"/>
          </w:tcPr>
          <w:p w14:paraId="6E49EB59">
            <w:pPr>
              <w:spacing w:line="360" w:lineRule="auto"/>
              <w:jc w:val="center"/>
              <w:rPr>
                <w:rFonts w:ascii="宋体" w:hAnsi="宋体" w:cs="宋体"/>
                <w:sz w:val="24"/>
              </w:rPr>
            </w:pPr>
          </w:p>
        </w:tc>
        <w:tc>
          <w:tcPr>
            <w:tcW w:w="1019" w:type="dxa"/>
            <w:vAlign w:val="center"/>
          </w:tcPr>
          <w:p w14:paraId="73F49903">
            <w:pPr>
              <w:spacing w:line="360" w:lineRule="auto"/>
              <w:jc w:val="center"/>
              <w:rPr>
                <w:rFonts w:ascii="宋体" w:hAnsi="宋体" w:cs="宋体"/>
                <w:sz w:val="24"/>
              </w:rPr>
            </w:pPr>
          </w:p>
        </w:tc>
        <w:tc>
          <w:tcPr>
            <w:tcW w:w="1018" w:type="dxa"/>
            <w:vAlign w:val="center"/>
          </w:tcPr>
          <w:p w14:paraId="15FCC1E8">
            <w:pPr>
              <w:spacing w:line="360" w:lineRule="auto"/>
              <w:jc w:val="center"/>
              <w:rPr>
                <w:rFonts w:ascii="宋体" w:hAnsi="宋体" w:cs="宋体"/>
                <w:sz w:val="24"/>
              </w:rPr>
            </w:pPr>
          </w:p>
        </w:tc>
      </w:tr>
      <w:tr w14:paraId="0B5DD0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590" w:type="dxa"/>
            <w:vAlign w:val="center"/>
          </w:tcPr>
          <w:p w14:paraId="4E1AF00E">
            <w:pPr>
              <w:spacing w:line="360" w:lineRule="auto"/>
              <w:ind w:right="-25" w:rightChars="-12"/>
              <w:jc w:val="center"/>
              <w:rPr>
                <w:rFonts w:ascii="宋体" w:hAnsi="宋体" w:cs="宋体"/>
                <w:sz w:val="24"/>
              </w:rPr>
            </w:pPr>
            <w:r>
              <w:rPr>
                <w:rFonts w:hint="eastAsia" w:ascii="宋体" w:hAnsi="宋体" w:cs="宋体"/>
                <w:sz w:val="24"/>
              </w:rPr>
              <w:t>投标人排序</w:t>
            </w:r>
          </w:p>
        </w:tc>
        <w:tc>
          <w:tcPr>
            <w:tcW w:w="1019" w:type="dxa"/>
            <w:vAlign w:val="center"/>
          </w:tcPr>
          <w:p w14:paraId="3443D37F">
            <w:pPr>
              <w:spacing w:line="360" w:lineRule="auto"/>
              <w:jc w:val="center"/>
              <w:rPr>
                <w:rFonts w:ascii="宋体" w:hAnsi="宋体" w:cs="宋体"/>
                <w:sz w:val="24"/>
              </w:rPr>
            </w:pPr>
          </w:p>
        </w:tc>
        <w:tc>
          <w:tcPr>
            <w:tcW w:w="1019" w:type="dxa"/>
            <w:vAlign w:val="center"/>
          </w:tcPr>
          <w:p w14:paraId="3B35C056">
            <w:pPr>
              <w:spacing w:line="360" w:lineRule="auto"/>
              <w:jc w:val="center"/>
              <w:rPr>
                <w:rFonts w:ascii="宋体" w:hAnsi="宋体" w:cs="宋体"/>
                <w:sz w:val="24"/>
              </w:rPr>
            </w:pPr>
          </w:p>
        </w:tc>
        <w:tc>
          <w:tcPr>
            <w:tcW w:w="1019" w:type="dxa"/>
            <w:vAlign w:val="center"/>
          </w:tcPr>
          <w:p w14:paraId="4CDA3755">
            <w:pPr>
              <w:spacing w:line="360" w:lineRule="auto"/>
              <w:jc w:val="center"/>
              <w:rPr>
                <w:rFonts w:ascii="宋体" w:hAnsi="宋体" w:cs="宋体"/>
                <w:sz w:val="24"/>
              </w:rPr>
            </w:pPr>
          </w:p>
        </w:tc>
        <w:tc>
          <w:tcPr>
            <w:tcW w:w="1019" w:type="dxa"/>
            <w:vAlign w:val="center"/>
          </w:tcPr>
          <w:p w14:paraId="188FC46E">
            <w:pPr>
              <w:spacing w:line="360" w:lineRule="auto"/>
              <w:jc w:val="center"/>
              <w:rPr>
                <w:rFonts w:ascii="宋体" w:hAnsi="宋体" w:cs="宋体"/>
                <w:sz w:val="24"/>
              </w:rPr>
            </w:pPr>
          </w:p>
        </w:tc>
        <w:tc>
          <w:tcPr>
            <w:tcW w:w="1019" w:type="dxa"/>
            <w:vAlign w:val="center"/>
          </w:tcPr>
          <w:p w14:paraId="134F678B">
            <w:pPr>
              <w:spacing w:line="360" w:lineRule="auto"/>
              <w:jc w:val="center"/>
              <w:rPr>
                <w:rFonts w:ascii="宋体" w:hAnsi="宋体" w:cs="宋体"/>
                <w:sz w:val="24"/>
              </w:rPr>
            </w:pPr>
          </w:p>
        </w:tc>
        <w:tc>
          <w:tcPr>
            <w:tcW w:w="1019" w:type="dxa"/>
            <w:vAlign w:val="center"/>
          </w:tcPr>
          <w:p w14:paraId="7ACCA2BD">
            <w:pPr>
              <w:spacing w:line="360" w:lineRule="auto"/>
              <w:jc w:val="center"/>
              <w:rPr>
                <w:rFonts w:ascii="宋体" w:hAnsi="宋体" w:cs="宋体"/>
                <w:sz w:val="24"/>
              </w:rPr>
            </w:pPr>
          </w:p>
        </w:tc>
        <w:tc>
          <w:tcPr>
            <w:tcW w:w="1018" w:type="dxa"/>
            <w:vAlign w:val="center"/>
          </w:tcPr>
          <w:p w14:paraId="334794C5">
            <w:pPr>
              <w:spacing w:line="360" w:lineRule="auto"/>
              <w:jc w:val="center"/>
              <w:rPr>
                <w:rFonts w:ascii="宋体" w:hAnsi="宋体" w:cs="宋体"/>
                <w:sz w:val="24"/>
              </w:rPr>
            </w:pPr>
          </w:p>
        </w:tc>
      </w:tr>
    </w:tbl>
    <w:p w14:paraId="69278B26">
      <w:pPr>
        <w:spacing w:line="360" w:lineRule="auto"/>
        <w:rPr>
          <w:rFonts w:ascii="宋体" w:hAnsi="宋体" w:cs="宋体"/>
          <w:sz w:val="24"/>
        </w:rPr>
      </w:pPr>
      <w:r>
        <w:rPr>
          <w:rFonts w:hint="eastAsia" w:ascii="宋体" w:hAnsi="宋体" w:cs="宋体"/>
          <w:sz w:val="24"/>
        </w:rPr>
        <w:t>评标委员会全体成员签名：</w:t>
      </w:r>
    </w:p>
    <w:p w14:paraId="4760672F">
      <w:pPr>
        <w:spacing w:line="400" w:lineRule="exact"/>
        <w:ind w:firstLine="420" w:firstLineChars="200"/>
      </w:pPr>
    </w:p>
    <w:p w14:paraId="1F1FFF3E">
      <w:pPr>
        <w:spacing w:line="400" w:lineRule="exact"/>
      </w:pPr>
      <w:r>
        <w:br w:type="page"/>
      </w:r>
    </w:p>
    <w:p w14:paraId="1B6B895D">
      <w:pPr>
        <w:pStyle w:val="3"/>
        <w:jc w:val="center"/>
        <w:rPr>
          <w:rFonts w:ascii="宋体" w:hAnsi="宋体" w:cs="宋体"/>
          <w:bCs w:val="0"/>
          <w:sz w:val="32"/>
          <w:szCs w:val="32"/>
        </w:rPr>
      </w:pPr>
      <w:bookmarkStart w:id="432" w:name="_Toc247514033"/>
      <w:bookmarkStart w:id="433" w:name="_Toc152045609"/>
      <w:bookmarkStart w:id="434" w:name="_Toc247527634"/>
      <w:bookmarkStart w:id="435" w:name="_Toc300835030"/>
      <w:bookmarkStart w:id="436" w:name="_Toc152042387"/>
      <w:bookmarkStart w:id="437" w:name="_Toc144974577"/>
      <w:r>
        <w:rPr>
          <w:rFonts w:hint="eastAsia" w:ascii="宋体" w:hAnsi="宋体" w:cs="宋体"/>
          <w:bCs w:val="0"/>
          <w:sz w:val="32"/>
          <w:szCs w:val="32"/>
        </w:rPr>
        <w:t>第四章 合同条款及格式</w:t>
      </w:r>
      <w:bookmarkEnd w:id="432"/>
      <w:bookmarkEnd w:id="433"/>
      <w:bookmarkEnd w:id="434"/>
      <w:bookmarkEnd w:id="435"/>
      <w:bookmarkEnd w:id="436"/>
      <w:bookmarkEnd w:id="437"/>
      <w:bookmarkStart w:id="438" w:name="_Toc247514034"/>
      <w:bookmarkStart w:id="439" w:name="_Toc152045610"/>
      <w:bookmarkStart w:id="440" w:name="_Toc184635097"/>
      <w:bookmarkStart w:id="441" w:name="_Toc144974578"/>
      <w:bookmarkStart w:id="442" w:name="_Toc152042388"/>
      <w:bookmarkStart w:id="443" w:name="_Toc247527635"/>
    </w:p>
    <w:bookmarkEnd w:id="438"/>
    <w:bookmarkEnd w:id="439"/>
    <w:bookmarkEnd w:id="440"/>
    <w:bookmarkEnd w:id="441"/>
    <w:bookmarkEnd w:id="442"/>
    <w:bookmarkEnd w:id="443"/>
    <w:p w14:paraId="68416D7F">
      <w:pPr>
        <w:keepNext/>
        <w:keepLines/>
        <w:spacing w:after="180" w:line="360" w:lineRule="auto"/>
        <w:jc w:val="center"/>
        <w:outlineLvl w:val="0"/>
        <w:rPr>
          <w:rFonts w:hint="eastAsia" w:ascii="宋体" w:hAnsi="宋体" w:cs="宋体"/>
          <w:b/>
          <w:bCs/>
          <w:color w:val="000000"/>
          <w:sz w:val="28"/>
          <w:szCs w:val="28"/>
          <w:lang w:val="zh-TW" w:eastAsia="zh-TW" w:bidi="zh-TW"/>
        </w:rPr>
      </w:pPr>
      <w:bookmarkStart w:id="444" w:name="_Toc152042554"/>
      <w:bookmarkStart w:id="445" w:name="_Toc247527803"/>
      <w:bookmarkStart w:id="446" w:name="_Toc152045772"/>
      <w:bookmarkStart w:id="447" w:name="_Toc144974834"/>
      <w:bookmarkStart w:id="448" w:name="_Toc247514202"/>
      <w:r>
        <w:rPr>
          <w:rFonts w:hint="eastAsia" w:ascii="宋体" w:hAnsi="宋体" w:cs="宋体"/>
          <w:b/>
          <w:bCs/>
          <w:color w:val="000000"/>
          <w:sz w:val="28"/>
          <w:szCs w:val="28"/>
          <w:lang w:val="zh-TW" w:eastAsia="zh-TW" w:bidi="zh-TW"/>
        </w:rPr>
        <w:t>第一部分</w:t>
      </w:r>
      <w:r>
        <w:rPr>
          <w:rFonts w:hint="eastAsia" w:ascii="宋体" w:hAnsi="宋体" w:cs="宋体"/>
          <w:b/>
          <w:bCs/>
          <w:color w:val="000000"/>
          <w:sz w:val="28"/>
          <w:szCs w:val="28"/>
          <w:lang w:bidi="zh-TW"/>
        </w:rPr>
        <w:t xml:space="preserve"> </w:t>
      </w:r>
      <w:r>
        <w:rPr>
          <w:rFonts w:hint="eastAsia" w:ascii="宋体" w:hAnsi="宋体" w:cs="宋体"/>
          <w:b/>
          <w:bCs/>
          <w:color w:val="000000"/>
          <w:sz w:val="28"/>
          <w:szCs w:val="28"/>
          <w:lang w:val="zh-TW" w:eastAsia="zh-TW" w:bidi="zh-TW"/>
        </w:rPr>
        <w:t>合同协议书</w:t>
      </w:r>
    </w:p>
    <w:p w14:paraId="7D59F342">
      <w:pPr>
        <w:tabs>
          <w:tab w:val="left" w:pos="3638"/>
        </w:tabs>
        <w:spacing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发包人（全称）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65E08B88">
      <w:pPr>
        <w:tabs>
          <w:tab w:val="left" w:pos="3638"/>
        </w:tabs>
        <w:spacing w:line="360" w:lineRule="auto"/>
        <w:ind w:left="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承包人（全称）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00FAF590">
      <w:pPr>
        <w:tabs>
          <w:tab w:val="left" w:pos="1152"/>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依照《中华人民共和国</w:t>
      </w:r>
      <w:r>
        <w:rPr>
          <w:rFonts w:hint="eastAsia" w:ascii="宋体" w:hAnsi="宋体" w:cs="宋体"/>
          <w:color w:val="000000"/>
          <w:szCs w:val="21"/>
          <w:lang w:val="zh-TW" w:eastAsia="zh-CN" w:bidi="zh-TW"/>
        </w:rPr>
        <w:t>民法典</w:t>
      </w:r>
      <w:r>
        <w:rPr>
          <w:rFonts w:hint="eastAsia" w:ascii="宋体" w:hAnsi="宋体" w:cs="宋体"/>
          <w:color w:val="000000"/>
          <w:szCs w:val="21"/>
          <w:lang w:val="zh-TW" w:eastAsia="zh-TW" w:bidi="zh-TW"/>
        </w:rPr>
        <w:t>》、《中华人民共和国建筑法》、《中华人民共和 国招标投标法》及相关法律、行政法规，遵循平等、自愿、公平和诚信原则，合同双方就</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项目工程总承包事宜经协商一致，订立本合同。</w:t>
      </w:r>
    </w:p>
    <w:p w14:paraId="70547092">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一</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工程概况</w:t>
      </w:r>
    </w:p>
    <w:p w14:paraId="1DCAA1B2">
      <w:pPr>
        <w:tabs>
          <w:tab w:val="left" w:pos="2568"/>
        </w:tabs>
        <w:spacing w:line="360" w:lineRule="auto"/>
        <w:ind w:firstLine="240"/>
        <w:rPr>
          <w:rFonts w:hint="eastAsia" w:ascii="宋体" w:hAnsi="宋体" w:cs="宋体"/>
          <w:szCs w:val="21"/>
          <w:lang w:bidi="zh-TW"/>
        </w:rPr>
      </w:pPr>
      <w:r>
        <w:rPr>
          <w:rFonts w:hint="eastAsia" w:ascii="宋体" w:hAnsi="宋体" w:cs="宋体"/>
          <w:color w:val="000000"/>
          <w:szCs w:val="21"/>
          <w:lang w:val="zh-TW" w:eastAsia="zh-TW" w:bidi="zh-TW"/>
        </w:rPr>
        <w:t>工程名称：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057CA87A">
      <w:pPr>
        <w:tabs>
          <w:tab w:val="left" w:pos="3442"/>
        </w:tabs>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工程批准、核准或备案文号：</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94695B7">
      <w:pPr>
        <w:tabs>
          <w:tab w:val="left" w:pos="3797"/>
          <w:tab w:val="left" w:pos="3806"/>
        </w:tabs>
        <w:spacing w:after="40"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工程内容及规模：</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r>
        <w:rPr>
          <w:rFonts w:hint="eastAsia" w:ascii="宋体" w:hAnsi="宋体" w:cs="宋体"/>
          <w:color w:val="000000"/>
          <w:szCs w:val="21"/>
          <w:lang w:val="zh-TW" w:eastAsia="zh-TW" w:bidi="zh-TW"/>
        </w:rPr>
        <w:t xml:space="preserve"> </w:t>
      </w:r>
    </w:p>
    <w:p w14:paraId="2B08DE3E">
      <w:pPr>
        <w:tabs>
          <w:tab w:val="left" w:pos="3797"/>
          <w:tab w:val="left" w:pos="3806"/>
        </w:tabs>
        <w:spacing w:after="40"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工程所在省市详细地址：</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r>
        <w:rPr>
          <w:rFonts w:hint="eastAsia" w:ascii="宋体" w:hAnsi="宋体" w:cs="宋体"/>
          <w:color w:val="000000"/>
          <w:szCs w:val="21"/>
          <w:lang w:val="zh-TW" w:eastAsia="zh-TW" w:bidi="zh-TW"/>
        </w:rPr>
        <w:t xml:space="preserve"> </w:t>
      </w:r>
    </w:p>
    <w:p w14:paraId="5CA9AFFD">
      <w:pPr>
        <w:tabs>
          <w:tab w:val="left" w:pos="3797"/>
          <w:tab w:val="left" w:pos="3806"/>
        </w:tabs>
        <w:spacing w:after="40" w:line="360" w:lineRule="auto"/>
        <w:ind w:left="240"/>
        <w:rPr>
          <w:rFonts w:hint="eastAsia" w:ascii="宋体" w:hAnsi="宋体" w:cs="宋体"/>
          <w:szCs w:val="21"/>
          <w:lang w:bidi="zh-TW"/>
        </w:rPr>
      </w:pPr>
      <w:r>
        <w:rPr>
          <w:rFonts w:hint="eastAsia" w:ascii="宋体" w:hAnsi="宋体" w:cs="宋体"/>
          <w:color w:val="000000"/>
          <w:szCs w:val="21"/>
          <w:lang w:val="zh-TW" w:eastAsia="zh-TW" w:bidi="zh-TW"/>
        </w:rPr>
        <w:t>工程承包范围：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04933C5A">
      <w:pPr>
        <w:tabs>
          <w:tab w:val="left" w:pos="598"/>
        </w:tabs>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二、工程主要生产技术（或建筑设计方案）来源</w:t>
      </w:r>
    </w:p>
    <w:p w14:paraId="465084AD">
      <w:pPr>
        <w:tabs>
          <w:tab w:val="left" w:pos="2716"/>
        </w:tabs>
        <w:spacing w:line="360" w:lineRule="auto"/>
        <w:ind w:left="210" w:leftChars="100"/>
        <w:jc w:val="left"/>
        <w:rPr>
          <w:rFonts w:hint="eastAsia" w:ascii="宋体" w:hAnsi="宋体" w:cs="宋体"/>
          <w:b/>
          <w:bCs/>
          <w:szCs w:val="21"/>
          <w:u w:val="single"/>
        </w:rPr>
      </w:pPr>
      <w:r>
        <w:rPr>
          <w:rFonts w:hint="eastAsia" w:ascii="宋体" w:hAnsi="宋体" w:cs="宋体"/>
          <w:b/>
          <w:bCs/>
          <w:szCs w:val="21"/>
          <w:u w:val="single"/>
        </w:rPr>
        <w:t xml:space="preserve">                                                              </w:t>
      </w:r>
    </w:p>
    <w:p w14:paraId="5A76F01A">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三、主要日期</w:t>
      </w:r>
    </w:p>
    <w:p w14:paraId="058B1684">
      <w:pPr>
        <w:tabs>
          <w:tab w:val="left" w:pos="3854"/>
        </w:tabs>
        <w:spacing w:after="40"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设计开工日期（绝对日期或相对日期）：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4F4BB694">
      <w:pPr>
        <w:tabs>
          <w:tab w:val="left" w:pos="3854"/>
        </w:tabs>
        <w:spacing w:after="40"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施工开工日期（绝对日期或相对日期）：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19AA8E69">
      <w:pPr>
        <w:tabs>
          <w:tab w:val="left" w:pos="3854"/>
        </w:tabs>
        <w:spacing w:after="40" w:line="360" w:lineRule="auto"/>
        <w:ind w:left="240"/>
        <w:rPr>
          <w:rFonts w:hint="eastAsia" w:ascii="宋体" w:hAnsi="宋体" w:cs="宋体"/>
          <w:szCs w:val="21"/>
          <w:lang w:val="zh-TW" w:eastAsia="zh-TW" w:bidi="zh-TW"/>
        </w:rPr>
      </w:pPr>
      <w:r>
        <w:rPr>
          <w:rFonts w:hint="eastAsia" w:ascii="宋体" w:hAnsi="宋体" w:cs="宋体"/>
          <w:color w:val="000000"/>
          <w:szCs w:val="21"/>
          <w:lang w:val="zh-TW" w:eastAsia="zh-TW" w:bidi="zh-TW"/>
        </w:rPr>
        <w:t>工程竣工日期（绝对日期或相对日期）：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AB64C62">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四、工程质量标准</w:t>
      </w:r>
    </w:p>
    <w:p w14:paraId="5F1CD796">
      <w:pPr>
        <w:tabs>
          <w:tab w:val="left" w:pos="3864"/>
        </w:tabs>
        <w:spacing w:after="40" w:line="360" w:lineRule="auto"/>
        <w:ind w:left="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工程设计质量标准：</w:t>
      </w:r>
      <w:r>
        <w:rPr>
          <w:rFonts w:hint="eastAsia" w:ascii="宋体" w:hAnsi="宋体" w:cs="宋体"/>
          <w:color w:val="000000"/>
          <w:szCs w:val="21"/>
          <w:u w:val="single"/>
          <w:lang w:val="zh-TW" w:eastAsia="zh-TW" w:bidi="zh-TW"/>
        </w:rPr>
        <w:t>满足国家及地方相应现行规范要求并通过有关主管部门审查</w:t>
      </w:r>
      <w:r>
        <w:rPr>
          <w:rFonts w:hint="eastAsia" w:ascii="宋体" w:hAnsi="宋体" w:cs="宋体"/>
          <w:szCs w:val="21"/>
          <w:u w:val="single"/>
          <w:lang w:bidi="zh-TW"/>
        </w:rPr>
        <w:t>；</w:t>
      </w:r>
    </w:p>
    <w:p w14:paraId="67BBA617">
      <w:pPr>
        <w:tabs>
          <w:tab w:val="left" w:pos="3864"/>
        </w:tabs>
        <w:spacing w:after="40" w:line="360" w:lineRule="auto"/>
        <w:ind w:left="240"/>
        <w:rPr>
          <w:rFonts w:hint="eastAsia" w:ascii="宋体" w:hAnsi="宋体" w:eastAsia="宋体" w:cs="宋体"/>
          <w:szCs w:val="21"/>
          <w:lang w:val="zh-TW" w:eastAsia="zh-CN" w:bidi="zh-TW"/>
        </w:rPr>
      </w:pPr>
      <w:r>
        <w:rPr>
          <w:rFonts w:hint="eastAsia" w:ascii="宋体" w:hAnsi="宋体" w:cs="宋体"/>
          <w:color w:val="000000"/>
          <w:szCs w:val="21"/>
          <w:lang w:val="zh-TW" w:eastAsia="zh-TW" w:bidi="zh-TW"/>
        </w:rPr>
        <w:t>工程施工质量标准：</w:t>
      </w:r>
      <w:r>
        <w:rPr>
          <w:rFonts w:hint="eastAsia" w:ascii="宋体" w:hAnsi="宋体" w:cs="宋体"/>
          <w:color w:val="000000"/>
          <w:szCs w:val="21"/>
          <w:u w:val="single"/>
          <w:lang w:val="zh-TW" w:eastAsia="zh-TW" w:bidi="zh-TW"/>
        </w:rPr>
        <w:t>达到国家现行标准规范要求，工程质量等级合格</w:t>
      </w:r>
      <w:r>
        <w:rPr>
          <w:rFonts w:hint="eastAsia" w:ascii="宋体" w:hAnsi="宋体" w:cs="宋体"/>
          <w:color w:val="000000"/>
          <w:szCs w:val="21"/>
          <w:u w:val="single"/>
          <w:lang w:val="zh-TW" w:eastAsia="zh-CN" w:bidi="zh-TW"/>
        </w:rPr>
        <w:t>。</w:t>
      </w:r>
    </w:p>
    <w:p w14:paraId="023EEB4C">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五、合同价格和付款货币</w:t>
      </w:r>
    </w:p>
    <w:p w14:paraId="607F85CC">
      <w:pPr>
        <w:tabs>
          <w:tab w:val="left" w:pos="2338"/>
          <w:tab w:val="left" w:pos="3739"/>
        </w:tabs>
        <w:spacing w:after="40" w:line="360" w:lineRule="auto"/>
        <w:ind w:firstLine="240"/>
        <w:jc w:val="left"/>
        <w:rPr>
          <w:rFonts w:hint="eastAsia" w:ascii="宋体" w:hAnsi="宋体" w:cs="宋体"/>
          <w:color w:val="000000"/>
          <w:szCs w:val="21"/>
          <w:u w:val="single"/>
          <w:lang w:val="en-US" w:eastAsia="zh-CN" w:bidi="zh-TW"/>
        </w:rPr>
      </w:pPr>
      <w:r>
        <w:rPr>
          <w:rFonts w:hint="eastAsia" w:ascii="宋体" w:hAnsi="宋体" w:cs="宋体"/>
          <w:color w:val="000000"/>
          <w:szCs w:val="21"/>
          <w:lang w:val="zh-TW" w:eastAsia="zh-TW" w:bidi="zh-TW"/>
        </w:rPr>
        <w:t>合同价格为人民币（大写）：</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元（小写金额：</w:t>
      </w:r>
      <w:r>
        <w:rPr>
          <w:rFonts w:hint="eastAsia" w:ascii="宋体" w:hAnsi="宋体" w:cs="宋体"/>
          <w:b/>
          <w:bCs/>
          <w:szCs w:val="21"/>
          <w:u w:val="single"/>
          <w:lang w:val="zh-TW" w:eastAsia="zh-TW" w:bidi="zh-TW"/>
        </w:rPr>
        <w:t xml:space="preserve"> </w:t>
      </w:r>
      <w:r>
        <w:rPr>
          <w:rFonts w:hint="eastAsia" w:ascii="宋体" w:hAnsi="宋体" w:cs="宋体"/>
          <w:b/>
          <w:bCs/>
          <w:szCs w:val="21"/>
          <w:u w:val="single"/>
          <w:lang w:bidi="zh-TW"/>
        </w:rPr>
        <w:t xml:space="preserve">     </w:t>
      </w:r>
      <w:r>
        <w:rPr>
          <w:rFonts w:hint="eastAsia" w:ascii="宋体" w:hAnsi="宋体" w:cs="宋体"/>
          <w:b/>
          <w:bCs/>
          <w:szCs w:val="21"/>
          <w:u w:val="single"/>
          <w:lang w:val="zh-TW" w:eastAsia="zh-TW" w:bidi="zh-TW"/>
        </w:rPr>
        <w:tab/>
      </w:r>
      <w:r>
        <w:rPr>
          <w:rFonts w:hint="eastAsia" w:ascii="宋体" w:hAnsi="宋体" w:cs="宋体"/>
          <w:color w:val="000000"/>
          <w:szCs w:val="21"/>
          <w:lang w:bidi="zh-TW"/>
        </w:rPr>
        <w:t>)。</w:t>
      </w:r>
      <w:r>
        <w:rPr>
          <w:rFonts w:hint="eastAsia" w:ascii="宋体" w:hAnsi="宋体" w:cs="宋体"/>
          <w:color w:val="000000"/>
          <w:szCs w:val="21"/>
          <w:lang w:eastAsia="zh-CN" w:bidi="zh-TW"/>
        </w:rPr>
        <w:t>其中：设计费</w:t>
      </w:r>
      <w:r>
        <w:rPr>
          <w:rFonts w:hint="eastAsia" w:ascii="宋体" w:hAnsi="宋体" w:cs="宋体"/>
          <w:color w:val="000000"/>
          <w:szCs w:val="21"/>
          <w:lang w:val="en-US" w:eastAsia="zh-CN" w:bidi="zh-TW"/>
        </w:rPr>
        <w:t xml:space="preserve"> </w:t>
      </w:r>
      <w:r>
        <w:rPr>
          <w:rFonts w:hint="eastAsia" w:ascii="宋体" w:hAnsi="宋体" w:cs="宋体"/>
          <w:color w:val="000000"/>
          <w:szCs w:val="21"/>
          <w:u w:val="single"/>
          <w:lang w:val="en-US" w:eastAsia="zh-CN" w:bidi="zh-TW"/>
        </w:rPr>
        <w:t xml:space="preserve">      ；</w:t>
      </w:r>
    </w:p>
    <w:p w14:paraId="73C00150">
      <w:pPr>
        <w:pStyle w:val="2"/>
        <w:rPr>
          <w:rFonts w:hint="eastAsia" w:ascii="宋体" w:hAnsi="宋体" w:eastAsia="宋体" w:cs="宋体"/>
          <w:bCs w:val="0"/>
          <w:color w:val="000000"/>
          <w:kern w:val="2"/>
          <w:sz w:val="21"/>
          <w:szCs w:val="21"/>
          <w:lang w:val="zh-TW" w:eastAsia="zh-TW" w:bidi="zh-TW"/>
        </w:rPr>
      </w:pPr>
      <w:r>
        <w:rPr>
          <w:rFonts w:hint="eastAsia" w:ascii="宋体" w:hAnsi="宋体" w:eastAsia="宋体" w:cs="宋体"/>
          <w:bCs w:val="0"/>
          <w:color w:val="000000"/>
          <w:kern w:val="2"/>
          <w:sz w:val="21"/>
          <w:szCs w:val="21"/>
          <w:lang w:val="en-US" w:eastAsia="zh-CN" w:bidi="zh-TW"/>
        </w:rPr>
        <w:t>施工费</w:t>
      </w:r>
      <w:r>
        <w:rPr>
          <w:rFonts w:hint="eastAsia" w:ascii="宋体" w:eastAsia="宋体" w:cs="宋体"/>
          <w:bCs w:val="0"/>
          <w:color w:val="000000"/>
          <w:kern w:val="2"/>
          <w:sz w:val="21"/>
          <w:szCs w:val="21"/>
          <w:u w:val="single"/>
          <w:lang w:val="en-US" w:eastAsia="zh-CN" w:bidi="zh-TW"/>
        </w:rPr>
        <w:t xml:space="preserve">        。</w:t>
      </w:r>
    </w:p>
    <w:p w14:paraId="4BC83ECA">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六、定义与解释</w:t>
      </w:r>
    </w:p>
    <w:p w14:paraId="424592A1">
      <w:pPr>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本协议书中有关词语的含义与通用条款中赋予的定义与解释相同。</w:t>
      </w:r>
    </w:p>
    <w:p w14:paraId="32913FFB">
      <w:pPr>
        <w:tabs>
          <w:tab w:val="left" w:pos="598"/>
        </w:tabs>
        <w:spacing w:after="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七、合同生效</w:t>
      </w:r>
    </w:p>
    <w:p w14:paraId="0BAC9704">
      <w:pPr>
        <w:rPr>
          <w:rFonts w:hint="eastAsia" w:ascii="宋体" w:hAnsi="宋体" w:cs="宋体"/>
          <w:szCs w:val="21"/>
          <w:u w:val="single"/>
        </w:rPr>
      </w:pPr>
      <w:r>
        <w:rPr>
          <w:rFonts w:hint="eastAsia" w:ascii="宋体" w:hAnsi="宋体" w:cs="宋体"/>
          <w:color w:val="000000"/>
          <w:szCs w:val="21"/>
        </w:rPr>
        <w:t>本合同在以下条件全部满足之后生效：</w:t>
      </w:r>
      <w:r>
        <w:rPr>
          <w:rFonts w:hint="eastAsia" w:ascii="宋体" w:hAnsi="宋体" w:cs="宋体"/>
          <w:szCs w:val="21"/>
          <w:u w:val="single"/>
        </w:rPr>
        <w:t xml:space="preserve">                          </w:t>
      </w:r>
      <w:r>
        <w:rPr>
          <w:rFonts w:hint="eastAsia" w:ascii="宋体" w:hAnsi="宋体" w:cs="宋体"/>
          <w:szCs w:val="21"/>
          <w:u w:val="single"/>
        </w:rPr>
        <w:tab/>
      </w:r>
    </w:p>
    <w:p w14:paraId="7F722B87">
      <w:pPr>
        <w:rPr>
          <w:rFonts w:hint="eastAsia" w:ascii="宋体" w:hAnsi="宋体" w:cs="宋体"/>
          <w:szCs w:val="21"/>
          <w:u w:val="single"/>
        </w:rPr>
      </w:pPr>
    </w:p>
    <w:tbl>
      <w:tblPr>
        <w:tblStyle w:val="23"/>
        <w:tblW w:w="8360" w:type="dxa"/>
        <w:tblInd w:w="0" w:type="dxa"/>
        <w:tblLayout w:type="fixed"/>
        <w:tblCellMar>
          <w:top w:w="0" w:type="dxa"/>
          <w:left w:w="10" w:type="dxa"/>
          <w:bottom w:w="0" w:type="dxa"/>
          <w:right w:w="10" w:type="dxa"/>
        </w:tblCellMar>
      </w:tblPr>
      <w:tblGrid>
        <w:gridCol w:w="4155"/>
        <w:gridCol w:w="4205"/>
      </w:tblGrid>
      <w:tr w14:paraId="69F63827">
        <w:tblPrEx>
          <w:tblCellMar>
            <w:top w:w="0" w:type="dxa"/>
            <w:left w:w="10" w:type="dxa"/>
            <w:bottom w:w="0" w:type="dxa"/>
            <w:right w:w="10" w:type="dxa"/>
          </w:tblCellMar>
        </w:tblPrEx>
        <w:trPr>
          <w:trHeight w:val="1108" w:hRule="exact"/>
        </w:trPr>
        <w:tc>
          <w:tcPr>
            <w:tcW w:w="4155" w:type="dxa"/>
            <w:shd w:val="clear" w:color="auto" w:fill="FFFFFF"/>
            <w:vAlign w:val="top"/>
          </w:tcPr>
          <w:p w14:paraId="77D22EE3">
            <w:pPr>
              <w:spacing w:after="60"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发包人：</w:t>
            </w:r>
          </w:p>
          <w:p w14:paraId="7C785777">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（公章或合同专用章）</w:t>
            </w:r>
          </w:p>
        </w:tc>
        <w:tc>
          <w:tcPr>
            <w:tcW w:w="4205" w:type="dxa"/>
            <w:shd w:val="clear" w:color="auto" w:fill="FFFFFF"/>
            <w:vAlign w:val="top"/>
          </w:tcPr>
          <w:p w14:paraId="3D39CE96">
            <w:pPr>
              <w:spacing w:after="60"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承包人</w:t>
            </w:r>
            <w:r>
              <w:rPr>
                <w:rFonts w:hint="eastAsia" w:ascii="宋体" w:hAnsi="宋体" w:cs="宋体"/>
                <w:color w:val="000000"/>
                <w:szCs w:val="21"/>
                <w:lang w:val="zh-TW" w:bidi="zh-TW"/>
              </w:rPr>
              <w:t>（联合体牵头人）</w:t>
            </w:r>
            <w:r>
              <w:rPr>
                <w:rFonts w:hint="eastAsia" w:ascii="宋体" w:hAnsi="宋体" w:cs="宋体"/>
                <w:color w:val="000000"/>
                <w:szCs w:val="21"/>
                <w:lang w:val="zh-TW" w:eastAsia="zh-TW" w:bidi="zh-TW"/>
              </w:rPr>
              <w:t>：</w:t>
            </w:r>
          </w:p>
          <w:p w14:paraId="13AFF6EE">
            <w:pPr>
              <w:spacing w:line="360" w:lineRule="auto"/>
              <w:ind w:firstLine="5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（公章或合同专用章）</w:t>
            </w:r>
          </w:p>
        </w:tc>
      </w:tr>
      <w:tr w14:paraId="67C30E51">
        <w:tblPrEx>
          <w:tblCellMar>
            <w:top w:w="0" w:type="dxa"/>
            <w:left w:w="10" w:type="dxa"/>
            <w:bottom w:w="0" w:type="dxa"/>
            <w:right w:w="10" w:type="dxa"/>
          </w:tblCellMar>
        </w:tblPrEx>
        <w:trPr>
          <w:trHeight w:val="679" w:hRule="exact"/>
        </w:trPr>
        <w:tc>
          <w:tcPr>
            <w:tcW w:w="4155" w:type="dxa"/>
            <w:shd w:val="clear" w:color="auto" w:fill="FFFFFF"/>
            <w:vAlign w:val="bottom"/>
          </w:tcPr>
          <w:p w14:paraId="5BDCF1CA">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法定代表人或其授权代表：</w:t>
            </w:r>
          </w:p>
        </w:tc>
        <w:tc>
          <w:tcPr>
            <w:tcW w:w="4205" w:type="dxa"/>
            <w:shd w:val="clear" w:color="auto" w:fill="FFFFFF"/>
            <w:vAlign w:val="bottom"/>
          </w:tcPr>
          <w:p w14:paraId="17339B92">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法定代表人或其授权代表</w:t>
            </w:r>
          </w:p>
        </w:tc>
      </w:tr>
      <w:tr w14:paraId="561897DC">
        <w:tblPrEx>
          <w:tblCellMar>
            <w:top w:w="0" w:type="dxa"/>
            <w:left w:w="10" w:type="dxa"/>
            <w:bottom w:w="0" w:type="dxa"/>
            <w:right w:w="10" w:type="dxa"/>
          </w:tblCellMar>
        </w:tblPrEx>
        <w:trPr>
          <w:trHeight w:val="679" w:hRule="exact"/>
        </w:trPr>
        <w:tc>
          <w:tcPr>
            <w:tcW w:w="4155" w:type="dxa"/>
            <w:shd w:val="clear" w:color="auto" w:fill="FFFFFF"/>
            <w:vAlign w:val="top"/>
          </w:tcPr>
          <w:p w14:paraId="32B17AEB">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（签字）</w:t>
            </w:r>
          </w:p>
        </w:tc>
        <w:tc>
          <w:tcPr>
            <w:tcW w:w="4205" w:type="dxa"/>
            <w:shd w:val="clear" w:color="auto" w:fill="FFFFFF"/>
            <w:vAlign w:val="top"/>
          </w:tcPr>
          <w:p w14:paraId="5D5FB905">
            <w:pPr>
              <w:spacing w:line="360" w:lineRule="auto"/>
              <w:ind w:firstLine="5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（签字）</w:t>
            </w:r>
          </w:p>
        </w:tc>
      </w:tr>
      <w:tr w14:paraId="5660125B">
        <w:tblPrEx>
          <w:tblCellMar>
            <w:top w:w="0" w:type="dxa"/>
            <w:left w:w="10" w:type="dxa"/>
            <w:bottom w:w="0" w:type="dxa"/>
            <w:right w:w="10" w:type="dxa"/>
          </w:tblCellMar>
        </w:tblPrEx>
        <w:trPr>
          <w:trHeight w:val="679" w:hRule="exact"/>
        </w:trPr>
        <w:tc>
          <w:tcPr>
            <w:tcW w:w="4155" w:type="dxa"/>
            <w:shd w:val="clear" w:color="auto" w:fill="FFFFFF"/>
            <w:vAlign w:val="bottom"/>
          </w:tcPr>
          <w:p w14:paraId="7D1216CF">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工商注册住所：</w:t>
            </w:r>
          </w:p>
        </w:tc>
        <w:tc>
          <w:tcPr>
            <w:tcW w:w="4205" w:type="dxa"/>
            <w:shd w:val="clear" w:color="auto" w:fill="FFFFFF"/>
            <w:vAlign w:val="bottom"/>
          </w:tcPr>
          <w:p w14:paraId="3D6CC002">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工商注册住所：</w:t>
            </w:r>
          </w:p>
        </w:tc>
      </w:tr>
      <w:tr w14:paraId="21AF9B59">
        <w:tblPrEx>
          <w:tblCellMar>
            <w:top w:w="0" w:type="dxa"/>
            <w:left w:w="10" w:type="dxa"/>
            <w:bottom w:w="0" w:type="dxa"/>
            <w:right w:w="10" w:type="dxa"/>
          </w:tblCellMar>
        </w:tblPrEx>
        <w:trPr>
          <w:trHeight w:val="461" w:hRule="exact"/>
        </w:trPr>
        <w:tc>
          <w:tcPr>
            <w:tcW w:w="4155" w:type="dxa"/>
            <w:shd w:val="clear" w:color="auto" w:fill="FFFFFF"/>
            <w:vAlign w:val="top"/>
          </w:tcPr>
          <w:p w14:paraId="380AF80C">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企业组织机构代码：</w:t>
            </w:r>
          </w:p>
        </w:tc>
        <w:tc>
          <w:tcPr>
            <w:tcW w:w="4205" w:type="dxa"/>
            <w:shd w:val="clear" w:color="auto" w:fill="FFFFFF"/>
            <w:vAlign w:val="top"/>
          </w:tcPr>
          <w:p w14:paraId="0FBC6A92">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企业组织机构代码：</w:t>
            </w:r>
          </w:p>
        </w:tc>
      </w:tr>
      <w:tr w14:paraId="3B6D01FF">
        <w:tblPrEx>
          <w:tblCellMar>
            <w:top w:w="0" w:type="dxa"/>
            <w:left w:w="10" w:type="dxa"/>
            <w:bottom w:w="0" w:type="dxa"/>
            <w:right w:w="10" w:type="dxa"/>
          </w:tblCellMar>
        </w:tblPrEx>
        <w:trPr>
          <w:trHeight w:val="448" w:hRule="exact"/>
        </w:trPr>
        <w:tc>
          <w:tcPr>
            <w:tcW w:w="4155" w:type="dxa"/>
            <w:shd w:val="clear" w:color="auto" w:fill="FFFFFF"/>
            <w:vAlign w:val="top"/>
          </w:tcPr>
          <w:p w14:paraId="2F07BBC0">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邮政编码：</w:t>
            </w:r>
          </w:p>
        </w:tc>
        <w:tc>
          <w:tcPr>
            <w:tcW w:w="4205" w:type="dxa"/>
            <w:shd w:val="clear" w:color="auto" w:fill="FFFFFF"/>
            <w:vAlign w:val="top"/>
          </w:tcPr>
          <w:p w14:paraId="503D8CDC">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邮政编码：</w:t>
            </w:r>
          </w:p>
        </w:tc>
      </w:tr>
      <w:tr w14:paraId="18DCF335">
        <w:tblPrEx>
          <w:tblCellMar>
            <w:top w:w="0" w:type="dxa"/>
            <w:left w:w="10" w:type="dxa"/>
            <w:bottom w:w="0" w:type="dxa"/>
            <w:right w:w="10" w:type="dxa"/>
          </w:tblCellMar>
        </w:tblPrEx>
        <w:trPr>
          <w:trHeight w:val="461" w:hRule="exact"/>
        </w:trPr>
        <w:tc>
          <w:tcPr>
            <w:tcW w:w="4155" w:type="dxa"/>
            <w:shd w:val="clear" w:color="auto" w:fill="FFFFFF"/>
            <w:vAlign w:val="top"/>
          </w:tcPr>
          <w:p w14:paraId="532E6D94">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法定代表人：</w:t>
            </w:r>
          </w:p>
        </w:tc>
        <w:tc>
          <w:tcPr>
            <w:tcW w:w="4205" w:type="dxa"/>
            <w:shd w:val="clear" w:color="auto" w:fill="FFFFFF"/>
            <w:vAlign w:val="top"/>
          </w:tcPr>
          <w:p w14:paraId="3507AA51">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法定代表人：</w:t>
            </w:r>
          </w:p>
        </w:tc>
      </w:tr>
      <w:tr w14:paraId="3E3FBDB6">
        <w:tblPrEx>
          <w:tblCellMar>
            <w:top w:w="0" w:type="dxa"/>
            <w:left w:w="10" w:type="dxa"/>
            <w:bottom w:w="0" w:type="dxa"/>
            <w:right w:w="10" w:type="dxa"/>
          </w:tblCellMar>
        </w:tblPrEx>
        <w:trPr>
          <w:trHeight w:val="448" w:hRule="exact"/>
        </w:trPr>
        <w:tc>
          <w:tcPr>
            <w:tcW w:w="4155" w:type="dxa"/>
            <w:shd w:val="clear" w:color="auto" w:fill="FFFFFF"/>
            <w:vAlign w:val="top"/>
          </w:tcPr>
          <w:p w14:paraId="76DD4164">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授权代表：</w:t>
            </w:r>
          </w:p>
        </w:tc>
        <w:tc>
          <w:tcPr>
            <w:tcW w:w="4205" w:type="dxa"/>
            <w:shd w:val="clear" w:color="auto" w:fill="FFFFFF"/>
            <w:vAlign w:val="top"/>
          </w:tcPr>
          <w:p w14:paraId="214295DF">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授权代表：</w:t>
            </w:r>
          </w:p>
        </w:tc>
      </w:tr>
      <w:tr w14:paraId="3790F9EA">
        <w:tblPrEx>
          <w:tblCellMar>
            <w:top w:w="0" w:type="dxa"/>
            <w:left w:w="10" w:type="dxa"/>
            <w:bottom w:w="0" w:type="dxa"/>
            <w:right w:w="10" w:type="dxa"/>
          </w:tblCellMar>
        </w:tblPrEx>
        <w:trPr>
          <w:trHeight w:val="448" w:hRule="exact"/>
        </w:trPr>
        <w:tc>
          <w:tcPr>
            <w:tcW w:w="4155" w:type="dxa"/>
            <w:shd w:val="clear" w:color="auto" w:fill="FFFFFF"/>
            <w:vAlign w:val="bottom"/>
          </w:tcPr>
          <w:p w14:paraId="584662E7">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电 话：</w:t>
            </w:r>
          </w:p>
        </w:tc>
        <w:tc>
          <w:tcPr>
            <w:tcW w:w="4205" w:type="dxa"/>
            <w:shd w:val="clear" w:color="auto" w:fill="FFFFFF"/>
            <w:vAlign w:val="bottom"/>
          </w:tcPr>
          <w:p w14:paraId="7051530D">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电 话：</w:t>
            </w:r>
          </w:p>
        </w:tc>
      </w:tr>
      <w:tr w14:paraId="0B4CDBF1">
        <w:tblPrEx>
          <w:tblCellMar>
            <w:top w:w="0" w:type="dxa"/>
            <w:left w:w="10" w:type="dxa"/>
            <w:bottom w:w="0" w:type="dxa"/>
            <w:right w:w="10" w:type="dxa"/>
          </w:tblCellMar>
        </w:tblPrEx>
        <w:trPr>
          <w:trHeight w:val="461" w:hRule="exact"/>
        </w:trPr>
        <w:tc>
          <w:tcPr>
            <w:tcW w:w="4155" w:type="dxa"/>
            <w:shd w:val="clear" w:color="auto" w:fill="FFFFFF"/>
            <w:vAlign w:val="bottom"/>
          </w:tcPr>
          <w:p w14:paraId="2FABEA1C">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传 真：</w:t>
            </w:r>
          </w:p>
        </w:tc>
        <w:tc>
          <w:tcPr>
            <w:tcW w:w="4205" w:type="dxa"/>
            <w:shd w:val="clear" w:color="auto" w:fill="FFFFFF"/>
            <w:vAlign w:val="bottom"/>
          </w:tcPr>
          <w:p w14:paraId="6D93E661">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传 真：</w:t>
            </w:r>
          </w:p>
        </w:tc>
      </w:tr>
      <w:tr w14:paraId="51C4DD29">
        <w:tblPrEx>
          <w:tblCellMar>
            <w:top w:w="0" w:type="dxa"/>
            <w:left w:w="10" w:type="dxa"/>
            <w:bottom w:w="0" w:type="dxa"/>
            <w:right w:w="10" w:type="dxa"/>
          </w:tblCellMar>
        </w:tblPrEx>
        <w:trPr>
          <w:trHeight w:val="461" w:hRule="exact"/>
        </w:trPr>
        <w:tc>
          <w:tcPr>
            <w:tcW w:w="4155" w:type="dxa"/>
            <w:shd w:val="clear" w:color="auto" w:fill="FFFFFF"/>
            <w:vAlign w:val="top"/>
          </w:tcPr>
          <w:p w14:paraId="574E81DF">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电子邮箱：</w:t>
            </w:r>
          </w:p>
        </w:tc>
        <w:tc>
          <w:tcPr>
            <w:tcW w:w="4205" w:type="dxa"/>
            <w:shd w:val="clear" w:color="auto" w:fill="FFFFFF"/>
            <w:vAlign w:val="top"/>
          </w:tcPr>
          <w:p w14:paraId="7481EFC8">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电子邮箱：</w:t>
            </w:r>
          </w:p>
        </w:tc>
      </w:tr>
      <w:tr w14:paraId="3151AA62">
        <w:tblPrEx>
          <w:tblCellMar>
            <w:top w:w="0" w:type="dxa"/>
            <w:left w:w="10" w:type="dxa"/>
            <w:bottom w:w="0" w:type="dxa"/>
            <w:right w:w="10" w:type="dxa"/>
          </w:tblCellMar>
        </w:tblPrEx>
        <w:trPr>
          <w:trHeight w:val="448" w:hRule="exact"/>
        </w:trPr>
        <w:tc>
          <w:tcPr>
            <w:tcW w:w="4155" w:type="dxa"/>
            <w:shd w:val="clear" w:color="auto" w:fill="FFFFFF"/>
            <w:vAlign w:val="top"/>
          </w:tcPr>
          <w:p w14:paraId="2A5C3588">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开户银行：</w:t>
            </w:r>
          </w:p>
        </w:tc>
        <w:tc>
          <w:tcPr>
            <w:tcW w:w="4205" w:type="dxa"/>
            <w:shd w:val="clear" w:color="auto" w:fill="FFFFFF"/>
            <w:vAlign w:val="top"/>
          </w:tcPr>
          <w:p w14:paraId="2C98AED7">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开户银行：</w:t>
            </w:r>
          </w:p>
        </w:tc>
      </w:tr>
      <w:tr w14:paraId="7EEED7DD">
        <w:tblPrEx>
          <w:tblCellMar>
            <w:top w:w="0" w:type="dxa"/>
            <w:left w:w="10" w:type="dxa"/>
            <w:bottom w:w="0" w:type="dxa"/>
            <w:right w:w="10" w:type="dxa"/>
          </w:tblCellMar>
        </w:tblPrEx>
        <w:trPr>
          <w:trHeight w:val="428" w:hRule="exact"/>
        </w:trPr>
        <w:tc>
          <w:tcPr>
            <w:tcW w:w="4155" w:type="dxa"/>
            <w:shd w:val="clear" w:color="auto" w:fill="FFFFFF"/>
            <w:vAlign w:val="bottom"/>
          </w:tcPr>
          <w:p w14:paraId="7A576C02">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账 号：</w:t>
            </w:r>
          </w:p>
        </w:tc>
        <w:tc>
          <w:tcPr>
            <w:tcW w:w="4205" w:type="dxa"/>
            <w:shd w:val="clear" w:color="auto" w:fill="FFFFFF"/>
            <w:vAlign w:val="bottom"/>
          </w:tcPr>
          <w:p w14:paraId="451BB2D7">
            <w:pPr>
              <w:spacing w:line="360" w:lineRule="auto"/>
              <w:ind w:firstLine="3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账 号：</w:t>
            </w:r>
          </w:p>
        </w:tc>
      </w:tr>
    </w:tbl>
    <w:p w14:paraId="35586EFE">
      <w:pPr>
        <w:rPr>
          <w:rFonts w:hint="eastAsia" w:ascii="宋体" w:hAnsi="宋体" w:cs="宋体"/>
          <w:szCs w:val="21"/>
          <w:u w:val="single"/>
        </w:rPr>
      </w:pPr>
    </w:p>
    <w:p w14:paraId="59552715">
      <w:pPr>
        <w:spacing w:after="239" w:line="360" w:lineRule="auto"/>
        <w:rPr>
          <w:rFonts w:hint="eastAsia" w:ascii="宋体" w:hAnsi="宋体" w:cs="宋体"/>
          <w:szCs w:val="21"/>
        </w:rPr>
      </w:pPr>
    </w:p>
    <w:tbl>
      <w:tblPr>
        <w:tblStyle w:val="23"/>
        <w:tblpPr w:leftFromText="180" w:rightFromText="180" w:vertAnchor="text" w:horzAnchor="page" w:tblpX="1702" w:tblpY="119"/>
        <w:tblW w:w="5007" w:type="dxa"/>
        <w:tblInd w:w="0" w:type="dxa"/>
        <w:tblLayout w:type="fixed"/>
        <w:tblCellMar>
          <w:top w:w="0" w:type="dxa"/>
          <w:left w:w="108" w:type="dxa"/>
          <w:bottom w:w="0" w:type="dxa"/>
          <w:right w:w="108" w:type="dxa"/>
        </w:tblCellMar>
      </w:tblPr>
      <w:tblGrid>
        <w:gridCol w:w="5007"/>
      </w:tblGrid>
      <w:tr w14:paraId="4A28863F">
        <w:tblPrEx>
          <w:tblCellMar>
            <w:top w:w="0" w:type="dxa"/>
            <w:left w:w="108" w:type="dxa"/>
            <w:bottom w:w="0" w:type="dxa"/>
            <w:right w:w="108" w:type="dxa"/>
          </w:tblCellMar>
        </w:tblPrEx>
        <w:tc>
          <w:tcPr>
            <w:tcW w:w="5007" w:type="dxa"/>
            <w:vAlign w:val="top"/>
          </w:tcPr>
          <w:p w14:paraId="2327F67A">
            <w:pPr>
              <w:spacing w:line="360" w:lineRule="auto"/>
              <w:jc w:val="left"/>
              <w:rPr>
                <w:rFonts w:hint="eastAsia" w:ascii="宋体" w:hAnsi="宋体" w:cs="宋体"/>
                <w:color w:val="000000"/>
                <w:szCs w:val="21"/>
                <w:lang w:val="zh-TW" w:bidi="zh-TW"/>
              </w:rPr>
            </w:pPr>
          </w:p>
          <w:p w14:paraId="1ACF1FF4">
            <w:pPr>
              <w:spacing w:line="360" w:lineRule="auto"/>
              <w:jc w:val="left"/>
              <w:rPr>
                <w:rFonts w:hint="eastAsia" w:ascii="宋体" w:hAnsi="宋体" w:cs="宋体"/>
                <w:color w:val="000000"/>
                <w:szCs w:val="21"/>
                <w:lang w:val="zh-TW" w:bidi="zh-TW"/>
              </w:rPr>
            </w:pPr>
          </w:p>
          <w:p w14:paraId="3257E9B4">
            <w:pPr>
              <w:spacing w:line="360" w:lineRule="auto"/>
              <w:jc w:val="left"/>
              <w:rPr>
                <w:rFonts w:hint="eastAsia" w:ascii="宋体" w:hAnsi="宋体" w:cs="宋体"/>
                <w:color w:val="000000"/>
                <w:szCs w:val="21"/>
                <w:lang w:val="zh-TW" w:bidi="zh-TW"/>
              </w:rPr>
            </w:pPr>
          </w:p>
          <w:p w14:paraId="73E060AC">
            <w:pPr>
              <w:spacing w:line="360" w:lineRule="auto"/>
              <w:jc w:val="left"/>
              <w:rPr>
                <w:rFonts w:hint="eastAsia" w:ascii="宋体" w:hAnsi="宋体" w:cs="宋体"/>
                <w:color w:val="000000"/>
                <w:szCs w:val="21"/>
                <w:lang w:val="zh-TW" w:bidi="zh-TW"/>
              </w:rPr>
            </w:pPr>
          </w:p>
          <w:p w14:paraId="21D2493D">
            <w:pPr>
              <w:spacing w:line="360" w:lineRule="auto"/>
              <w:jc w:val="left"/>
              <w:rPr>
                <w:rFonts w:hint="eastAsia" w:ascii="宋体" w:hAnsi="宋体" w:cs="宋体"/>
                <w:color w:val="000000"/>
                <w:szCs w:val="21"/>
                <w:lang w:val="zh-TW" w:bidi="zh-TW"/>
              </w:rPr>
            </w:pPr>
          </w:p>
          <w:p w14:paraId="38FF6291">
            <w:pPr>
              <w:spacing w:line="360" w:lineRule="auto"/>
              <w:jc w:val="left"/>
              <w:rPr>
                <w:rFonts w:hint="eastAsia" w:ascii="宋体" w:hAnsi="宋体" w:cs="宋体"/>
                <w:color w:val="000000"/>
                <w:szCs w:val="21"/>
                <w:lang w:val="zh-TW" w:bidi="zh-TW"/>
              </w:rPr>
            </w:pPr>
          </w:p>
          <w:p w14:paraId="6E1265CE">
            <w:pPr>
              <w:spacing w:line="360" w:lineRule="auto"/>
              <w:jc w:val="left"/>
              <w:rPr>
                <w:rFonts w:hint="eastAsia" w:ascii="宋体" w:hAnsi="宋体" w:cs="宋体"/>
                <w:color w:val="000000"/>
                <w:szCs w:val="21"/>
                <w:lang w:val="zh-TW" w:bidi="zh-TW"/>
              </w:rPr>
            </w:pPr>
          </w:p>
          <w:p w14:paraId="60370AA4">
            <w:pPr>
              <w:spacing w:line="360" w:lineRule="auto"/>
              <w:jc w:val="left"/>
              <w:rPr>
                <w:rFonts w:hint="eastAsia" w:ascii="宋体" w:hAnsi="宋体" w:cs="宋体"/>
                <w:color w:val="000000"/>
                <w:szCs w:val="21"/>
                <w:lang w:val="zh-TW" w:bidi="zh-TW"/>
              </w:rPr>
            </w:pPr>
          </w:p>
          <w:p w14:paraId="3360E6F3">
            <w:pPr>
              <w:spacing w:line="360" w:lineRule="auto"/>
              <w:jc w:val="left"/>
              <w:rPr>
                <w:rFonts w:hint="eastAsia" w:ascii="宋体" w:hAnsi="宋体" w:cs="宋体"/>
                <w:color w:val="000000"/>
                <w:szCs w:val="21"/>
                <w:lang w:val="zh-TW" w:bidi="zh-TW"/>
              </w:rPr>
            </w:pPr>
          </w:p>
          <w:p w14:paraId="7333E9EC">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联合体成员一：（公章）</w:t>
            </w:r>
          </w:p>
          <w:p w14:paraId="75073582">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 xml:space="preserve">  </w:t>
            </w:r>
          </w:p>
        </w:tc>
      </w:tr>
      <w:tr w14:paraId="10290EB2">
        <w:tblPrEx>
          <w:tblCellMar>
            <w:top w:w="0" w:type="dxa"/>
            <w:left w:w="108" w:type="dxa"/>
            <w:bottom w:w="0" w:type="dxa"/>
            <w:right w:w="108" w:type="dxa"/>
          </w:tblCellMar>
        </w:tblPrEx>
        <w:tc>
          <w:tcPr>
            <w:tcW w:w="5007" w:type="dxa"/>
            <w:vAlign w:val="top"/>
          </w:tcPr>
          <w:p w14:paraId="7B7DA19F">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法定代表人或其委托代理人：</w:t>
            </w:r>
          </w:p>
          <w:p w14:paraId="1F67DF7E">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（签字）</w:t>
            </w:r>
          </w:p>
          <w:p w14:paraId="51E42117">
            <w:pPr>
              <w:spacing w:line="360" w:lineRule="auto"/>
              <w:jc w:val="left"/>
              <w:rPr>
                <w:rFonts w:ascii="宋体" w:hAnsi="宋体" w:cs="宋体"/>
                <w:color w:val="000000"/>
                <w:szCs w:val="21"/>
                <w:lang w:val="zh-TW" w:eastAsia="zh-TW" w:bidi="zh-TW"/>
              </w:rPr>
            </w:pPr>
          </w:p>
        </w:tc>
      </w:tr>
    </w:tbl>
    <w:p w14:paraId="7BDBC9A2">
      <w:pPr>
        <w:spacing w:line="360" w:lineRule="auto"/>
        <w:jc w:val="left"/>
        <w:rPr>
          <w:rFonts w:hint="eastAsia" w:ascii="宋体" w:hAnsi="宋体" w:cs="宋体"/>
          <w:color w:val="000000"/>
          <w:szCs w:val="21"/>
          <w:lang w:val="zh-TW" w:eastAsia="zh-TW" w:bidi="zh-TW"/>
        </w:rPr>
      </w:pPr>
    </w:p>
    <w:p w14:paraId="2B443408">
      <w:pPr>
        <w:spacing w:line="360" w:lineRule="auto"/>
        <w:jc w:val="left"/>
        <w:rPr>
          <w:rFonts w:hint="eastAsia" w:ascii="宋体" w:hAnsi="宋体" w:cs="宋体"/>
          <w:color w:val="000000"/>
          <w:szCs w:val="21"/>
          <w:lang w:val="zh-TW" w:eastAsia="zh-TW" w:bidi="zh-TW"/>
        </w:rPr>
      </w:pPr>
    </w:p>
    <w:p w14:paraId="3A131161">
      <w:pPr>
        <w:spacing w:line="360" w:lineRule="auto"/>
        <w:jc w:val="left"/>
        <w:rPr>
          <w:rFonts w:hint="eastAsia" w:ascii="宋体" w:hAnsi="宋体" w:cs="宋体"/>
          <w:color w:val="000000"/>
          <w:szCs w:val="21"/>
          <w:lang w:val="zh-TW" w:eastAsia="zh-TW" w:bidi="zh-TW"/>
        </w:rPr>
      </w:pPr>
    </w:p>
    <w:tbl>
      <w:tblPr>
        <w:tblStyle w:val="23"/>
        <w:tblpPr w:leftFromText="180" w:rightFromText="180" w:vertAnchor="text" w:horzAnchor="page" w:tblpX="1702" w:tblpY="119"/>
        <w:tblW w:w="4994" w:type="dxa"/>
        <w:tblInd w:w="0" w:type="dxa"/>
        <w:tblLayout w:type="fixed"/>
        <w:tblCellMar>
          <w:top w:w="0" w:type="dxa"/>
          <w:left w:w="108" w:type="dxa"/>
          <w:bottom w:w="0" w:type="dxa"/>
          <w:right w:w="108" w:type="dxa"/>
        </w:tblCellMar>
      </w:tblPr>
      <w:tblGrid>
        <w:gridCol w:w="4994"/>
      </w:tblGrid>
      <w:tr w14:paraId="3F8111C4">
        <w:tblPrEx>
          <w:tblCellMar>
            <w:top w:w="0" w:type="dxa"/>
            <w:left w:w="108" w:type="dxa"/>
            <w:bottom w:w="0" w:type="dxa"/>
            <w:right w:w="108" w:type="dxa"/>
          </w:tblCellMar>
        </w:tblPrEx>
        <w:tc>
          <w:tcPr>
            <w:tcW w:w="4994" w:type="dxa"/>
            <w:vAlign w:val="top"/>
          </w:tcPr>
          <w:p w14:paraId="6D58E196">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 xml:space="preserve">统一社会信用代码：               </w:t>
            </w:r>
            <w:r>
              <w:rPr>
                <w:rFonts w:ascii="宋体" w:hAnsi="宋体" w:cs="宋体"/>
                <w:color w:val="000000"/>
                <w:szCs w:val="21"/>
                <w:lang w:val="zh-TW" w:eastAsia="zh-TW" w:bidi="zh-TW"/>
              </w:rPr>
              <w:t xml:space="preserve">  </w:t>
            </w:r>
          </w:p>
          <w:p w14:paraId="68A5BA2A">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地址：</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011638C5">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邮政编码：</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2C66EB7E">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法定代表人：</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68C7F27F">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委托代理人：</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6F97F6EF">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电话：</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00411E16">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传真：</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4BAD81D8">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电子信箱：</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6CBBACBD">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开户银行：</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p w14:paraId="18EB1A8A">
            <w:pPr>
              <w:spacing w:line="360" w:lineRule="auto"/>
              <w:jc w:val="left"/>
              <w:rPr>
                <w:rFonts w:ascii="宋体" w:hAnsi="宋体" w:cs="宋体"/>
                <w:color w:val="000000"/>
                <w:szCs w:val="21"/>
                <w:lang w:val="zh-TW" w:eastAsia="zh-TW" w:bidi="zh-TW"/>
              </w:rPr>
            </w:pPr>
            <w:r>
              <w:rPr>
                <w:rFonts w:hint="eastAsia" w:ascii="宋体" w:hAnsi="宋体" w:cs="宋体"/>
                <w:color w:val="000000"/>
                <w:szCs w:val="21"/>
                <w:lang w:val="zh-TW" w:eastAsia="zh-TW" w:bidi="zh-TW"/>
              </w:rPr>
              <w:t>账号：</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p>
        </w:tc>
      </w:tr>
    </w:tbl>
    <w:p w14:paraId="7E2A3D68">
      <w:pPr>
        <w:ind w:firstLine="4410" w:firstLineChars="2100"/>
        <w:rPr>
          <w:rFonts w:hint="eastAsia" w:ascii="宋体" w:hAnsi="宋体" w:cs="宋体"/>
          <w:color w:val="000000"/>
          <w:szCs w:val="21"/>
        </w:rPr>
      </w:pPr>
      <w:r>
        <w:rPr>
          <w:rFonts w:hint="eastAsia" w:ascii="宋体" w:hAnsi="宋体" w:cs="宋体"/>
          <w:color w:val="000000"/>
          <w:szCs w:val="21"/>
        </w:rPr>
        <w:t>合</w:t>
      </w:r>
    </w:p>
    <w:p w14:paraId="136CD0D3">
      <w:pPr>
        <w:ind w:firstLine="4410" w:firstLineChars="2100"/>
        <w:rPr>
          <w:rFonts w:hint="eastAsia" w:ascii="宋体" w:hAnsi="宋体" w:cs="宋体"/>
          <w:color w:val="000000"/>
          <w:szCs w:val="21"/>
        </w:rPr>
      </w:pPr>
    </w:p>
    <w:p w14:paraId="58F8A248">
      <w:pPr>
        <w:ind w:firstLine="4410" w:firstLineChars="2100"/>
        <w:rPr>
          <w:rFonts w:hint="eastAsia" w:ascii="宋体" w:hAnsi="宋体" w:cs="宋体"/>
          <w:color w:val="000000"/>
          <w:szCs w:val="21"/>
        </w:rPr>
      </w:pPr>
    </w:p>
    <w:p w14:paraId="79DA4F1D">
      <w:pPr>
        <w:ind w:firstLine="4410" w:firstLineChars="2100"/>
        <w:rPr>
          <w:rFonts w:hint="eastAsia" w:ascii="宋体" w:hAnsi="宋体" w:cs="宋体"/>
          <w:color w:val="000000"/>
          <w:szCs w:val="21"/>
        </w:rPr>
      </w:pPr>
    </w:p>
    <w:p w14:paraId="1A3A4A0C">
      <w:pPr>
        <w:ind w:firstLine="4410" w:firstLineChars="2100"/>
        <w:rPr>
          <w:rFonts w:hint="eastAsia" w:ascii="宋体" w:hAnsi="宋体" w:cs="宋体"/>
          <w:color w:val="000000"/>
          <w:szCs w:val="21"/>
        </w:rPr>
      </w:pPr>
    </w:p>
    <w:p w14:paraId="609D1A4B">
      <w:pPr>
        <w:ind w:firstLine="4410" w:firstLineChars="2100"/>
        <w:rPr>
          <w:rFonts w:hint="eastAsia" w:ascii="宋体" w:hAnsi="宋体" w:cs="宋体"/>
          <w:color w:val="000000"/>
          <w:szCs w:val="21"/>
        </w:rPr>
      </w:pPr>
    </w:p>
    <w:p w14:paraId="67021F67">
      <w:pPr>
        <w:ind w:firstLine="4410" w:firstLineChars="2100"/>
        <w:rPr>
          <w:rFonts w:hint="eastAsia" w:ascii="宋体" w:hAnsi="宋体" w:cs="宋体"/>
          <w:color w:val="000000"/>
          <w:szCs w:val="21"/>
        </w:rPr>
      </w:pPr>
    </w:p>
    <w:p w14:paraId="4FCEA7E1">
      <w:pPr>
        <w:ind w:firstLine="4410" w:firstLineChars="2100"/>
        <w:rPr>
          <w:rFonts w:hint="eastAsia" w:ascii="宋体" w:hAnsi="宋体" w:cs="宋体"/>
          <w:color w:val="000000"/>
          <w:szCs w:val="21"/>
        </w:rPr>
      </w:pPr>
    </w:p>
    <w:p w14:paraId="7F56E794">
      <w:pPr>
        <w:ind w:firstLine="4410" w:firstLineChars="2100"/>
        <w:rPr>
          <w:rFonts w:hint="eastAsia" w:ascii="宋体" w:hAnsi="宋体" w:cs="宋体"/>
          <w:color w:val="000000"/>
          <w:szCs w:val="21"/>
        </w:rPr>
      </w:pPr>
    </w:p>
    <w:p w14:paraId="3B40494C">
      <w:pPr>
        <w:ind w:firstLine="4410" w:firstLineChars="2100"/>
        <w:rPr>
          <w:rFonts w:hint="eastAsia" w:ascii="宋体" w:hAnsi="宋体" w:cs="宋体"/>
          <w:color w:val="000000"/>
          <w:szCs w:val="21"/>
        </w:rPr>
      </w:pPr>
    </w:p>
    <w:p w14:paraId="5B3FE601">
      <w:pPr>
        <w:ind w:firstLine="4410" w:firstLineChars="2100"/>
        <w:rPr>
          <w:rFonts w:hint="eastAsia" w:ascii="宋体" w:hAnsi="宋体" w:cs="宋体"/>
          <w:color w:val="000000"/>
          <w:szCs w:val="21"/>
        </w:rPr>
      </w:pPr>
    </w:p>
    <w:p w14:paraId="25BBF326">
      <w:pPr>
        <w:ind w:firstLine="4410" w:firstLineChars="2100"/>
        <w:rPr>
          <w:rFonts w:hint="eastAsia" w:ascii="宋体" w:hAnsi="宋体" w:cs="宋体"/>
          <w:color w:val="000000"/>
          <w:szCs w:val="21"/>
        </w:rPr>
      </w:pPr>
    </w:p>
    <w:p w14:paraId="376174B4">
      <w:pPr>
        <w:ind w:firstLine="4410" w:firstLineChars="2100"/>
        <w:rPr>
          <w:rFonts w:hint="eastAsia" w:ascii="宋体" w:hAnsi="宋体" w:cs="宋体"/>
          <w:color w:val="000000"/>
          <w:szCs w:val="21"/>
        </w:rPr>
      </w:pPr>
    </w:p>
    <w:p w14:paraId="26866AB7">
      <w:pPr>
        <w:ind w:firstLine="4410" w:firstLineChars="2100"/>
        <w:rPr>
          <w:rFonts w:hint="eastAsia" w:ascii="宋体" w:hAnsi="宋体" w:cs="宋体"/>
          <w:color w:val="000000"/>
          <w:szCs w:val="21"/>
        </w:rPr>
      </w:pPr>
    </w:p>
    <w:p w14:paraId="43E9203C">
      <w:pPr>
        <w:ind w:firstLine="4410" w:firstLineChars="2100"/>
        <w:rPr>
          <w:rFonts w:hint="eastAsia" w:ascii="宋体" w:hAnsi="宋体" w:cs="宋体"/>
          <w:color w:val="000000"/>
          <w:szCs w:val="21"/>
        </w:rPr>
      </w:pPr>
    </w:p>
    <w:p w14:paraId="0C1CCD1B">
      <w:pPr>
        <w:ind w:firstLine="4410" w:firstLineChars="2100"/>
        <w:rPr>
          <w:rFonts w:hint="eastAsia" w:ascii="宋体" w:hAnsi="宋体" w:cs="宋体"/>
          <w:color w:val="000000"/>
          <w:szCs w:val="21"/>
        </w:rPr>
      </w:pPr>
    </w:p>
    <w:p w14:paraId="1789C37B">
      <w:pPr>
        <w:ind w:firstLine="4410" w:firstLineChars="2100"/>
        <w:rPr>
          <w:rFonts w:hint="eastAsia" w:ascii="宋体" w:hAnsi="宋体" w:cs="宋体"/>
          <w:color w:val="000000"/>
          <w:szCs w:val="21"/>
        </w:rPr>
      </w:pPr>
      <w:r>
        <w:rPr>
          <w:rFonts w:hint="eastAsia" w:ascii="宋体" w:hAnsi="宋体" w:cs="宋体"/>
          <w:color w:val="000000"/>
          <w:szCs w:val="21"/>
        </w:rPr>
        <w:t>同订立时间：</w:t>
      </w:r>
      <w:r>
        <w:rPr>
          <w:rFonts w:hint="eastAsia" w:ascii="宋体" w:hAnsi="宋体" w:cs="宋体"/>
          <w:szCs w:val="21"/>
          <w:u w:val="single"/>
        </w:rPr>
        <w:t xml:space="preserve"> </w:t>
      </w:r>
      <w:r>
        <w:rPr>
          <w:rFonts w:hint="eastAsia" w:ascii="宋体" w:hAnsi="宋体" w:cs="宋体"/>
          <w:szCs w:val="21"/>
          <w:u w:val="single"/>
        </w:rPr>
        <w:tab/>
      </w:r>
      <w:r>
        <w:rPr>
          <w:rFonts w:hint="eastAsia" w:ascii="宋体" w:hAnsi="宋体" w:cs="宋体"/>
          <w:color w:val="000000"/>
          <w:szCs w:val="21"/>
        </w:rPr>
        <w:t>年</w:t>
      </w:r>
      <w:r>
        <w:rPr>
          <w:rFonts w:hint="eastAsia" w:ascii="宋体" w:hAnsi="宋体" w:cs="宋体"/>
          <w:color w:val="000000"/>
          <w:szCs w:val="21"/>
          <w:u w:val="single"/>
        </w:rPr>
        <w:t xml:space="preserve">   </w:t>
      </w:r>
      <w:r>
        <w:rPr>
          <w:rFonts w:hint="eastAsia" w:ascii="宋体" w:hAnsi="宋体" w:cs="宋体"/>
          <w:color w:val="000000"/>
          <w:szCs w:val="21"/>
        </w:rPr>
        <w:t>月</w:t>
      </w:r>
      <w:r>
        <w:rPr>
          <w:rFonts w:hint="eastAsia" w:ascii="宋体" w:hAnsi="宋体" w:cs="宋体"/>
          <w:color w:val="000000"/>
          <w:szCs w:val="21"/>
          <w:u w:val="single"/>
        </w:rPr>
        <w:t xml:space="preserve">    </w:t>
      </w:r>
      <w:r>
        <w:rPr>
          <w:rFonts w:hint="eastAsia" w:ascii="宋体" w:hAnsi="宋体" w:cs="宋体"/>
          <w:color w:val="000000"/>
          <w:szCs w:val="21"/>
        </w:rPr>
        <w:t>日</w:t>
      </w:r>
    </w:p>
    <w:p w14:paraId="3E409CFB">
      <w:pPr>
        <w:ind w:firstLine="3360" w:firstLineChars="1600"/>
        <w:rPr>
          <w:rFonts w:hint="eastAsia" w:ascii="宋体" w:hAnsi="宋体" w:cs="宋体"/>
          <w:color w:val="000000"/>
          <w:szCs w:val="21"/>
        </w:rPr>
      </w:pPr>
      <w:r>
        <w:rPr>
          <w:rFonts w:hint="eastAsia" w:ascii="宋体" w:hAnsi="宋体" w:cs="宋体"/>
          <w:color w:val="000000"/>
          <w:szCs w:val="21"/>
        </w:rPr>
        <w:br w:type="page"/>
      </w:r>
    </w:p>
    <w:p w14:paraId="7B12478D">
      <w:pPr>
        <w:keepNext/>
        <w:keepLines/>
        <w:spacing w:after="180" w:line="360" w:lineRule="auto"/>
        <w:jc w:val="center"/>
        <w:outlineLvl w:val="0"/>
        <w:rPr>
          <w:rFonts w:hint="eastAsia" w:ascii="宋体" w:hAnsi="宋体" w:cs="宋体"/>
          <w:b/>
          <w:bCs/>
          <w:color w:val="000000"/>
          <w:sz w:val="28"/>
          <w:szCs w:val="28"/>
          <w:lang w:val="zh-TW" w:eastAsia="zh-TW" w:bidi="zh-TW"/>
        </w:rPr>
      </w:pPr>
      <w:r>
        <w:rPr>
          <w:rFonts w:hint="eastAsia" w:ascii="宋体" w:hAnsi="宋体" w:cs="宋体"/>
          <w:b/>
          <w:bCs/>
          <w:color w:val="000000"/>
          <w:sz w:val="28"/>
          <w:szCs w:val="28"/>
          <w:lang w:val="zh-TW" w:eastAsia="zh-TW" w:bidi="zh-TW"/>
        </w:rPr>
        <w:t>第二部分</w:t>
      </w:r>
      <w:r>
        <w:rPr>
          <w:rFonts w:hint="eastAsia" w:ascii="宋体" w:hAnsi="宋体" w:cs="宋体"/>
          <w:b/>
          <w:bCs/>
          <w:color w:val="000000"/>
          <w:sz w:val="28"/>
          <w:szCs w:val="28"/>
          <w:lang w:bidi="zh-TW"/>
        </w:rPr>
        <w:t xml:space="preserve"> </w:t>
      </w:r>
      <w:r>
        <w:rPr>
          <w:rFonts w:hint="eastAsia" w:ascii="宋体" w:hAnsi="宋体" w:cs="宋体"/>
          <w:b/>
          <w:bCs/>
          <w:color w:val="000000"/>
          <w:sz w:val="28"/>
          <w:szCs w:val="28"/>
          <w:lang w:val="zh-TW" w:eastAsia="zh-TW" w:bidi="zh-TW"/>
        </w:rPr>
        <w:t>通用条款</w:t>
      </w:r>
    </w:p>
    <w:p w14:paraId="71BA05F9">
      <w:pPr>
        <w:keepNext/>
        <w:keepLines/>
        <w:spacing w:after="100" w:line="360" w:lineRule="auto"/>
        <w:ind w:firstLine="220"/>
        <w:outlineLvl w:val="1"/>
        <w:rPr>
          <w:rFonts w:hint="eastAsia" w:ascii="宋体" w:hAnsi="宋体" w:cs="宋体"/>
          <w:b/>
          <w:bCs/>
          <w:szCs w:val="21"/>
          <w:lang w:val="zh-TW" w:eastAsia="zh-TW" w:bidi="zh-TW"/>
        </w:rPr>
      </w:pPr>
      <w:r>
        <w:rPr>
          <w:rFonts w:hint="eastAsia" w:ascii="宋体" w:hAnsi="宋体" w:cs="宋体"/>
          <w:b/>
          <w:bCs/>
          <w:color w:val="000000"/>
          <w:szCs w:val="21"/>
          <w:lang w:val="zh-TW" w:eastAsia="zh-TW" w:bidi="zh-TW"/>
        </w:rPr>
        <w:t>第1条一般规定</w:t>
      </w:r>
    </w:p>
    <w:p w14:paraId="2C68754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en-US" w:bidi="en-US"/>
        </w:rPr>
        <w:t>1.1</w:t>
      </w:r>
      <w:r>
        <w:rPr>
          <w:rFonts w:hint="eastAsia" w:ascii="宋体" w:hAnsi="宋体" w:cs="宋体"/>
          <w:color w:val="000000"/>
          <w:szCs w:val="21"/>
          <w:lang w:val="zh-TW" w:eastAsia="zh-TW" w:bidi="zh-TW"/>
        </w:rPr>
        <w:t>定义与解释</w:t>
      </w:r>
    </w:p>
    <w:p w14:paraId="348C60D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w:t>
      </w:r>
      <w:r>
        <w:rPr>
          <w:rFonts w:hint="eastAsia" w:ascii="宋体" w:hAnsi="宋体" w:cs="宋体"/>
          <w:color w:val="000000"/>
          <w:szCs w:val="21"/>
          <w:lang w:val="zh-TW" w:eastAsia="zh-TW" w:bidi="zh-TW"/>
        </w:rPr>
        <w:t>合同，指由第</w:t>
      </w:r>
      <w:r>
        <w:rPr>
          <w:rFonts w:hint="eastAsia" w:ascii="宋体" w:hAnsi="宋体" w:cs="宋体"/>
          <w:b/>
          <w:bCs/>
          <w:color w:val="000000"/>
          <w:szCs w:val="21"/>
          <w:lang w:bidi="en-US"/>
        </w:rPr>
        <w:t>1.2.1</w:t>
      </w:r>
      <w:r>
        <w:rPr>
          <w:rFonts w:hint="eastAsia" w:ascii="宋体" w:hAnsi="宋体" w:cs="宋体"/>
          <w:color w:val="000000"/>
          <w:szCs w:val="21"/>
          <w:lang w:val="zh-TW" w:eastAsia="zh-TW" w:bidi="zh-TW"/>
        </w:rPr>
        <w:t>项所述的各项文件所构成的整体。</w:t>
      </w:r>
    </w:p>
    <w:p w14:paraId="1627C0C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w:t>
      </w:r>
      <w:r>
        <w:rPr>
          <w:rFonts w:hint="eastAsia" w:ascii="宋体" w:hAnsi="宋体" w:cs="宋体"/>
          <w:color w:val="000000"/>
          <w:szCs w:val="21"/>
          <w:lang w:val="zh-TW" w:eastAsia="zh-TW" w:bidi="zh-TW"/>
        </w:rPr>
        <w:t>通用条款，指合同当事人在履行工程总承包合同过程中依法所遵守的 一般性条款，由本文件第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条至第</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条组成。</w:t>
      </w:r>
    </w:p>
    <w:p w14:paraId="0069B07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w:t>
      </w:r>
      <w:r>
        <w:rPr>
          <w:rFonts w:hint="eastAsia" w:ascii="宋体" w:hAnsi="宋体" w:cs="宋体"/>
          <w:color w:val="000000"/>
          <w:szCs w:val="21"/>
          <w:lang w:val="zh-TW" w:eastAsia="zh-TW" w:bidi="zh-TW"/>
        </w:rPr>
        <w:t>专用条款，指合同当事人根据工程总承包项目的具体情况，对通用条 款进行细化、完善、补充、修改或另行约定，并同意共同遵守的条款。</w:t>
      </w:r>
    </w:p>
    <w:p w14:paraId="630D0FA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w:t>
      </w:r>
      <w:r>
        <w:rPr>
          <w:rFonts w:hint="eastAsia" w:ascii="宋体" w:hAnsi="宋体" w:cs="宋体"/>
          <w:color w:val="000000"/>
          <w:szCs w:val="21"/>
          <w:lang w:val="zh-TW" w:eastAsia="zh-TW" w:bidi="zh-TW"/>
        </w:rPr>
        <w:t>工程总承包，指承包人受发包人委托，按照合同约定对工程建设项目 的设计、釆购、施工（含竣工试验）、试运行等阶段实行全过程或若干阶段的工程承包。</w:t>
      </w:r>
    </w:p>
    <w:p w14:paraId="65C9D64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1.1.5</w:t>
      </w:r>
      <w:r>
        <w:rPr>
          <w:rFonts w:hint="eastAsia" w:ascii="宋体" w:hAnsi="宋体" w:cs="宋体"/>
          <w:color w:val="000000"/>
          <w:szCs w:val="21"/>
          <w:lang w:val="zh-TW" w:eastAsia="zh-TW" w:bidi="zh-TW"/>
        </w:rPr>
        <w:t>发包人，指在合同协议书中约定的，具有项目发包主体资格和支付工程价款能力的当事人或取得该当事人资格的合法继承人。</w:t>
      </w:r>
    </w:p>
    <w:p w14:paraId="3527EBF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1.1.6</w:t>
      </w:r>
      <w:r>
        <w:rPr>
          <w:rFonts w:hint="eastAsia" w:ascii="宋体" w:hAnsi="宋体" w:cs="宋体"/>
          <w:color w:val="000000"/>
          <w:szCs w:val="21"/>
          <w:lang w:val="zh-TW" w:eastAsia="zh-TW" w:bidi="zh-TW"/>
        </w:rPr>
        <w:t>承包人，指在合同协议书中约定的，被发包人接受的具有工程总承包主体资格的当事人，包括其合法继承人。</w:t>
      </w:r>
    </w:p>
    <w:p w14:paraId="534E250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1.1.7</w:t>
      </w:r>
      <w:r>
        <w:rPr>
          <w:rFonts w:hint="eastAsia" w:ascii="宋体" w:hAnsi="宋体" w:cs="宋体"/>
          <w:color w:val="000000"/>
          <w:szCs w:val="21"/>
          <w:lang w:val="zh-TW" w:eastAsia="zh-TW" w:bidi="zh-TW"/>
        </w:rPr>
        <w:t>联合体，指经发包人同意由两个或两个以上法人或者其他组织组成的，作为工程承包人的临时机构，联合体各方向发包人承担连带责任。联合体各方应指定其中一方作为牵头人。</w:t>
      </w:r>
    </w:p>
    <w:p w14:paraId="6151A23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1.1.8</w:t>
      </w:r>
      <w:r>
        <w:rPr>
          <w:rFonts w:hint="eastAsia" w:ascii="宋体" w:hAnsi="宋体" w:cs="宋体"/>
          <w:color w:val="000000"/>
          <w:szCs w:val="21"/>
          <w:lang w:val="zh-TW" w:eastAsia="zh-TW" w:bidi="zh-TW"/>
        </w:rPr>
        <w:t>分包人，指接受承包人根据合同约定对外分包的部分工程或服务的、 具有相应资格的法人或其他组织。</w:t>
      </w:r>
    </w:p>
    <w:p w14:paraId="2626A50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1.1.9</w:t>
      </w:r>
      <w:r>
        <w:rPr>
          <w:rFonts w:hint="eastAsia" w:ascii="宋体" w:hAnsi="宋体" w:cs="宋体"/>
          <w:color w:val="000000"/>
          <w:szCs w:val="21"/>
          <w:lang w:val="zh-TW" w:eastAsia="zh-TW" w:bidi="zh-TW"/>
        </w:rPr>
        <w:t>发包人代表，指发包人指定的履行本合同的代表。</w:t>
      </w:r>
    </w:p>
    <w:p w14:paraId="56B7BC5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1.1.10</w:t>
      </w:r>
      <w:r>
        <w:rPr>
          <w:rFonts w:hint="eastAsia" w:ascii="宋体" w:hAnsi="宋体" w:cs="宋体"/>
          <w:color w:val="000000"/>
          <w:szCs w:val="21"/>
          <w:lang w:val="zh-TW" w:eastAsia="zh-TW" w:bidi="zh-TW"/>
        </w:rPr>
        <w:t>监理人，指发包人委托的具有相应资质的工程监理单位。</w:t>
      </w:r>
    </w:p>
    <w:p w14:paraId="7B739E1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1.1.11</w:t>
      </w:r>
      <w:r>
        <w:rPr>
          <w:rFonts w:hint="eastAsia" w:ascii="宋体" w:hAnsi="宋体" w:cs="宋体"/>
          <w:color w:val="000000"/>
          <w:szCs w:val="21"/>
          <w:lang w:val="zh-TW" w:eastAsia="zh-TW" w:bidi="zh-TW"/>
        </w:rPr>
        <w:t>工程总监，指由监理人授权、负责履行监理合同的总监理工程师。</w:t>
      </w:r>
    </w:p>
    <w:p w14:paraId="3A85224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1.1.12</w:t>
      </w:r>
      <w:r>
        <w:rPr>
          <w:rFonts w:hint="eastAsia" w:ascii="宋体" w:hAnsi="宋体" w:cs="宋体"/>
          <w:color w:val="000000"/>
          <w:szCs w:val="21"/>
          <w:lang w:val="zh-TW" w:eastAsia="zh-TW" w:bidi="zh-TW"/>
        </w:rPr>
        <w:t>项目经理，指承包人按照合同约定任命的负责履行合同的代表。</w:t>
      </w:r>
    </w:p>
    <w:p w14:paraId="2434430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1.1.13</w:t>
      </w:r>
      <w:r>
        <w:rPr>
          <w:rFonts w:hint="eastAsia" w:ascii="宋体" w:hAnsi="宋体" w:cs="宋体"/>
          <w:color w:val="000000"/>
          <w:szCs w:val="21"/>
          <w:lang w:val="zh-TW" w:eastAsia="zh-TW" w:bidi="zh-TW"/>
        </w:rPr>
        <w:t>工程，指永久性工程和（或）临时性工程。</w:t>
      </w:r>
    </w:p>
    <w:p w14:paraId="312B0FF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1.1.14</w:t>
      </w:r>
      <w:r>
        <w:rPr>
          <w:rFonts w:hint="eastAsia" w:ascii="宋体" w:hAnsi="宋体" w:cs="宋体"/>
          <w:color w:val="000000"/>
          <w:szCs w:val="21"/>
          <w:lang w:val="zh-TW" w:eastAsia="zh-TW" w:bidi="zh-TW"/>
        </w:rPr>
        <w:t>永久性工程，指承包人根据合同约定，进行设计、釆购、施工、竣 工试验、竣工后试验和试运行考核并交付发包人进行生产操作或使用的工程。</w:t>
      </w:r>
    </w:p>
    <w:p w14:paraId="385C388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1.1.15</w:t>
      </w:r>
      <w:r>
        <w:rPr>
          <w:rFonts w:hint="eastAsia" w:ascii="宋体" w:hAnsi="宋体" w:cs="宋体"/>
          <w:color w:val="000000"/>
          <w:szCs w:val="21"/>
          <w:lang w:val="zh-TW" w:eastAsia="zh-TW" w:bidi="zh-TW"/>
        </w:rPr>
        <w:t>单项工程，指专用条件中列明的具有某项独立功能的工程单元，是永久性工程的组成部分。</w:t>
      </w:r>
    </w:p>
    <w:p w14:paraId="1632F52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1.1.16</w:t>
      </w:r>
      <w:r>
        <w:rPr>
          <w:rFonts w:hint="eastAsia" w:ascii="宋体" w:hAnsi="宋体" w:cs="宋体"/>
          <w:color w:val="000000"/>
          <w:szCs w:val="21"/>
          <w:lang w:val="zh-TW" w:eastAsia="zh-TW" w:bidi="zh-TW"/>
        </w:rPr>
        <w:t>临时性工程，指为实施、完成永久性工程及修补任何质量缺陷，在现场所需搭建的临时建筑物、构筑物，以及不构成永久性工程实体的其它临时设施。</w:t>
      </w:r>
    </w:p>
    <w:p w14:paraId="6F7F71E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1.1.17</w:t>
      </w:r>
      <w:r>
        <w:rPr>
          <w:rFonts w:hint="eastAsia" w:ascii="宋体" w:hAnsi="宋体" w:cs="宋体"/>
          <w:color w:val="000000"/>
          <w:szCs w:val="21"/>
          <w:lang w:val="zh-TW" w:eastAsia="zh-TW" w:bidi="zh-TW"/>
        </w:rPr>
        <w:t>现场或场地，指合同约定的由发包人提供的用于承包人现场办公, 工程物资、机具设施存放和工程实施的任何地点。</w:t>
      </w:r>
    </w:p>
    <w:p w14:paraId="331B0E7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1.1.18</w:t>
      </w:r>
      <w:r>
        <w:rPr>
          <w:rFonts w:hint="eastAsia" w:ascii="宋体" w:hAnsi="宋体" w:cs="宋体"/>
          <w:color w:val="000000"/>
          <w:szCs w:val="21"/>
          <w:lang w:val="zh-TW" w:eastAsia="zh-TW" w:bidi="zh-TW"/>
        </w:rPr>
        <w:t>项目基础资料，指发包人提供给承包人的经有关部门对项目批准或 核准的文件、报告（如选厂报告、资源报告、勘察报告等）、资料（如气象、水 文、地质等）、协议（如原料、燃料、水、电、气、运输等）和有关数据等，以 及设计所需的其它基础资料。</w:t>
      </w:r>
    </w:p>
    <w:p w14:paraId="5C3EC48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1.1.19</w:t>
      </w:r>
      <w:r>
        <w:rPr>
          <w:rFonts w:hint="eastAsia" w:ascii="宋体" w:hAnsi="宋体" w:cs="宋体"/>
          <w:color w:val="000000"/>
          <w:szCs w:val="21"/>
          <w:lang w:val="zh-TW" w:eastAsia="zh-TW" w:bidi="zh-TW"/>
        </w:rPr>
        <w:t>现场障碍资料，指发包人需向承包人提供的进行工程设计、现场施 工所需的地上和地下已有的建筑物、构筑物、线缆、管道、受保护的古建筑、古 树木等坐标方位、数据和其它相关资料。</w:t>
      </w:r>
    </w:p>
    <w:p w14:paraId="2EE9465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1.1.20</w:t>
      </w:r>
      <w:r>
        <w:rPr>
          <w:rFonts w:hint="eastAsia" w:ascii="宋体" w:hAnsi="宋体" w:cs="宋体"/>
          <w:color w:val="000000"/>
          <w:szCs w:val="21"/>
          <w:lang w:val="zh-TW" w:eastAsia="zh-TW" w:bidi="zh-TW"/>
        </w:rPr>
        <w:t>设计阶段，指规划设计、总体设计、初步设计、技术设计和施工图设计等阶段。设计阶段的组成，视项目情况而定。</w:t>
      </w:r>
    </w:p>
    <w:p w14:paraId="24E9863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1.1.21</w:t>
      </w:r>
      <w:r>
        <w:rPr>
          <w:rFonts w:hint="eastAsia" w:ascii="宋体" w:hAnsi="宋体" w:cs="宋体"/>
          <w:color w:val="000000"/>
          <w:szCs w:val="21"/>
          <w:lang w:val="zh-TW" w:eastAsia="zh-TW" w:bidi="zh-TW"/>
        </w:rPr>
        <w:t>工程物资，指设计文件规定的将构成永久性工程实体的设备、材料和部件，以及进行竣工试验和竣工后试验所需的材料等。</w:t>
      </w:r>
    </w:p>
    <w:p w14:paraId="11964C3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1.1.22</w:t>
      </w:r>
      <w:r>
        <w:rPr>
          <w:rFonts w:hint="eastAsia" w:ascii="宋体" w:hAnsi="宋体" w:cs="宋体"/>
          <w:color w:val="000000"/>
          <w:szCs w:val="21"/>
          <w:lang w:val="zh-TW" w:eastAsia="zh-TW" w:bidi="zh-TW"/>
        </w:rPr>
        <w:t>施工，指承包人把设计文件转化为永久性工程的过程，包括土建、 安装和竣工试验等作业。</w:t>
      </w:r>
    </w:p>
    <w:p w14:paraId="1DE0ADD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1.1.23</w:t>
      </w:r>
      <w:r>
        <w:rPr>
          <w:rFonts w:hint="eastAsia" w:ascii="宋体" w:hAnsi="宋体" w:cs="宋体"/>
          <w:color w:val="000000"/>
          <w:szCs w:val="21"/>
          <w:lang w:val="zh-TW" w:eastAsia="zh-TW" w:bidi="zh-TW"/>
        </w:rPr>
        <w:t>竣工试验，指工程或（和）单项工程被发包人接收前，应由承包人负责进行的机械、设备、部件、线缆和管道等性能试验。</w:t>
      </w:r>
    </w:p>
    <w:p w14:paraId="27DC6F5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1.1.24</w:t>
      </w:r>
      <w:r>
        <w:rPr>
          <w:rFonts w:hint="eastAsia" w:ascii="宋体" w:hAnsi="宋体" w:cs="宋体"/>
          <w:color w:val="000000"/>
          <w:szCs w:val="21"/>
          <w:lang w:val="zh-TW" w:eastAsia="zh-TW" w:bidi="zh-TW"/>
        </w:rPr>
        <w:t>变更，指在不改变工程功能和规模的情况下，发包人书面通知或书面批准的，对工程所作的任何更改。</w:t>
      </w:r>
    </w:p>
    <w:p w14:paraId="4A47668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1.1.25</w:t>
      </w:r>
      <w:r>
        <w:rPr>
          <w:rFonts w:hint="eastAsia" w:ascii="宋体" w:hAnsi="宋体" w:cs="宋体"/>
          <w:color w:val="000000"/>
          <w:szCs w:val="21"/>
          <w:lang w:val="zh-TW" w:eastAsia="zh-TW" w:bidi="zh-TW"/>
        </w:rPr>
        <w:t>施工竣工，指工程已按合同约定和设计要求完成土建、安装，并通 过竣工试验。</w:t>
      </w:r>
    </w:p>
    <w:p w14:paraId="428E768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1.1.26</w:t>
      </w:r>
      <w:r>
        <w:rPr>
          <w:rFonts w:hint="eastAsia" w:ascii="宋体" w:hAnsi="宋体" w:cs="宋体"/>
          <w:color w:val="000000"/>
          <w:szCs w:val="21"/>
          <w:lang w:val="zh-TW" w:eastAsia="zh-TW" w:bidi="zh-TW"/>
        </w:rPr>
        <w:t>工程接收，指工程或（和）单项工程通过竣工试验后，为使发包人 的操作人员、使用人员进入岗位进行竣工后试验、试运行准备，由承包人与发包 人进行工程交接，并由发包人颁发接收证书的过程。</w:t>
      </w:r>
    </w:p>
    <w:p w14:paraId="28E224F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1.1.27</w:t>
      </w:r>
      <w:r>
        <w:rPr>
          <w:rFonts w:hint="eastAsia" w:ascii="宋体" w:hAnsi="宋体" w:cs="宋体"/>
          <w:color w:val="000000"/>
          <w:szCs w:val="21"/>
          <w:lang w:val="zh-TW" w:eastAsia="zh-TW" w:bidi="zh-TW"/>
        </w:rPr>
        <w:t>竣工后试验，指工程被发包人接收后，按合同约定由发包人自行或在发包人组织领导下由承包人指导进行的工程的生产或（和）使用功能试验。</w:t>
      </w:r>
    </w:p>
    <w:p w14:paraId="2483C52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1.1.28</w:t>
      </w:r>
      <w:r>
        <w:rPr>
          <w:rFonts w:hint="eastAsia" w:ascii="宋体" w:hAnsi="宋体" w:cs="宋体"/>
          <w:color w:val="000000"/>
          <w:szCs w:val="21"/>
          <w:lang w:val="zh-TW" w:eastAsia="zh-TW" w:bidi="zh-TW"/>
        </w:rPr>
        <w:t>试运行考核，指根据合同约定，在工程完成竣工试验后，由发包人自 行或在发包人的组织领导下由承包人指导进行的包括合同目标考核验收在内的 全部试验。</w:t>
      </w:r>
    </w:p>
    <w:p w14:paraId="23AFA45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1.1.29</w:t>
      </w:r>
      <w:r>
        <w:rPr>
          <w:rFonts w:hint="eastAsia" w:ascii="宋体" w:hAnsi="宋体" w:cs="宋体"/>
          <w:color w:val="000000"/>
          <w:szCs w:val="21"/>
          <w:lang w:val="zh-TW" w:eastAsia="zh-TW" w:bidi="zh-TW"/>
        </w:rPr>
        <w:t>考核验收证书，指试运行考核的全部试验完成并通过验收后，由发包人签发的验收证书。</w:t>
      </w:r>
    </w:p>
    <w:p w14:paraId="6DAFFA6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1.1.30</w:t>
      </w:r>
      <w:r>
        <w:rPr>
          <w:rFonts w:hint="eastAsia" w:ascii="宋体" w:hAnsi="宋体" w:cs="宋体"/>
          <w:color w:val="000000"/>
          <w:szCs w:val="21"/>
          <w:lang w:val="zh-TW" w:eastAsia="zh-TW" w:bidi="zh-TW"/>
        </w:rPr>
        <w:t>工程竣工验收，指承包人接到考核验收证书、完成扫尾工程和缺陷修复，并按合同约定提交竣工验收报告、竣工资料、竣工结算资料，由发包人组 织的工程结算与验收。</w:t>
      </w:r>
    </w:p>
    <w:p w14:paraId="3808C68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1.1.31</w:t>
      </w:r>
      <w:r>
        <w:rPr>
          <w:rFonts w:hint="eastAsia" w:ascii="宋体" w:hAnsi="宋体" w:cs="宋体"/>
          <w:color w:val="000000"/>
          <w:szCs w:val="21"/>
          <w:lang w:val="zh-TW" w:eastAsia="zh-TW" w:bidi="zh-TW"/>
        </w:rPr>
        <w:t>合同期限，指从合同生效之日起，至双方在合同下的义务履行完毕 之日止的期间。</w:t>
      </w:r>
    </w:p>
    <w:p w14:paraId="069291E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1.1.32</w:t>
      </w:r>
      <w:r>
        <w:rPr>
          <w:rFonts w:hint="eastAsia" w:ascii="宋体" w:hAnsi="宋体" w:cs="宋体"/>
          <w:color w:val="000000"/>
          <w:szCs w:val="21"/>
          <w:lang w:val="zh-TW" w:eastAsia="zh-TW" w:bidi="zh-TW"/>
        </w:rPr>
        <w:t>基准日期，指递交投标文件截止日期之前</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日的日期。</w:t>
      </w:r>
    </w:p>
    <w:p w14:paraId="6E1844D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1.1.33</w:t>
      </w:r>
      <w:r>
        <w:rPr>
          <w:rFonts w:hint="eastAsia" w:ascii="宋体" w:hAnsi="宋体" w:cs="宋体"/>
          <w:color w:val="000000"/>
          <w:szCs w:val="21"/>
          <w:lang w:val="zh-TW" w:eastAsia="zh-TW" w:bidi="zh-TW"/>
        </w:rPr>
        <w:t>项目进度计划，指自合同生效之日起，按合同约定的工程全部实施 阶段（包括设计、釆购、施工、竣工试验、工程接收、竣工后试验至试运行考核 等阶段）或若干实施阶段的时间计划安排。</w:t>
      </w:r>
    </w:p>
    <w:p w14:paraId="29AA30A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1.1.34</w:t>
      </w:r>
      <w:r>
        <w:rPr>
          <w:rFonts w:hint="eastAsia" w:ascii="宋体" w:hAnsi="宋体" w:cs="宋体"/>
          <w:color w:val="000000"/>
          <w:szCs w:val="21"/>
          <w:lang w:val="zh-TW" w:eastAsia="zh-TW" w:bidi="zh-TW"/>
        </w:rPr>
        <w:t>施工开工日期，指合同协议书中约定的，承包人开始现场施工的绝 对日期或相对日期。</w:t>
      </w:r>
    </w:p>
    <w:p w14:paraId="20F6234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1.1.35</w:t>
      </w:r>
      <w:r>
        <w:rPr>
          <w:rFonts w:hint="eastAsia" w:ascii="宋体" w:hAnsi="宋体" w:cs="宋体"/>
          <w:color w:val="000000"/>
          <w:szCs w:val="21"/>
          <w:lang w:val="zh-TW" w:eastAsia="zh-TW" w:bidi="zh-TW"/>
        </w:rPr>
        <w:t>竣工日期，指合同协议书中约定的，由承包人完成工程施工（含竣 工试验）的绝对日期或相对日期，包括合同约定的任何延长日期。</w:t>
      </w:r>
    </w:p>
    <w:p w14:paraId="201E619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1.1.36</w:t>
      </w:r>
      <w:r>
        <w:rPr>
          <w:rFonts w:hint="eastAsia" w:ascii="宋体" w:hAnsi="宋体" w:cs="宋体"/>
          <w:color w:val="000000"/>
          <w:szCs w:val="21"/>
          <w:lang w:val="zh-TW" w:eastAsia="zh-TW" w:bidi="zh-TW"/>
        </w:rPr>
        <w:t>绝对日期，指以公历年、月、日所表明的具体期限。</w:t>
      </w:r>
    </w:p>
    <w:p w14:paraId="5C61691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1.1.37</w:t>
      </w:r>
      <w:r>
        <w:rPr>
          <w:rFonts w:hint="eastAsia" w:ascii="宋体" w:hAnsi="宋体" w:cs="宋体"/>
          <w:color w:val="000000"/>
          <w:szCs w:val="21"/>
          <w:lang w:val="zh-TW" w:eastAsia="zh-TW" w:bidi="zh-TW"/>
        </w:rPr>
        <w:t>相对日期，指以公历夭数表明的具体期限。</w:t>
      </w:r>
    </w:p>
    <w:p w14:paraId="655CBD4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1.1.38</w:t>
      </w:r>
      <w:r>
        <w:rPr>
          <w:rFonts w:hint="eastAsia" w:ascii="宋体" w:hAnsi="宋体" w:cs="宋体"/>
          <w:color w:val="000000"/>
          <w:szCs w:val="21"/>
          <w:lang w:val="zh-TW" w:eastAsia="zh-TW" w:bidi="zh-TW"/>
        </w:rPr>
        <w:t>关键路径，指项目进度计划中直接影响到竣工日期的时间计划线路。 该关键路径由合同双方在讨论项目进度计划时商定。</w:t>
      </w:r>
    </w:p>
    <w:p w14:paraId="40D6130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1.1.39</w:t>
      </w:r>
      <w:r>
        <w:rPr>
          <w:rFonts w:hint="eastAsia" w:ascii="宋体" w:hAnsi="宋体" w:cs="宋体"/>
          <w:color w:val="000000"/>
          <w:szCs w:val="21"/>
          <w:lang w:val="zh-TW" w:eastAsia="zh-TW" w:bidi="zh-TW"/>
        </w:rPr>
        <w:t>日、月、年，指公历的日、月、年。本合同中所使用的任何期间的 起点均指相应事件发生之日的下一日。如果任何时间的起算是以某一期间届满为 条件，则起算点为该期间届满之日的下一日。任何期间的到期日均为该期间届满之日的当日。</w:t>
      </w:r>
    </w:p>
    <w:p w14:paraId="564BB1E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1.1.40</w:t>
      </w:r>
      <w:r>
        <w:rPr>
          <w:rFonts w:hint="eastAsia" w:ascii="宋体" w:hAnsi="宋体" w:cs="宋体"/>
          <w:color w:val="000000"/>
          <w:szCs w:val="21"/>
          <w:lang w:val="zh-TW" w:eastAsia="zh-TW" w:bidi="zh-TW"/>
        </w:rPr>
        <w:t>工作日，指除中国法定节假日之外的其它公历日。</w:t>
      </w:r>
    </w:p>
    <w:p w14:paraId="43B8072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1.1.41</w:t>
      </w:r>
      <w:r>
        <w:rPr>
          <w:rFonts w:hint="eastAsia" w:ascii="宋体" w:hAnsi="宋体" w:cs="宋体"/>
          <w:color w:val="000000"/>
          <w:szCs w:val="21"/>
          <w:lang w:val="zh-TW" w:eastAsia="zh-TW" w:bidi="zh-TW"/>
        </w:rPr>
        <w:t>合同价格，指合同协议书中约定的、承包人进行设计、釆购、施工、竣工试验、竣工后试验、试运行考核和服务等工作的价款。</w:t>
      </w:r>
    </w:p>
    <w:p w14:paraId="1312247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1.1.42</w:t>
      </w:r>
      <w:r>
        <w:rPr>
          <w:rFonts w:hint="eastAsia" w:ascii="宋体" w:hAnsi="宋体" w:cs="宋体"/>
          <w:color w:val="000000"/>
          <w:szCs w:val="21"/>
          <w:lang w:val="zh-TW" w:eastAsia="zh-TW" w:bidi="zh-TW"/>
        </w:rPr>
        <w:t>合同价格调整，指依据法律及合同约定需要增减的费用而对合同价格进行的相应调整。</w:t>
      </w:r>
    </w:p>
    <w:p w14:paraId="21B9F20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1.1.43</w:t>
      </w:r>
      <w:r>
        <w:rPr>
          <w:rFonts w:hint="eastAsia" w:ascii="宋体" w:hAnsi="宋体" w:cs="宋体"/>
          <w:color w:val="000000"/>
          <w:szCs w:val="21"/>
          <w:lang w:val="zh-TW" w:eastAsia="zh-TW" w:bidi="zh-TW"/>
        </w:rPr>
        <w:t>合同总价，指根据合同约定，经调整后的合同结算价格。</w:t>
      </w:r>
    </w:p>
    <w:p w14:paraId="0EA84E4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1.1.44</w:t>
      </w:r>
      <w:r>
        <w:rPr>
          <w:rFonts w:hint="eastAsia" w:ascii="宋体" w:hAnsi="宋体" w:cs="宋体"/>
          <w:color w:val="000000"/>
          <w:szCs w:val="21"/>
          <w:lang w:val="zh-TW" w:eastAsia="zh-TW" w:bidi="zh-TW"/>
        </w:rPr>
        <w:t>预付款，指根据合同约定，由发包人预先支付给承包人的款项。</w:t>
      </w:r>
    </w:p>
    <w:p w14:paraId="53D42D6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1.1.45</w:t>
      </w:r>
      <w:r>
        <w:rPr>
          <w:rFonts w:hint="eastAsia" w:ascii="宋体" w:hAnsi="宋体" w:cs="宋体"/>
          <w:color w:val="000000"/>
          <w:szCs w:val="21"/>
          <w:lang w:val="zh-TW" w:eastAsia="zh-TW" w:bidi="zh-TW"/>
        </w:rPr>
        <w:t>工程进度款，指发包人根据合同约定的支付内容、支付条件，分期 向承包人支付的设计、釆购、施工和竣工试验的进度款，竣工后试验和试运行考 核的服务费以及工程总承包管理费等款项。</w:t>
      </w:r>
    </w:p>
    <w:p w14:paraId="3D414B1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1.1.46</w:t>
      </w:r>
      <w:r>
        <w:rPr>
          <w:rFonts w:hint="eastAsia" w:ascii="宋体" w:hAnsi="宋体" w:cs="宋体"/>
          <w:color w:val="000000"/>
          <w:szCs w:val="21"/>
          <w:lang w:val="zh-TW" w:eastAsia="zh-TW" w:bidi="zh-TW"/>
        </w:rPr>
        <w:t>工程质量保修责任书，指依据有关质量保修的法律规定，发包人与承包人就工程质量保修相关事宜所签订的协议。</w:t>
      </w:r>
    </w:p>
    <w:p w14:paraId="06321CE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1.1.47</w:t>
      </w:r>
      <w:r>
        <w:rPr>
          <w:rFonts w:hint="eastAsia" w:ascii="宋体" w:hAnsi="宋体" w:cs="宋体"/>
          <w:color w:val="000000"/>
          <w:szCs w:val="21"/>
          <w:lang w:val="zh-TW" w:eastAsia="zh-TW" w:bidi="zh-TW"/>
        </w:rPr>
        <w:t>缺陷责任保修金，指按合同约定发包人从工程进度款中暂时扣除的， 作为承包人在施工过程及缺陷责任期内履行缺陷责任担保的金额。</w:t>
      </w:r>
    </w:p>
    <w:p w14:paraId="54A6DCB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1.1.48</w:t>
      </w:r>
      <w:r>
        <w:rPr>
          <w:rFonts w:hint="eastAsia" w:ascii="宋体" w:hAnsi="宋体" w:cs="宋体"/>
          <w:color w:val="000000"/>
          <w:szCs w:val="21"/>
          <w:lang w:val="zh-TW" w:eastAsia="zh-TW" w:bidi="zh-TW"/>
        </w:rPr>
        <w:t>缺陷责任期，指承包人按合同约定承担缺陷保修责任的期间，一般应为</w:t>
      </w:r>
      <w:r>
        <w:rPr>
          <w:rFonts w:hint="eastAsia" w:ascii="宋体" w:hAnsi="宋体" w:cs="宋体"/>
          <w:b/>
          <w:bCs/>
          <w:color w:val="000000"/>
          <w:szCs w:val="21"/>
          <w:lang w:val="zh-TW" w:eastAsia="zh-TW" w:bidi="zh-TW"/>
        </w:rPr>
        <w:t>12</w:t>
      </w:r>
      <w:r>
        <w:rPr>
          <w:rFonts w:hint="eastAsia" w:ascii="宋体" w:hAnsi="宋体" w:cs="宋体"/>
          <w:color w:val="000000"/>
          <w:szCs w:val="21"/>
          <w:lang w:val="zh-TW" w:eastAsia="zh-TW" w:bidi="zh-TW"/>
        </w:rPr>
        <w:t>个月。因缺陷责任的延长，最长不超过</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个月。具体期限在专用条款约 定。</w:t>
      </w:r>
    </w:p>
    <w:p w14:paraId="3271836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1.1.49</w:t>
      </w:r>
      <w:r>
        <w:rPr>
          <w:rFonts w:hint="eastAsia" w:ascii="宋体" w:hAnsi="宋体" w:cs="宋体"/>
          <w:color w:val="000000"/>
          <w:szCs w:val="21"/>
          <w:lang w:val="zh-TW" w:eastAsia="zh-TW" w:bidi="zh-TW"/>
        </w:rPr>
        <w:t>书面形式，指合同书、信件和数据电文等可以有形地表现所载内容的形式。数据电文包括：电传、传真、电子数据交换和电子邮件等。</w:t>
      </w:r>
    </w:p>
    <w:p w14:paraId="35533F8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1.1.50</w:t>
      </w:r>
      <w:r>
        <w:rPr>
          <w:rFonts w:hint="eastAsia" w:ascii="宋体" w:hAnsi="宋体" w:cs="宋体"/>
          <w:color w:val="000000"/>
          <w:szCs w:val="21"/>
          <w:lang w:val="zh-TW" w:eastAsia="zh-TW" w:bidi="zh-TW"/>
        </w:rPr>
        <w:t>违约责任，指合同一方不履行合同义务或履行合同义务不符合合同约定所须承担的责任。</w:t>
      </w:r>
    </w:p>
    <w:p w14:paraId="49C1E5F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1.1.51</w:t>
      </w:r>
      <w:r>
        <w:rPr>
          <w:rFonts w:hint="eastAsia" w:ascii="宋体" w:hAnsi="宋体" w:cs="宋体"/>
          <w:color w:val="000000"/>
          <w:szCs w:val="21"/>
          <w:lang w:val="zh-TW" w:eastAsia="zh-TW" w:bidi="zh-TW"/>
        </w:rPr>
        <w:t>不可抗力，指不能预见、不能避免并不能克服的客观情况，具体情 形由双方在专用条款中约定。</w:t>
      </w:r>
    </w:p>
    <w:p w14:paraId="5E5BA27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1.1.52</w:t>
      </w:r>
      <w:r>
        <w:rPr>
          <w:rFonts w:hint="eastAsia" w:ascii="宋体" w:hAnsi="宋体" w:cs="宋体"/>
          <w:color w:val="000000"/>
          <w:szCs w:val="21"/>
          <w:lang w:val="zh-TW" w:eastAsia="zh-TW" w:bidi="zh-TW"/>
        </w:rPr>
        <w:t>根据本合同工程的特点，需补充约定的其它定义，在专用条款中约定。</w:t>
      </w:r>
    </w:p>
    <w:p w14:paraId="3AEB42C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w:t>
      </w:r>
      <w:r>
        <w:rPr>
          <w:rFonts w:hint="eastAsia" w:ascii="宋体" w:hAnsi="宋体" w:cs="宋体"/>
          <w:color w:val="000000"/>
          <w:szCs w:val="21"/>
          <w:lang w:val="zh-TW" w:eastAsia="zh-TW" w:bidi="zh-TW"/>
        </w:rPr>
        <w:t>合同文件</w:t>
      </w:r>
    </w:p>
    <w:p w14:paraId="2A79867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1.2.1</w:t>
      </w:r>
      <w:r>
        <w:rPr>
          <w:rFonts w:hint="eastAsia" w:ascii="宋体" w:hAnsi="宋体" w:cs="宋体"/>
          <w:color w:val="000000"/>
          <w:szCs w:val="21"/>
          <w:lang w:val="zh-TW" w:eastAsia="zh-TW" w:bidi="zh-TW"/>
        </w:rPr>
        <w:t>合同文件的组成。合同文件相互解释，互为说明。除专用条款另有约定外，组成本合同的文件及优先解释顺序如下：</w:t>
      </w:r>
    </w:p>
    <w:p w14:paraId="72A07E04">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本合同协议书</w:t>
      </w:r>
    </w:p>
    <w:p w14:paraId="75E0848A">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本合同专用条款</w:t>
      </w:r>
    </w:p>
    <w:p w14:paraId="62D7F202">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中标通知书</w:t>
      </w:r>
    </w:p>
    <w:p w14:paraId="22C348E4">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招投标文件及其附件</w:t>
      </w:r>
    </w:p>
    <w:p w14:paraId="4F344BBD">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本合同通用条款</w:t>
      </w:r>
    </w:p>
    <w:p w14:paraId="65456ADB">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合同附件</w:t>
      </w:r>
    </w:p>
    <w:p w14:paraId="30026FC9">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7</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标准、规范及有关技术文件</w:t>
      </w:r>
    </w:p>
    <w:p w14:paraId="302E6F19">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8</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设计文件、资料和图纸</w:t>
      </w:r>
    </w:p>
    <w:p w14:paraId="38288607">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9</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双方约定构成合同组成部分的其它文件</w:t>
      </w:r>
    </w:p>
    <w:p w14:paraId="1C850E1A">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双方在履行合同过程中形成的双方授权代表签署的会议纪要、备忘录、补充 文件、变更和洽商等书面形式的文件构成本合同的组成部分。</w:t>
      </w:r>
    </w:p>
    <w:p w14:paraId="4D4E289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1.2.2</w:t>
      </w:r>
      <w:r>
        <w:rPr>
          <w:rFonts w:hint="eastAsia" w:ascii="宋体" w:hAnsi="宋体" w:cs="宋体"/>
          <w:color w:val="000000"/>
          <w:szCs w:val="21"/>
          <w:lang w:val="zh-TW" w:eastAsia="zh-TW" w:bidi="zh-TW"/>
        </w:rPr>
        <w:t>当合同文件的条款内容含糊不清或不相一致，并且不能依据合同约定 的解释顺序阐述清楚时，在不影响工程正常进行的情况下，由当事人协商解决。 当事人经协商未能达成一致，根据</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款关于争议和裁决的约定解决。</w:t>
      </w:r>
    </w:p>
    <w:p w14:paraId="0449ECF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1.2.3</w:t>
      </w:r>
      <w:r>
        <w:rPr>
          <w:rFonts w:hint="eastAsia" w:ascii="宋体" w:hAnsi="宋体" w:cs="宋体"/>
          <w:color w:val="000000"/>
          <w:szCs w:val="21"/>
          <w:lang w:val="zh-TW" w:eastAsia="zh-TW" w:bidi="zh-TW"/>
        </w:rPr>
        <w:t>合同中的条款标题仅为阅读方便，不作为对合同条款解释的依据。</w:t>
      </w:r>
    </w:p>
    <w:p w14:paraId="3B795B3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w:t>
      </w:r>
      <w:r>
        <w:rPr>
          <w:rFonts w:hint="eastAsia" w:ascii="宋体" w:hAnsi="宋体" w:cs="宋体"/>
          <w:color w:val="000000"/>
          <w:szCs w:val="21"/>
          <w:lang w:val="zh-TW" w:eastAsia="zh-TW" w:bidi="zh-TW"/>
        </w:rPr>
        <w:t>语言文字</w:t>
      </w:r>
    </w:p>
    <w:p w14:paraId="5B02CCF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合同文件以中国的汉语简体语言文字编写、解释和说明。合同当事人在专用条款约定使用两种及以上语言时，汉语为优先解释和说明本合同的主导语言。</w:t>
      </w:r>
    </w:p>
    <w:p w14:paraId="15C6F09D">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在少数民族地区，当事人可以约定使用少数民族语言编写、解释和说明本合同文件。</w:t>
      </w:r>
    </w:p>
    <w:p w14:paraId="4778567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w:t>
      </w:r>
      <w:r>
        <w:rPr>
          <w:rFonts w:hint="eastAsia" w:ascii="宋体" w:hAnsi="宋体" w:cs="宋体"/>
          <w:color w:val="000000"/>
          <w:szCs w:val="21"/>
          <w:lang w:val="zh-TW" w:eastAsia="zh-TW" w:bidi="zh-TW"/>
        </w:rPr>
        <w:t>适用法律</w:t>
      </w:r>
    </w:p>
    <w:p w14:paraId="077F8FD2">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本合同遵循中华人民共和国法律，指中华人民共和国法律、行政法规、部门规章以及工程所在地的地方法规、自治条例、单行条例和地方政府规章。需要明 示的国家和地方的具体适用法律的名称在专用条款中约定。</w:t>
      </w:r>
    </w:p>
    <w:p w14:paraId="3685E1B3">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在基准日期之后，因法律变化导致承包人的费用增加的，发包人应合理增加合同价格；如果因法律变化导致关键路径工期延误的，应合理延长工期。</w:t>
      </w:r>
    </w:p>
    <w:p w14:paraId="362AB830">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w:t>
      </w:r>
      <w:r>
        <w:rPr>
          <w:rFonts w:hint="eastAsia" w:ascii="宋体" w:hAnsi="宋体" w:cs="宋体"/>
          <w:color w:val="000000"/>
          <w:szCs w:val="21"/>
          <w:lang w:val="zh-TW" w:eastAsia="zh-TW" w:bidi="zh-TW"/>
        </w:rPr>
        <w:t>标准、规范</w:t>
      </w:r>
    </w:p>
    <w:p w14:paraId="2401FD6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w:t>
      </w:r>
      <w:r>
        <w:rPr>
          <w:rFonts w:hint="eastAsia" w:ascii="宋体" w:hAnsi="宋体" w:cs="宋体"/>
          <w:color w:val="000000"/>
          <w:szCs w:val="21"/>
          <w:lang w:val="zh-TW" w:eastAsia="zh-TW" w:bidi="zh-TW"/>
        </w:rPr>
        <w:t>适用于本工程的国家标准规范、和（或）行业标准规范、和（或）工程所在地方的标准规范、和（或）企业标准规范的名称（或编号），在专用条款中约定。</w:t>
      </w:r>
    </w:p>
    <w:p w14:paraId="589FE97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1.5.2</w:t>
      </w:r>
      <w:r>
        <w:rPr>
          <w:rFonts w:hint="eastAsia" w:ascii="宋体" w:hAnsi="宋体" w:cs="宋体"/>
          <w:color w:val="000000"/>
          <w:szCs w:val="21"/>
          <w:lang w:val="zh-TW" w:eastAsia="zh-TW" w:bidi="zh-TW"/>
        </w:rPr>
        <w:t>发包人使用国外标准、规范的，负责提供原文版本和中文译本，并在专用条款中约定提供的标准、规范的名称、份数和时间。</w:t>
      </w:r>
    </w:p>
    <w:p w14:paraId="574E62C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1.5.3</w:t>
      </w:r>
      <w:r>
        <w:rPr>
          <w:rFonts w:hint="eastAsia" w:ascii="宋体" w:hAnsi="宋体" w:cs="宋体"/>
          <w:color w:val="000000"/>
          <w:szCs w:val="21"/>
          <w:lang w:val="zh-TW" w:eastAsia="zh-TW" w:bidi="zh-TW"/>
        </w:rPr>
        <w:t>没有相应成文规定的标准、规范时，由发包人在专用条款中约定的时 间向承包人列明技术要求，承包人按约定的时间和技术要求提出实施方法，经发包人认可后执行。承包人需要对实施方法进行研发试验的，或须对施工人员进行 特殊培训的，除合同价格已包含此项费用外，双方应另行签订协议作为本合同附件，其费用由发包人承担。</w:t>
      </w:r>
    </w:p>
    <w:p w14:paraId="5F0371D3">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1.5.4</w:t>
      </w:r>
      <w:r>
        <w:rPr>
          <w:rFonts w:hint="eastAsia" w:ascii="宋体" w:hAnsi="宋体" w:cs="宋体"/>
          <w:color w:val="000000"/>
          <w:szCs w:val="21"/>
          <w:lang w:val="zh-TW" w:eastAsia="zh-TW" w:bidi="zh-TW"/>
        </w:rPr>
        <w:t>在基准日期之后，因国家颁布新的强制性规范、标准导致承包人的费用增加的，发包人应合理增加合同价格；导致关键路径工期延误的，发包人应合理延长工期。</w:t>
      </w:r>
    </w:p>
    <w:p w14:paraId="54B71C8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w:t>
      </w:r>
      <w:r>
        <w:rPr>
          <w:rFonts w:hint="eastAsia" w:ascii="宋体" w:hAnsi="宋体" w:cs="宋体"/>
          <w:color w:val="000000"/>
          <w:szCs w:val="21"/>
          <w:lang w:val="zh-TW" w:eastAsia="zh-TW" w:bidi="zh-TW"/>
        </w:rPr>
        <w:t>保密事项</w:t>
      </w:r>
    </w:p>
    <w:p w14:paraId="25514B54">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 技术秘密等保密信息给另一方造成损失的，应承担损害赔偿责任。当事人为履行合同所需要的信息，另一方应予以提供。当事人认为必要时，可签订保密协议， 作为合同附件。</w:t>
      </w:r>
    </w:p>
    <w:p w14:paraId="50D03AC4">
      <w:pPr>
        <w:keepNext/>
        <w:keepLines/>
        <w:spacing w:after="100" w:line="360" w:lineRule="auto"/>
        <w:ind w:firstLine="220"/>
        <w:outlineLvl w:val="1"/>
        <w:rPr>
          <w:rFonts w:hint="eastAsia" w:ascii="宋体" w:hAnsi="宋体" w:cs="宋体"/>
          <w:b/>
          <w:bCs/>
          <w:color w:val="000000"/>
          <w:szCs w:val="21"/>
          <w:lang w:val="zh-TW" w:eastAsia="zh-TW" w:bidi="zh-TW"/>
        </w:rPr>
      </w:pPr>
      <w:r>
        <w:rPr>
          <w:rFonts w:hint="eastAsia" w:ascii="宋体" w:hAnsi="宋体" w:cs="宋体"/>
          <w:b/>
          <w:bCs/>
          <w:color w:val="000000"/>
          <w:szCs w:val="21"/>
          <w:lang w:val="zh-TW" w:eastAsia="zh-TW" w:bidi="zh-TW"/>
        </w:rPr>
        <w:t>第2条发包人</w:t>
      </w:r>
    </w:p>
    <w:p w14:paraId="54009F3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w:t>
      </w:r>
      <w:r>
        <w:rPr>
          <w:rFonts w:hint="eastAsia" w:ascii="宋体" w:hAnsi="宋体" w:cs="宋体"/>
          <w:color w:val="000000"/>
          <w:szCs w:val="21"/>
          <w:lang w:val="zh-TW" w:eastAsia="zh-TW" w:bidi="zh-TW"/>
        </w:rPr>
        <w:t>发包人的主要权利和义务</w:t>
      </w:r>
    </w:p>
    <w:p w14:paraId="00437CB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2.1.1</w:t>
      </w:r>
      <w:r>
        <w:rPr>
          <w:rFonts w:hint="eastAsia" w:ascii="宋体" w:hAnsi="宋体" w:cs="宋体"/>
          <w:color w:val="000000"/>
          <w:szCs w:val="21"/>
          <w:lang w:val="zh-TW" w:eastAsia="zh-TW" w:bidi="zh-TW"/>
        </w:rPr>
        <w:t>负责办理项目的审批、核准或备案手续，取得项目用地的使用权，完成拆迁补偿工作，使项目具备法律规定的及合同约定的开工条件，并提供立项文件。</w:t>
      </w:r>
    </w:p>
    <w:p w14:paraId="0097D1F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2.1.2</w:t>
      </w:r>
      <w:r>
        <w:rPr>
          <w:rFonts w:hint="eastAsia" w:ascii="宋体" w:hAnsi="宋体" w:cs="宋体"/>
          <w:color w:val="000000"/>
          <w:szCs w:val="21"/>
          <w:lang w:val="zh-TW" w:eastAsia="zh-TW" w:bidi="zh-TW"/>
        </w:rPr>
        <w:t>履行合同中约定的合同价格调整、付款、竣工结算义务。</w:t>
      </w:r>
    </w:p>
    <w:p w14:paraId="630E9DF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2.1.3</w:t>
      </w:r>
      <w:r>
        <w:rPr>
          <w:rFonts w:hint="eastAsia" w:ascii="宋体" w:hAnsi="宋体" w:cs="宋体"/>
          <w:color w:val="000000"/>
          <w:szCs w:val="21"/>
          <w:lang w:val="zh-TW" w:eastAsia="zh-TW" w:bidi="zh-TW"/>
        </w:rPr>
        <w:t>有权按照合同约定和适用法律关于安全、质量、环境保护和职业健康 等强制性标准、规范的规定，对承包人的设计、釆购、施工、竣工试验等实施工 作提出建议、修改和变更，但不得违反国家强制性标准、规范的规定。</w:t>
      </w:r>
    </w:p>
    <w:p w14:paraId="305133D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2.1.4</w:t>
      </w:r>
      <w:r>
        <w:rPr>
          <w:rFonts w:hint="eastAsia" w:ascii="宋体" w:hAnsi="宋体" w:cs="宋体"/>
          <w:color w:val="000000"/>
          <w:szCs w:val="21"/>
          <w:lang w:val="zh-TW" w:eastAsia="zh-TW" w:bidi="zh-TW"/>
        </w:rPr>
        <w:t>有权根据合同约定，对因承包人原因给发包人带来的任何损失和损害，提出赔偿。</w:t>
      </w:r>
    </w:p>
    <w:p w14:paraId="6DD1C07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2.1.5</w:t>
      </w:r>
      <w:r>
        <w:rPr>
          <w:rFonts w:hint="eastAsia" w:ascii="宋体" w:hAnsi="宋体" w:cs="宋体"/>
          <w:color w:val="000000"/>
          <w:szCs w:val="21"/>
          <w:lang w:val="zh-TW" w:eastAsia="zh-TW" w:bidi="zh-TW"/>
        </w:rPr>
        <w:t>发包人认为必要时，有权以书面形式发出暂停通知。其中，因发包人 原因造成的暂停，给承包人造成的费用增加由发包人承担，造成关键路径延误的， 竣工日期相应顺延。</w:t>
      </w:r>
    </w:p>
    <w:p w14:paraId="24685A2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2.2</w:t>
      </w:r>
      <w:r>
        <w:rPr>
          <w:rFonts w:hint="eastAsia" w:ascii="宋体" w:hAnsi="宋体" w:cs="宋体"/>
          <w:color w:val="000000"/>
          <w:szCs w:val="21"/>
          <w:lang w:val="zh-TW" w:eastAsia="zh-TW" w:bidi="zh-TW"/>
        </w:rPr>
        <w:t>发包人代表</w:t>
      </w:r>
    </w:p>
    <w:p w14:paraId="4F8975DF">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发包人委派代表，行使发包人委托的权利，履行发包人的义务，但发包人代 表无权修改合同。发包人代表依据本合同并在其授权范围内履行其职责。发包人 代表根据合同约定的范围和事项，向承包人发出的书面通知，由其本人签字后送交项目经理。发包人代表的姓名、职务和职责在专用条款约定。发包人决定替换 其代表时，应将新任代表的姓名、职务、职权和任命时间在其到任的</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日前， 以书面形式通知承包人。</w:t>
      </w:r>
    </w:p>
    <w:p w14:paraId="2EF89D5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w:t>
      </w:r>
      <w:r>
        <w:rPr>
          <w:rFonts w:hint="eastAsia" w:ascii="宋体" w:hAnsi="宋体" w:cs="宋体"/>
          <w:color w:val="000000"/>
          <w:szCs w:val="21"/>
          <w:lang w:val="zh-TW" w:eastAsia="zh-TW" w:bidi="zh-TW"/>
        </w:rPr>
        <w:t>监理人</w:t>
      </w:r>
    </w:p>
    <w:p w14:paraId="6185ACE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2.3.1</w:t>
      </w:r>
      <w:r>
        <w:rPr>
          <w:rFonts w:hint="eastAsia" w:ascii="宋体" w:hAnsi="宋体" w:cs="宋体"/>
          <w:color w:val="000000"/>
          <w:szCs w:val="21"/>
          <w:lang w:val="zh-TW" w:eastAsia="zh-TW" w:bidi="zh-TW"/>
        </w:rPr>
        <w:t>发包人需对工程实行监理的，监理人的名称、工程总监、监理范围、内容和权限在专用条款中写明。</w:t>
      </w:r>
    </w:p>
    <w:p w14:paraId="67FCC80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监理人按发包人委托监理的范围、内容、职权和权限，代表发包人对承包人 实施监督。监理人向承包人发出的通知，以书面形式由工程总监签字后送交承包 人实施，并抄送发包人。</w:t>
      </w:r>
    </w:p>
    <w:p w14:paraId="2098737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2.3.2</w:t>
      </w:r>
      <w:r>
        <w:rPr>
          <w:rFonts w:hint="eastAsia" w:ascii="宋体" w:hAnsi="宋体" w:cs="宋体"/>
          <w:color w:val="000000"/>
          <w:szCs w:val="21"/>
          <w:lang w:val="zh-TW" w:eastAsia="zh-TW" w:bidi="zh-TW"/>
        </w:rPr>
        <w:t>工程总监的职权与发包人代表的职权相重叠或不明确时，由发包人予以协调和明确，并以书面形式通知承包人。</w:t>
      </w:r>
    </w:p>
    <w:p w14:paraId="207454B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2.3.3</w:t>
      </w:r>
      <w:r>
        <w:rPr>
          <w:rFonts w:hint="eastAsia" w:ascii="宋体" w:hAnsi="宋体" w:cs="宋体"/>
          <w:color w:val="000000"/>
          <w:szCs w:val="21"/>
          <w:lang w:val="zh-TW" w:eastAsia="zh-TW" w:bidi="zh-TW"/>
        </w:rPr>
        <w:t>除专用条款另有约定外，工程总监无权改变本合同当事人的任何权利 和义务。</w:t>
      </w:r>
    </w:p>
    <w:p w14:paraId="3202884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2.3.4</w:t>
      </w:r>
      <w:r>
        <w:rPr>
          <w:rFonts w:hint="eastAsia" w:ascii="宋体" w:hAnsi="宋体" w:cs="宋体"/>
          <w:color w:val="000000"/>
          <w:szCs w:val="21"/>
          <w:lang w:val="zh-TW" w:eastAsia="zh-TW" w:bidi="zh-TW"/>
        </w:rPr>
        <w:t>发包人更换工程总监时，应提前</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日以书面形式通知承包人，并在通 知中写明替换者的姓名、职务、职权、权限和任命时间。</w:t>
      </w:r>
    </w:p>
    <w:p w14:paraId="5D626D6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w:t>
      </w:r>
      <w:r>
        <w:rPr>
          <w:rFonts w:hint="eastAsia" w:ascii="宋体" w:hAnsi="宋体" w:cs="宋体"/>
          <w:color w:val="000000"/>
          <w:szCs w:val="21"/>
          <w:lang w:val="zh-TW" w:eastAsia="zh-TW" w:bidi="zh-TW"/>
        </w:rPr>
        <w:t>安全保证</w:t>
      </w:r>
    </w:p>
    <w:p w14:paraId="0700BA0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2.4.1</w:t>
      </w:r>
      <w:r>
        <w:rPr>
          <w:rFonts w:hint="eastAsia" w:ascii="宋体" w:hAnsi="宋体" w:cs="宋体"/>
          <w:color w:val="000000"/>
          <w:szCs w:val="21"/>
          <w:lang w:val="zh-TW" w:eastAsia="zh-TW" w:bidi="zh-TW"/>
        </w:rPr>
        <w:t>除专用条款另有约定外，发包人应负责协调处理施工现场周围的地下、地上已有设施和邻近建筑物、构筑物、古树名木、文物及坟墓等的安全保护 工作，维护现场周围的正常秩序，并承担相关费用。</w:t>
      </w:r>
    </w:p>
    <w:p w14:paraId="1365283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2.4.2</w:t>
      </w:r>
      <w:r>
        <w:rPr>
          <w:rFonts w:hint="eastAsia" w:ascii="宋体" w:hAnsi="宋体" w:cs="宋体"/>
          <w:color w:val="000000"/>
          <w:szCs w:val="21"/>
          <w:lang w:val="zh-TW" w:eastAsia="zh-TW" w:bidi="zh-TW"/>
        </w:rPr>
        <w:t>除专用条款另有约定外，发包人应负责对工程现场临近发包人正在使 用、运行、或由发包人用于生产的建筑物、构筑物、生产装置、设施、设备等， 设置隔离设施，竖立禁止入内、禁止动火的明显标志，并以书面形式通知承包人 须遵守的安全规定和位置范围。因发包人的原因给承包人造成的损失和伤害，由发包人负责。</w:t>
      </w:r>
    </w:p>
    <w:p w14:paraId="79E812D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2.4.3</w:t>
      </w:r>
      <w:r>
        <w:rPr>
          <w:rFonts w:hint="eastAsia" w:ascii="宋体" w:hAnsi="宋体" w:cs="宋体"/>
          <w:color w:val="000000"/>
          <w:szCs w:val="21"/>
          <w:lang w:val="zh-TW" w:eastAsia="zh-TW" w:bidi="zh-TW"/>
        </w:rPr>
        <w:t>本合同未作约定，而在工程主体结构或工程主要装置完成后，发包人 要求进行涉及建筑主体及承重结构变动、或涉及重大工艺变化的装修工程时，双 方可另行签订委托合同，作为本合同附件。</w:t>
      </w:r>
    </w:p>
    <w:p w14:paraId="5CFC21C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发包人自行决定此类装修或发包人与第三方签订委托合同，由发包人或发包 人另行委托的第三方提出设计方案及施工的，由此造成的损失、损害由发包人负 责</w:t>
      </w:r>
      <w:r>
        <w:rPr>
          <w:rFonts w:hint="eastAsia" w:ascii="宋体" w:hAnsi="宋体" w:cs="宋体"/>
          <w:b/>
          <w:bCs/>
          <w:color w:val="000000"/>
          <w:szCs w:val="21"/>
          <w:lang w:val="zh-TW" w:eastAsia="zh-TW" w:bidi="zh-TW"/>
        </w:rPr>
        <w:t>0</w:t>
      </w:r>
    </w:p>
    <w:p w14:paraId="12C21A9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2.4.4</w:t>
      </w:r>
      <w:r>
        <w:rPr>
          <w:rFonts w:hint="eastAsia" w:ascii="宋体" w:hAnsi="宋体" w:cs="宋体"/>
          <w:color w:val="000000"/>
          <w:szCs w:val="21"/>
          <w:lang w:val="zh-TW" w:eastAsia="zh-TW" w:bidi="zh-TW"/>
        </w:rPr>
        <w:t>发包人负责对其代表、雇员、监理人及其委托的其他人员进行安全教 育，并遵守承包人工程现场的安全规定。承包人应在工程现场以标牌明示相关安 全规定，或将安全规定发送给发包人。因发包人的代表、雇员、监理人及其委托 的其他人员未能遵守承包人工程现场的安全规定所发生的人身伤害、安全事故，由发包人负责。</w:t>
      </w:r>
    </w:p>
    <w:p w14:paraId="46D6DF6E">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2.4.5</w:t>
      </w:r>
      <w:r>
        <w:rPr>
          <w:rFonts w:hint="eastAsia" w:ascii="宋体" w:hAnsi="宋体" w:cs="宋体"/>
          <w:color w:val="000000"/>
          <w:szCs w:val="21"/>
          <w:lang w:val="zh-TW" w:eastAsia="zh-TW" w:bidi="zh-TW"/>
        </w:rPr>
        <w:t>发包人、发包人代表、雇员、监理人及其委托的其他人员应遵守</w:t>
      </w:r>
      <w:r>
        <w:rPr>
          <w:rFonts w:hint="eastAsia" w:ascii="宋体" w:hAnsi="宋体" w:cs="宋体"/>
          <w:b/>
          <w:bCs/>
          <w:color w:val="000000"/>
          <w:szCs w:val="21"/>
          <w:lang w:bidi="en-US"/>
        </w:rPr>
        <w:t xml:space="preserve">7.8 </w:t>
      </w:r>
      <w:r>
        <w:rPr>
          <w:rFonts w:hint="eastAsia" w:ascii="宋体" w:hAnsi="宋体" w:cs="宋体"/>
          <w:color w:val="000000"/>
          <w:szCs w:val="21"/>
          <w:lang w:val="zh-TW" w:eastAsia="zh-TW" w:bidi="zh-TW"/>
        </w:rPr>
        <w:t>款职业健康、安全和环境保护的相关约定。</w:t>
      </w:r>
    </w:p>
    <w:p w14:paraId="1E58D84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2.5</w:t>
      </w:r>
      <w:r>
        <w:rPr>
          <w:rFonts w:hint="eastAsia" w:ascii="宋体" w:hAnsi="宋体" w:cs="宋体"/>
          <w:color w:val="000000"/>
          <w:szCs w:val="21"/>
          <w:lang w:val="zh-TW" w:eastAsia="zh-TW" w:bidi="zh-TW"/>
        </w:rPr>
        <w:t>保安责任</w:t>
      </w:r>
    </w:p>
    <w:p w14:paraId="7D833D7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2.5.1</w:t>
      </w:r>
      <w:r>
        <w:rPr>
          <w:rFonts w:hint="eastAsia" w:ascii="宋体" w:hAnsi="宋体" w:cs="宋体"/>
          <w:color w:val="000000"/>
          <w:szCs w:val="21"/>
          <w:lang w:val="zh-TW" w:eastAsia="zh-TW" w:bidi="zh-TW"/>
        </w:rPr>
        <w:t>现场保安工作的责任主体由专用条款约定。承担现场保安工作的一方 负责与当地有关治安部门的联系、沟通和协调，并承担所发生的相关费用。</w:t>
      </w:r>
    </w:p>
    <w:p w14:paraId="52224F4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2.5.2</w:t>
      </w:r>
      <w:r>
        <w:rPr>
          <w:rFonts w:hint="eastAsia" w:ascii="宋体" w:hAnsi="宋体" w:cs="宋体"/>
          <w:color w:val="000000"/>
          <w:szCs w:val="21"/>
          <w:lang w:val="zh-TW" w:eastAsia="zh-TW" w:bidi="zh-TW"/>
        </w:rPr>
        <w:t>发包人与承包人商定工程实施阶段及区域的保安责任划分，并编制各 自的相关保安制度、责任制度和报告制度，作为合同附件。</w:t>
      </w:r>
    </w:p>
    <w:p w14:paraId="6A066F91">
      <w:pPr>
        <w:spacing w:after="1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2.5.3</w:t>
      </w:r>
      <w:r>
        <w:rPr>
          <w:rFonts w:hint="eastAsia" w:ascii="宋体" w:hAnsi="宋体" w:cs="宋体"/>
          <w:color w:val="000000"/>
          <w:szCs w:val="21"/>
          <w:lang w:val="zh-TW" w:eastAsia="zh-TW" w:bidi="zh-TW"/>
        </w:rPr>
        <w:t>发包人按合同约定占用的区域、接收的单项工程和工程，由发包人承 担相关保安工作，及因此产生的费用、损害和责任。</w:t>
      </w:r>
    </w:p>
    <w:p w14:paraId="0F0FAC05">
      <w:pPr>
        <w:keepNext/>
        <w:keepLines/>
        <w:spacing w:after="100" w:line="360" w:lineRule="auto"/>
        <w:ind w:firstLine="220"/>
        <w:outlineLvl w:val="1"/>
        <w:rPr>
          <w:rFonts w:hint="eastAsia" w:ascii="宋体" w:hAnsi="宋体" w:cs="宋体"/>
          <w:b/>
          <w:bCs/>
          <w:color w:val="000000"/>
          <w:szCs w:val="21"/>
          <w:lang w:val="zh-TW" w:eastAsia="zh-TW" w:bidi="zh-TW"/>
        </w:rPr>
      </w:pPr>
      <w:r>
        <w:rPr>
          <w:rFonts w:hint="eastAsia" w:ascii="宋体" w:hAnsi="宋体" w:cs="宋体"/>
          <w:b/>
          <w:bCs/>
          <w:color w:val="000000"/>
          <w:szCs w:val="21"/>
          <w:lang w:val="zh-TW" w:eastAsia="zh-TW" w:bidi="zh-TW"/>
        </w:rPr>
        <w:t>第3条承包人</w:t>
      </w:r>
    </w:p>
    <w:p w14:paraId="5012AB5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w:t>
      </w:r>
      <w:r>
        <w:rPr>
          <w:rFonts w:hint="eastAsia" w:ascii="宋体" w:hAnsi="宋体" w:cs="宋体"/>
          <w:color w:val="000000"/>
          <w:szCs w:val="21"/>
          <w:lang w:val="zh-TW" w:eastAsia="zh-TW" w:bidi="zh-TW"/>
        </w:rPr>
        <w:t>承包人的主要权利和义务</w:t>
      </w:r>
    </w:p>
    <w:p w14:paraId="367A421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3.1.1</w:t>
      </w:r>
      <w:r>
        <w:rPr>
          <w:rFonts w:hint="eastAsia" w:ascii="宋体" w:hAnsi="宋体" w:cs="宋体"/>
          <w:color w:val="000000"/>
          <w:szCs w:val="21"/>
          <w:lang w:val="zh-TW" w:eastAsia="zh-TW" w:bidi="zh-TW"/>
        </w:rPr>
        <w:t>承包人应按照合同约定的标准、规范、工程的功能、规模、考核目标 和竣工日期，完成设计、采购、施工、竣工试验和（或）指导竣工后试验等工作， 不得违反国家强制性标准、规范的规定。</w:t>
      </w:r>
    </w:p>
    <w:p w14:paraId="1F5C8369">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本工程的具体承包范围，应依据合同协议书第一项</w:t>
      </w:r>
      <w:r>
        <w:rPr>
          <w:rFonts w:hint="eastAsia" w:ascii="宋体" w:hAnsi="宋体" w:cs="宋体"/>
          <w:color w:val="000000"/>
          <w:szCs w:val="21"/>
          <w:lang w:val="zh-CN" w:bidi="zh-CN"/>
        </w:rPr>
        <w:t>“工程</w:t>
      </w:r>
      <w:r>
        <w:rPr>
          <w:rFonts w:hint="eastAsia" w:ascii="宋体" w:hAnsi="宋体" w:cs="宋体"/>
          <w:color w:val="000000"/>
          <w:szCs w:val="21"/>
          <w:lang w:val="zh-TW" w:eastAsia="zh-TW" w:bidi="zh-TW"/>
        </w:rPr>
        <w:t>概况”中有关</w:t>
      </w:r>
      <w:r>
        <w:rPr>
          <w:rFonts w:hint="eastAsia" w:ascii="宋体" w:hAnsi="宋体" w:cs="宋体"/>
          <w:color w:val="000000"/>
          <w:szCs w:val="21"/>
          <w:lang w:val="zh-CN" w:bidi="zh-CN"/>
        </w:rPr>
        <w:t>“工</w:t>
      </w:r>
      <w:r>
        <w:rPr>
          <w:rFonts w:hint="eastAsia" w:ascii="宋体" w:hAnsi="宋体" w:cs="宋体"/>
          <w:color w:val="000000"/>
          <w:szCs w:val="21"/>
          <w:lang w:val="zh-TW" w:eastAsia="zh-TW" w:bidi="zh-TW"/>
        </w:rPr>
        <w:t>程承包范围”的约定。</w:t>
      </w:r>
    </w:p>
    <w:p w14:paraId="34ED6D7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3.1.2</w:t>
      </w:r>
      <w:r>
        <w:rPr>
          <w:rFonts w:hint="eastAsia" w:ascii="宋体" w:hAnsi="宋体" w:cs="宋体"/>
          <w:color w:val="000000"/>
          <w:szCs w:val="21"/>
          <w:lang w:val="zh-TW" w:eastAsia="zh-TW" w:bidi="zh-TW"/>
        </w:rPr>
        <w:t>承包人应按合同约定，自费修复因承包人原因引起的设计、文件、设 备、材料、部件、施工中存在的缺陷、或在竣工试验和竣工后试验中发现的缺陷。</w:t>
      </w:r>
    </w:p>
    <w:p w14:paraId="35BFB73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3.1.3</w:t>
      </w:r>
      <w:r>
        <w:rPr>
          <w:rFonts w:hint="eastAsia" w:ascii="宋体" w:hAnsi="宋体" w:cs="宋体"/>
          <w:color w:val="000000"/>
          <w:szCs w:val="21"/>
          <w:lang w:val="zh-TW" w:eastAsia="zh-TW" w:bidi="zh-TW"/>
        </w:rPr>
        <w:t>承包人应按合同约定和发包人的要求，提交相关报表。报表的类别、 名称、内容、报告期、提交时间和份数，在专用条款中约定。</w:t>
      </w:r>
    </w:p>
    <w:p w14:paraId="2AA289D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3.1.4</w:t>
      </w:r>
      <w:r>
        <w:rPr>
          <w:rFonts w:hint="eastAsia" w:ascii="宋体" w:hAnsi="宋体" w:cs="宋体"/>
          <w:color w:val="000000"/>
          <w:szCs w:val="21"/>
          <w:lang w:val="zh-TW" w:eastAsia="zh-TW" w:bidi="zh-TW"/>
        </w:rPr>
        <w:t>承包人有权根据</w:t>
      </w:r>
      <w:r>
        <w:rPr>
          <w:rFonts w:hint="eastAsia" w:ascii="宋体" w:hAnsi="宋体" w:cs="宋体"/>
          <w:b/>
          <w:bCs/>
          <w:color w:val="000000"/>
          <w:szCs w:val="21"/>
          <w:lang w:bidi="en-US"/>
        </w:rPr>
        <w:t>4.6.4</w:t>
      </w:r>
      <w:r>
        <w:rPr>
          <w:rFonts w:hint="eastAsia" w:ascii="宋体" w:hAnsi="宋体" w:cs="宋体"/>
          <w:color w:val="000000"/>
          <w:szCs w:val="21"/>
          <w:lang w:val="zh-TW" w:eastAsia="zh-TW" w:bidi="zh-TW"/>
        </w:rPr>
        <w:t>款承包人的复工要求、</w:t>
      </w:r>
      <w:r>
        <w:rPr>
          <w:rFonts w:hint="eastAsia" w:ascii="宋体" w:hAnsi="宋体" w:cs="宋体"/>
          <w:b/>
          <w:bCs/>
          <w:color w:val="000000"/>
          <w:szCs w:val="21"/>
          <w:lang w:bidi="en-US"/>
        </w:rPr>
        <w:t>14.9</w:t>
      </w:r>
      <w:r>
        <w:rPr>
          <w:rFonts w:hint="eastAsia" w:ascii="宋体" w:hAnsi="宋体" w:cs="宋体"/>
          <w:color w:val="000000"/>
          <w:szCs w:val="21"/>
          <w:lang w:val="zh-TW" w:eastAsia="zh-TW" w:bidi="zh-TW"/>
        </w:rPr>
        <w:t xml:space="preserve">款付款时间延误和 </w:t>
      </w:r>
      <w:r>
        <w:rPr>
          <w:rFonts w:hint="eastAsia" w:ascii="宋体" w:hAnsi="宋体" w:cs="宋体"/>
          <w:b/>
          <w:bCs/>
          <w:color w:val="000000"/>
          <w:szCs w:val="21"/>
          <w:lang w:val="zh-TW" w:eastAsia="zh-TW" w:bidi="zh-TW"/>
        </w:rPr>
        <w:t>17</w:t>
      </w:r>
      <w:r>
        <w:rPr>
          <w:rFonts w:hint="eastAsia" w:ascii="宋体" w:hAnsi="宋体" w:cs="宋体"/>
          <w:color w:val="000000"/>
          <w:szCs w:val="21"/>
          <w:lang w:val="zh-TW" w:eastAsia="zh-TW" w:bidi="zh-TW"/>
        </w:rPr>
        <w:t>条不可抗力的约定，以书面形式向发包人发出暂停通知。除此之外，凡因承 包人原因的暂停，造成承包人的费用增加由其自负，造成关键路径延误的应自费赶上。</w:t>
      </w:r>
    </w:p>
    <w:p w14:paraId="02F9468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3.1.5</w:t>
      </w:r>
      <w:r>
        <w:rPr>
          <w:rFonts w:hint="eastAsia" w:ascii="宋体" w:hAnsi="宋体" w:cs="宋体"/>
          <w:color w:val="000000"/>
          <w:szCs w:val="21"/>
          <w:lang w:val="zh-TW" w:eastAsia="zh-TW" w:bidi="zh-TW"/>
        </w:rPr>
        <w:t>对因发包人原因给承包人带来任何损失、损害或造成工程关键路径延 误的，承包人有权要求赔偿或（和）延长竣工日期。</w:t>
      </w:r>
    </w:p>
    <w:p w14:paraId="2F39F26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3.2</w:t>
      </w:r>
      <w:r>
        <w:rPr>
          <w:rFonts w:hint="eastAsia" w:ascii="宋体" w:hAnsi="宋体" w:cs="宋体"/>
          <w:color w:val="000000"/>
          <w:szCs w:val="21"/>
          <w:lang w:val="zh-TW" w:eastAsia="zh-TW" w:bidi="zh-TW"/>
        </w:rPr>
        <w:t>项目经理</w:t>
      </w:r>
    </w:p>
    <w:p w14:paraId="734489B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3.2.1</w:t>
      </w:r>
      <w:r>
        <w:rPr>
          <w:rFonts w:hint="eastAsia" w:ascii="宋体" w:hAnsi="宋体" w:cs="宋体"/>
          <w:color w:val="000000"/>
          <w:szCs w:val="21"/>
          <w:lang w:val="zh-TW" w:eastAsia="zh-TW" w:bidi="zh-TW"/>
        </w:rPr>
        <w:t>项目经理，应是当事人双方所确认的人选。项目经理经授权并代表承 包人负责履行本合同。项目经理的姓名、职责和权限在专用条款中约定。</w:t>
      </w:r>
    </w:p>
    <w:p w14:paraId="0A57CF7A">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项目经理应是承包人的员工，承包人应在合同生效后</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日内向发包人提交 项目经理与承包人之间的劳动合同，以及承包人为项目经理缴纳社会保险的有效 证明，承包人不提交上述文件的，项目经理无权履行职责，由此影响工程进度或 发生其它问题的，由承包人承担责任。</w:t>
      </w:r>
    </w:p>
    <w:p w14:paraId="41F0D9C2">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项目经理应常驻项目现场，且每月在现场时间不得少于专用条款约定的天 数。项目经理不得同时担任其它项目的项目经理。项目经理确需离开项目现场时 应事先取得发包人同意，并指定一名有经验的人员临时代行其职责。</w:t>
      </w:r>
    </w:p>
    <w:p w14:paraId="3D9563EA">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承包人违反上述约定的，按照专用条款的约定，承担违约责任。</w:t>
      </w:r>
    </w:p>
    <w:p w14:paraId="3EB76CC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3.2.2</w:t>
      </w:r>
      <w:r>
        <w:rPr>
          <w:rFonts w:hint="eastAsia" w:ascii="宋体" w:hAnsi="宋体" w:cs="宋体"/>
          <w:color w:val="000000"/>
          <w:szCs w:val="21"/>
          <w:lang w:val="zh-TW" w:eastAsia="zh-TW" w:bidi="zh-TW"/>
        </w:rPr>
        <w:t>项目经理按合同约定的项目进度计划，并按发包人代表和（或）工程 总监依据合同发出的指令组织项目实施。在紧急情况下，且无法与发包人代表和 （或）工程总监取得联系时，项目经理有权釆取必要的措施保证人身、工程和财 产的安全，但须在事后</w:t>
      </w:r>
      <w:r>
        <w:rPr>
          <w:rFonts w:hint="eastAsia" w:ascii="宋体" w:hAnsi="宋体" w:cs="宋体"/>
          <w:b/>
          <w:bCs/>
          <w:color w:val="000000"/>
          <w:szCs w:val="21"/>
          <w:lang w:val="zh-TW" w:eastAsia="zh-TW" w:bidi="zh-TW"/>
        </w:rPr>
        <w:t>48</w:t>
      </w:r>
      <w:r>
        <w:rPr>
          <w:rFonts w:hint="eastAsia" w:ascii="宋体" w:hAnsi="宋体" w:cs="宋体"/>
          <w:color w:val="000000"/>
          <w:szCs w:val="21"/>
          <w:lang w:val="zh-TW" w:eastAsia="zh-TW" w:bidi="zh-TW"/>
        </w:rPr>
        <w:t>小时内向发包人代表和（或）工程总监送交书面报告。</w:t>
      </w:r>
    </w:p>
    <w:p w14:paraId="60C6448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3.2.3</w:t>
      </w:r>
      <w:r>
        <w:rPr>
          <w:rFonts w:hint="eastAsia" w:ascii="宋体" w:hAnsi="宋体" w:cs="宋体"/>
          <w:color w:val="000000"/>
          <w:szCs w:val="21"/>
          <w:lang w:val="zh-TW" w:eastAsia="zh-TW" w:bidi="zh-TW"/>
        </w:rPr>
        <w:t>承包人需更换项目经理时，提前</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日以书面形式通知发包人，并征 得发包人的同意。继任的项目经理须继续履行第</w:t>
      </w:r>
      <w:r>
        <w:rPr>
          <w:rFonts w:hint="eastAsia" w:ascii="宋体" w:hAnsi="宋体" w:cs="宋体"/>
          <w:b/>
          <w:bCs/>
          <w:color w:val="000000"/>
          <w:szCs w:val="21"/>
          <w:lang w:val="zh-TW" w:eastAsia="zh-TW" w:bidi="zh-TW"/>
        </w:rPr>
        <w:t>321</w:t>
      </w:r>
      <w:r>
        <w:rPr>
          <w:rFonts w:hint="eastAsia" w:ascii="宋体" w:hAnsi="宋体" w:cs="宋体"/>
          <w:color w:val="000000"/>
          <w:szCs w:val="21"/>
          <w:lang w:val="zh-TW" w:eastAsia="zh-TW" w:bidi="zh-TW"/>
        </w:rPr>
        <w:t>款约定的职责和权限。未经发包人同意，承包人不得擅自更换项目经理。承包人擅自更换项目经理的，按专用条款的约定，承担违约责任。</w:t>
      </w:r>
    </w:p>
    <w:p w14:paraId="2D8CBCA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3.2.4</w:t>
      </w:r>
      <w:r>
        <w:rPr>
          <w:rFonts w:hint="eastAsia" w:ascii="宋体" w:hAnsi="宋体" w:cs="宋体"/>
          <w:color w:val="000000"/>
          <w:szCs w:val="21"/>
          <w:lang w:val="zh-TW" w:eastAsia="zh-TW" w:bidi="zh-TW"/>
        </w:rPr>
        <w:t>发包人有权以书面形式通知更换其认为不称职的项目经理，应说明更 换因由，承包人应在接到更换通知后</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日内向发包人提出书面的改进报告。发包人收到改进报告后仍以书面形式通知更换的，承包人应在接到第二次更换通知 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日内进行更换，并将新任命的项目经理的姓名、简历以书面形式通知发 包人。新任项目经理继续履行第</w:t>
      </w:r>
      <w:r>
        <w:rPr>
          <w:rFonts w:hint="eastAsia" w:ascii="宋体" w:hAnsi="宋体" w:cs="宋体"/>
          <w:b/>
          <w:bCs/>
          <w:color w:val="000000"/>
          <w:szCs w:val="21"/>
          <w:lang w:bidi="en-US"/>
        </w:rPr>
        <w:t>3.2.1</w:t>
      </w:r>
      <w:r>
        <w:rPr>
          <w:rFonts w:hint="eastAsia" w:ascii="宋体" w:hAnsi="宋体" w:cs="宋体"/>
          <w:color w:val="000000"/>
          <w:szCs w:val="21"/>
          <w:lang w:val="zh-TW" w:eastAsia="zh-TW" w:bidi="zh-TW"/>
        </w:rPr>
        <w:t>款约定的职责和权限。</w:t>
      </w:r>
    </w:p>
    <w:p w14:paraId="7A9EEF7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3.3</w:t>
      </w:r>
      <w:r>
        <w:rPr>
          <w:rFonts w:hint="eastAsia" w:ascii="宋体" w:hAnsi="宋体" w:cs="宋体"/>
          <w:color w:val="000000"/>
          <w:szCs w:val="21"/>
          <w:lang w:val="zh-TW" w:eastAsia="zh-TW" w:bidi="zh-TW"/>
        </w:rPr>
        <w:t>工程质量保证</w:t>
      </w:r>
    </w:p>
    <w:p w14:paraId="05439C67">
      <w:pPr>
        <w:spacing w:after="12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承包人应按合同约定的质量标准规范，确保设计、釆购、加工制造、施工、 竣工试验等各项工作的质量，建立有效的质量保证体系，并按照国家有关规定， 通过质量保修责任书的形式约定保修范围、保修期限和保修责任。</w:t>
      </w:r>
    </w:p>
    <w:p w14:paraId="54314C1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3.4</w:t>
      </w:r>
      <w:r>
        <w:rPr>
          <w:rFonts w:hint="eastAsia" w:ascii="宋体" w:hAnsi="宋体" w:cs="宋体"/>
          <w:color w:val="000000"/>
          <w:szCs w:val="21"/>
          <w:lang w:val="zh-TW" w:eastAsia="zh-TW" w:bidi="zh-TW"/>
        </w:rPr>
        <w:t>安全保证</w:t>
      </w:r>
    </w:p>
    <w:p w14:paraId="7137801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3.4.1</w:t>
      </w:r>
      <w:r>
        <w:rPr>
          <w:rFonts w:hint="eastAsia" w:ascii="宋体" w:hAnsi="宋体" w:cs="宋体"/>
          <w:color w:val="000000"/>
          <w:szCs w:val="21"/>
          <w:lang w:val="zh-TW" w:eastAsia="zh-TW" w:bidi="zh-TW"/>
        </w:rPr>
        <w:t>工程安全性能</w:t>
      </w:r>
    </w:p>
    <w:p w14:paraId="3489339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承包人应按照合同约定和国家有关安全生产的法律规定，进行设计、釆购、 施工、竣工试验，保证工程的安全性能。</w:t>
      </w:r>
    </w:p>
    <w:p w14:paraId="4A13903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3.4.2</w:t>
      </w:r>
      <w:r>
        <w:rPr>
          <w:rFonts w:hint="eastAsia" w:ascii="宋体" w:hAnsi="宋体" w:cs="宋体"/>
          <w:color w:val="000000"/>
          <w:szCs w:val="21"/>
          <w:lang w:val="zh-TW" w:eastAsia="zh-TW" w:bidi="zh-TW"/>
        </w:rPr>
        <w:t>安全施工</w:t>
      </w:r>
    </w:p>
    <w:p w14:paraId="4ED7F3E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承包人应遵守</w:t>
      </w:r>
      <w:r>
        <w:rPr>
          <w:rFonts w:hint="eastAsia" w:ascii="宋体" w:hAnsi="宋体" w:cs="宋体"/>
          <w:b/>
          <w:bCs/>
          <w:color w:val="000000"/>
          <w:szCs w:val="21"/>
          <w:lang w:bidi="en-US"/>
        </w:rPr>
        <w:t>7.8</w:t>
      </w:r>
      <w:r>
        <w:rPr>
          <w:rFonts w:hint="eastAsia" w:ascii="宋体" w:hAnsi="宋体" w:cs="宋体"/>
          <w:color w:val="000000"/>
          <w:szCs w:val="21"/>
          <w:lang w:val="zh-TW" w:eastAsia="zh-TW" w:bidi="zh-TW"/>
        </w:rPr>
        <w:t>款职业健康、安全和环境保护的约定。</w:t>
      </w:r>
    </w:p>
    <w:p w14:paraId="281CE10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3.4.3</w:t>
      </w:r>
      <w:r>
        <w:rPr>
          <w:rFonts w:hint="eastAsia" w:ascii="宋体" w:hAnsi="宋体" w:cs="宋体"/>
          <w:color w:val="000000"/>
          <w:szCs w:val="21"/>
          <w:lang w:val="zh-TW" w:eastAsia="zh-TW" w:bidi="zh-TW"/>
        </w:rPr>
        <w:t>因承包人未遵守发包人按</w:t>
      </w:r>
      <w:r>
        <w:rPr>
          <w:rFonts w:hint="eastAsia" w:ascii="宋体" w:hAnsi="宋体" w:cs="宋体"/>
          <w:b/>
          <w:bCs/>
          <w:color w:val="000000"/>
          <w:szCs w:val="21"/>
          <w:lang w:bidi="en-US"/>
        </w:rPr>
        <w:t>2.4.2</w:t>
      </w:r>
      <w:r>
        <w:rPr>
          <w:rFonts w:hint="eastAsia" w:ascii="宋体" w:hAnsi="宋体" w:cs="宋体"/>
          <w:color w:val="000000"/>
          <w:szCs w:val="21"/>
          <w:lang w:val="zh-TW" w:eastAsia="zh-TW" w:bidi="zh-TW"/>
        </w:rPr>
        <w:t>款通知的安全规定和位置范围限定所 造成的损失和伤害，由承包人负责。</w:t>
      </w:r>
    </w:p>
    <w:p w14:paraId="14797F9F">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3.4.4</w:t>
      </w:r>
      <w:r>
        <w:rPr>
          <w:rFonts w:hint="eastAsia" w:ascii="宋体" w:hAnsi="宋体" w:cs="宋体"/>
          <w:color w:val="000000"/>
          <w:szCs w:val="21"/>
          <w:lang w:val="zh-TW" w:eastAsia="zh-TW" w:bidi="zh-TW"/>
        </w:rPr>
        <w:t>承包人全面负责其施工场地的安全管理,保障所有进入施工场地的人 员的安全。因承包人原因所发生的人身伤害、安全事故，由承包人负责。</w:t>
      </w:r>
    </w:p>
    <w:p w14:paraId="5E86D2D2">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3.5</w:t>
      </w:r>
      <w:r>
        <w:rPr>
          <w:rFonts w:hint="eastAsia" w:ascii="宋体" w:hAnsi="宋体" w:cs="宋体"/>
          <w:color w:val="000000"/>
          <w:szCs w:val="21"/>
          <w:lang w:val="zh-TW" w:eastAsia="zh-TW" w:bidi="zh-TW"/>
        </w:rPr>
        <w:t>职业健康和环境保护保证</w:t>
      </w:r>
    </w:p>
    <w:p w14:paraId="1C4C8DE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3.5.1</w:t>
      </w:r>
      <w:r>
        <w:rPr>
          <w:rFonts w:hint="eastAsia" w:ascii="宋体" w:hAnsi="宋体" w:cs="宋体"/>
          <w:color w:val="000000"/>
          <w:szCs w:val="21"/>
          <w:lang w:val="zh-TW" w:eastAsia="zh-TW" w:bidi="zh-TW"/>
        </w:rPr>
        <w:t>工程设计</w:t>
      </w:r>
    </w:p>
    <w:p w14:paraId="4471E3C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承包人应按照合同约定，并遵照《建设工程勘察设计管理条例》、《建设工程 环境保护条例》及其它相关法律规定进行工程的环境保护设计及职业健康防护设 计，保证工程符合环境保护和职业健康相关法律和标准规定。</w:t>
      </w:r>
    </w:p>
    <w:p w14:paraId="36CE26B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3.5.2</w:t>
      </w:r>
      <w:r>
        <w:rPr>
          <w:rFonts w:hint="eastAsia" w:ascii="宋体" w:hAnsi="宋体" w:cs="宋体"/>
          <w:color w:val="000000"/>
          <w:szCs w:val="21"/>
          <w:lang w:val="zh-TW" w:eastAsia="zh-TW" w:bidi="zh-TW"/>
        </w:rPr>
        <w:t>职业健康和环境保护</w:t>
      </w:r>
    </w:p>
    <w:p w14:paraId="1D854F7C">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承包人应遵守</w:t>
      </w:r>
      <w:r>
        <w:rPr>
          <w:rFonts w:hint="eastAsia" w:ascii="宋体" w:hAnsi="宋体" w:cs="宋体"/>
          <w:b/>
          <w:bCs/>
          <w:color w:val="000000"/>
          <w:szCs w:val="21"/>
          <w:lang w:bidi="en-US"/>
        </w:rPr>
        <w:t>7.8</w:t>
      </w:r>
      <w:r>
        <w:rPr>
          <w:rFonts w:hint="eastAsia" w:ascii="宋体" w:hAnsi="宋体" w:cs="宋体"/>
          <w:color w:val="000000"/>
          <w:szCs w:val="21"/>
          <w:lang w:val="zh-TW" w:eastAsia="zh-TW" w:bidi="zh-TW"/>
        </w:rPr>
        <w:t>款职业健康、安全和环境保护的约定。</w:t>
      </w:r>
    </w:p>
    <w:p w14:paraId="238F58F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3.6</w:t>
      </w:r>
      <w:r>
        <w:rPr>
          <w:rFonts w:hint="eastAsia" w:ascii="宋体" w:hAnsi="宋体" w:cs="宋体"/>
          <w:color w:val="000000"/>
          <w:szCs w:val="21"/>
          <w:lang w:val="zh-TW" w:eastAsia="zh-TW" w:bidi="zh-TW"/>
        </w:rPr>
        <w:t>进度保证</w:t>
      </w:r>
    </w:p>
    <w:p w14:paraId="195BAE58">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承包人按</w:t>
      </w:r>
      <w:r>
        <w:rPr>
          <w:rFonts w:hint="eastAsia" w:ascii="宋体" w:hAnsi="宋体" w:cs="宋体"/>
          <w:b/>
          <w:bCs/>
          <w:color w:val="000000"/>
          <w:szCs w:val="21"/>
          <w:lang w:bidi="en-US"/>
        </w:rPr>
        <w:t>4.1</w:t>
      </w:r>
      <w:r>
        <w:rPr>
          <w:rFonts w:hint="eastAsia" w:ascii="宋体" w:hAnsi="宋体" w:cs="宋体"/>
          <w:color w:val="000000"/>
          <w:szCs w:val="21"/>
          <w:lang w:val="zh-TW" w:eastAsia="zh-TW" w:bidi="zh-TW"/>
        </w:rPr>
        <w:t>款约定的项目进度计划，合理有序地组织设计、釆购、施工、竣工试验所需要的各类资源，以及派出有经验的竣工后试验的指导人员，釆用有 效的实施方法和组织措施，保证项目进度计划的实现。</w:t>
      </w:r>
    </w:p>
    <w:p w14:paraId="4E4E92F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3.7</w:t>
      </w:r>
      <w:r>
        <w:rPr>
          <w:rFonts w:hint="eastAsia" w:ascii="宋体" w:hAnsi="宋体" w:cs="宋体"/>
          <w:color w:val="000000"/>
          <w:szCs w:val="21"/>
          <w:lang w:val="zh-TW" w:eastAsia="zh-TW" w:bidi="zh-TW"/>
        </w:rPr>
        <w:t>现场保安</w:t>
      </w:r>
    </w:p>
    <w:p w14:paraId="3DA30AF3">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承包人承担其进入现场、施工开工至发包人接收单项工程或（和）工程之前的现场保安责任（含承包人的预制加工场地、办公及生活营区），并负责编制相 关的保安制度、责任制度和报告制度，提交给发包人。</w:t>
      </w:r>
    </w:p>
    <w:p w14:paraId="5D5A109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w:t>
      </w:r>
      <w:r>
        <w:rPr>
          <w:rFonts w:hint="eastAsia" w:ascii="宋体" w:hAnsi="宋体" w:cs="宋体"/>
          <w:color w:val="000000"/>
          <w:szCs w:val="21"/>
          <w:lang w:val="zh-TW" w:eastAsia="zh-TW" w:bidi="zh-TW"/>
        </w:rPr>
        <w:t>分包</w:t>
      </w:r>
    </w:p>
    <w:p w14:paraId="32DD2C9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3.8.1</w:t>
      </w:r>
      <w:r>
        <w:rPr>
          <w:rFonts w:hint="eastAsia" w:ascii="宋体" w:hAnsi="宋体" w:cs="宋体"/>
          <w:color w:val="000000"/>
          <w:szCs w:val="21"/>
          <w:lang w:val="zh-TW" w:eastAsia="zh-TW" w:bidi="zh-TW"/>
        </w:rPr>
        <w:t>分包约定</w:t>
      </w:r>
    </w:p>
    <w:p w14:paraId="48BB853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承包人只能对专用条款约定列出的工作事项（含设计、釆购、施工、劳务服 务、竣工试验等）进行分包。</w:t>
      </w:r>
    </w:p>
    <w:p w14:paraId="220CCBB2">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专用条款未列出的分包事项，承包人可在工程实施阶段分批分期就分包事项 向发包人提交申请，发包人在接到分包事项申请后的</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日内，予以批准或提出 意见。发包人未能在</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日批准亦未提出意见的，承包人有权在提交该分包事项 后的第</w:t>
      </w:r>
      <w:r>
        <w:rPr>
          <w:rFonts w:hint="eastAsia" w:ascii="宋体" w:hAnsi="宋体" w:cs="宋体"/>
          <w:b/>
          <w:bCs/>
          <w:color w:val="000000"/>
          <w:szCs w:val="21"/>
          <w:lang w:val="zh-TW" w:eastAsia="zh-TW" w:bidi="zh-TW"/>
        </w:rPr>
        <w:t>16</w:t>
      </w:r>
      <w:r>
        <w:rPr>
          <w:rFonts w:hint="eastAsia" w:ascii="宋体" w:hAnsi="宋体" w:cs="宋体"/>
          <w:color w:val="000000"/>
          <w:szCs w:val="21"/>
          <w:lang w:val="zh-TW" w:eastAsia="zh-TW" w:bidi="zh-TW"/>
        </w:rPr>
        <w:t>日开始，将提出的拟分包事项对外分包。</w:t>
      </w:r>
    </w:p>
    <w:p w14:paraId="0648B7B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3.8.2</w:t>
      </w:r>
      <w:r>
        <w:rPr>
          <w:rFonts w:hint="eastAsia" w:ascii="宋体" w:hAnsi="宋体" w:cs="宋体"/>
          <w:color w:val="000000"/>
          <w:szCs w:val="21"/>
          <w:lang w:val="zh-TW" w:eastAsia="zh-TW" w:bidi="zh-TW"/>
        </w:rPr>
        <w:t>分包人资质</w:t>
      </w:r>
    </w:p>
    <w:p w14:paraId="6636662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分包人应符合国家法律规定的企业资质等级，否则不能作为分包人。承包人 有义务对分包人的资质进行审査。</w:t>
      </w:r>
    </w:p>
    <w:p w14:paraId="2E2CB7B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3.8.3</w:t>
      </w:r>
      <w:r>
        <w:rPr>
          <w:rFonts w:hint="eastAsia" w:ascii="宋体" w:hAnsi="宋体" w:cs="宋体"/>
          <w:color w:val="000000"/>
          <w:szCs w:val="21"/>
          <w:lang w:val="zh-TW" w:eastAsia="zh-TW" w:bidi="zh-TW"/>
        </w:rPr>
        <w:t>承包人不得将承包的工程对外转包，也不得以肢解方式将承包的全部工程对外分包。</w:t>
      </w:r>
    </w:p>
    <w:p w14:paraId="5972D31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3.8.4</w:t>
      </w:r>
      <w:r>
        <w:rPr>
          <w:rFonts w:hint="eastAsia" w:ascii="宋体" w:hAnsi="宋体" w:cs="宋体"/>
          <w:color w:val="000000"/>
          <w:szCs w:val="21"/>
          <w:lang w:val="zh-TW" w:eastAsia="zh-TW" w:bidi="zh-TW"/>
        </w:rPr>
        <w:t>设计、施工和工程物资等分包人，应严格执行国家有关分包事项的管理规定。</w:t>
      </w:r>
    </w:p>
    <w:p w14:paraId="584E449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3.8.5</w:t>
      </w:r>
      <w:r>
        <w:rPr>
          <w:rFonts w:hint="eastAsia" w:ascii="宋体" w:hAnsi="宋体" w:cs="宋体"/>
          <w:color w:val="000000"/>
          <w:szCs w:val="21"/>
          <w:lang w:val="zh-TW" w:eastAsia="zh-TW" w:bidi="zh-TW"/>
        </w:rPr>
        <w:t>对分包人的付款</w:t>
      </w:r>
    </w:p>
    <w:p w14:paraId="7BEEC97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承包人应按分包合同约定，按时向分包人支付合同价款。除非专用条款另有约定外，未经承包人同意，发包人不得以任何形式向分包人支付任何款项。</w:t>
      </w:r>
    </w:p>
    <w:p w14:paraId="337C190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3.8.6</w:t>
      </w:r>
      <w:r>
        <w:rPr>
          <w:rFonts w:hint="eastAsia" w:ascii="宋体" w:hAnsi="宋体" w:cs="宋体"/>
          <w:color w:val="000000"/>
          <w:szCs w:val="21"/>
          <w:lang w:val="zh-TW" w:eastAsia="zh-TW" w:bidi="zh-TW"/>
        </w:rPr>
        <w:t>承包人对发包人负责</w:t>
      </w:r>
    </w:p>
    <w:p w14:paraId="4DA8F485">
      <w:pPr>
        <w:spacing w:after="1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承包人对分包人的行为向发包人负责，承包人和分包人就分包工作向发包人 承担连带责任。</w:t>
      </w:r>
    </w:p>
    <w:p w14:paraId="3C3AF611">
      <w:pPr>
        <w:keepNext/>
        <w:keepLines/>
        <w:spacing w:after="100" w:line="360" w:lineRule="auto"/>
        <w:ind w:firstLine="220"/>
        <w:outlineLvl w:val="1"/>
        <w:rPr>
          <w:rFonts w:hint="eastAsia" w:ascii="宋体" w:hAnsi="宋体" w:cs="宋体"/>
          <w:b/>
          <w:bCs/>
          <w:color w:val="000000"/>
          <w:szCs w:val="21"/>
          <w:lang w:val="zh-TW" w:eastAsia="zh-TW" w:bidi="zh-TW"/>
        </w:rPr>
      </w:pPr>
      <w:r>
        <w:rPr>
          <w:rFonts w:hint="eastAsia" w:ascii="宋体" w:hAnsi="宋体" w:cs="宋体"/>
          <w:b/>
          <w:bCs/>
          <w:color w:val="000000"/>
          <w:szCs w:val="21"/>
          <w:lang w:val="zh-TW" w:eastAsia="zh-TW" w:bidi="zh-TW"/>
        </w:rPr>
        <w:t>第4条 进度计划、延误和暂停</w:t>
      </w:r>
    </w:p>
    <w:p w14:paraId="51B6470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4.1</w:t>
      </w:r>
      <w:r>
        <w:rPr>
          <w:rFonts w:hint="eastAsia" w:ascii="宋体" w:hAnsi="宋体" w:cs="宋体"/>
          <w:color w:val="000000"/>
          <w:szCs w:val="21"/>
          <w:lang w:val="zh-TW" w:eastAsia="zh-TW" w:bidi="zh-TW"/>
        </w:rPr>
        <w:t>项目进度计划</w:t>
      </w:r>
    </w:p>
    <w:p w14:paraId="2F2BDDC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4.1.1</w:t>
      </w:r>
      <w:r>
        <w:rPr>
          <w:rFonts w:hint="eastAsia" w:ascii="宋体" w:hAnsi="宋体" w:cs="宋体"/>
          <w:color w:val="000000"/>
          <w:szCs w:val="21"/>
          <w:lang w:val="zh-TW" w:eastAsia="zh-TW" w:bidi="zh-TW"/>
        </w:rPr>
        <w:t>项目进度计划</w:t>
      </w:r>
    </w:p>
    <w:p w14:paraId="197508D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承包人负责编制项目进度计划，项目进度计划中的施工期限（含竣工试验）， 应符合合同协议书的约定。关键路径及关键路径变化的确定原则、承包人提交项 目进度计划的份数和时间，在专用条款约定。</w:t>
      </w:r>
    </w:p>
    <w:p w14:paraId="5D80BFA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项目进度计划经发包人批准后实施，但发包人的批准并不能减轻或免除承包人的合同责任。</w:t>
      </w:r>
    </w:p>
    <w:p w14:paraId="17F710A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4.1.2</w:t>
      </w:r>
      <w:r>
        <w:rPr>
          <w:rFonts w:hint="eastAsia" w:ascii="宋体" w:hAnsi="宋体" w:cs="宋体"/>
          <w:color w:val="000000"/>
          <w:szCs w:val="21"/>
          <w:lang w:val="zh-TW" w:eastAsia="zh-TW" w:bidi="zh-TW"/>
        </w:rPr>
        <w:t>自费赶上项目进度计划</w:t>
      </w:r>
    </w:p>
    <w:p w14:paraId="49D57DB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因承包人原因使工程实际进度明显落后于项目进度计划时，承包人有义务、 发包人也有权利要求承包人自费釆取措施，赶上项目进度计划。</w:t>
      </w:r>
    </w:p>
    <w:p w14:paraId="415CD4E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4.1.3</w:t>
      </w:r>
      <w:r>
        <w:rPr>
          <w:rFonts w:hint="eastAsia" w:ascii="宋体" w:hAnsi="宋体" w:cs="宋体"/>
          <w:color w:val="000000"/>
          <w:szCs w:val="21"/>
          <w:lang w:val="zh-TW" w:eastAsia="zh-TW" w:bidi="zh-TW"/>
        </w:rPr>
        <w:t>项目进度计划的调整</w:t>
      </w:r>
    </w:p>
    <w:p w14:paraId="7ADA366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出现下列情况，竣工日期相应顺延，并对项目进度计划进行调整：</w:t>
      </w:r>
    </w:p>
    <w:p w14:paraId="5E5825D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发包人根据</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款提供的项目基础资料和现场障碍资料不真实、不准确、不齐全、不及时，或未能按</w:t>
      </w: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款约定的预付款金额和（或）</w:t>
      </w:r>
      <w:r>
        <w:rPr>
          <w:rFonts w:hint="eastAsia" w:ascii="宋体" w:hAnsi="宋体" w:cs="宋体"/>
          <w:b/>
          <w:bCs/>
          <w:color w:val="000000"/>
          <w:szCs w:val="21"/>
          <w:lang w:bidi="en-US"/>
        </w:rPr>
        <w:t>14.3.2</w:t>
      </w:r>
      <w:r>
        <w:rPr>
          <w:rFonts w:hint="eastAsia" w:ascii="宋体" w:hAnsi="宋体" w:cs="宋体"/>
          <w:color w:val="000000"/>
          <w:szCs w:val="21"/>
          <w:lang w:val="zh-TW" w:eastAsia="zh-TW" w:bidi="zh-TW"/>
        </w:rPr>
        <w:t>款约定的预付款时间付款，导致</w:t>
      </w:r>
      <w:r>
        <w:rPr>
          <w:rFonts w:hint="eastAsia" w:ascii="宋体" w:hAnsi="宋体" w:cs="宋体"/>
          <w:b/>
          <w:bCs/>
          <w:color w:val="000000"/>
          <w:szCs w:val="21"/>
          <w:lang w:val="zh-TW" w:eastAsia="zh-TW" w:bidi="zh-TW"/>
        </w:rPr>
        <w:t>422</w:t>
      </w:r>
      <w:r>
        <w:rPr>
          <w:rFonts w:hint="eastAsia" w:ascii="宋体" w:hAnsi="宋体" w:cs="宋体"/>
          <w:color w:val="000000"/>
          <w:szCs w:val="21"/>
          <w:lang w:val="zh-TW" w:eastAsia="zh-TW" w:bidi="zh-TW"/>
        </w:rPr>
        <w:t>款约定的设计开工日期延误，或</w:t>
      </w:r>
      <w:r>
        <w:rPr>
          <w:rFonts w:hint="eastAsia" w:ascii="宋体" w:hAnsi="宋体" w:cs="宋体"/>
          <w:b/>
          <w:bCs/>
          <w:color w:val="000000"/>
          <w:szCs w:val="21"/>
          <w:lang w:bidi="en-US"/>
        </w:rPr>
        <w:t>4.3.2</w:t>
      </w:r>
      <w:r>
        <w:rPr>
          <w:rFonts w:hint="eastAsia" w:ascii="宋体" w:hAnsi="宋体" w:cs="宋体"/>
          <w:color w:val="000000"/>
          <w:szCs w:val="21"/>
          <w:lang w:val="zh-TW" w:eastAsia="zh-TW" w:bidi="zh-TW"/>
        </w:rPr>
        <w:t>款约定的 采购开始日期延误，或造成</w:t>
      </w:r>
      <w:r>
        <w:rPr>
          <w:rFonts w:hint="eastAsia" w:ascii="宋体" w:hAnsi="宋体" w:cs="宋体"/>
          <w:b/>
          <w:bCs/>
          <w:color w:val="000000"/>
          <w:szCs w:val="21"/>
          <w:lang w:bidi="en-US"/>
        </w:rPr>
        <w:t>4.4.2</w:t>
      </w:r>
      <w:r>
        <w:rPr>
          <w:rFonts w:hint="eastAsia" w:ascii="宋体" w:hAnsi="宋体" w:cs="宋体"/>
          <w:color w:val="000000"/>
          <w:szCs w:val="21"/>
          <w:lang w:val="zh-TW" w:eastAsia="zh-TW" w:bidi="zh-TW"/>
        </w:rPr>
        <w:t>款施工开工日期延误的。</w:t>
      </w:r>
    </w:p>
    <w:p w14:paraId="2EAF0C0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4.2.4</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项的约定，因发包人原因，导致某个设计阶段审 核会议时间的延误。</w:t>
      </w:r>
    </w:p>
    <w:p w14:paraId="537B1E9A">
      <w:pPr>
        <w:tabs>
          <w:tab w:val="left" w:pos="596"/>
        </w:tabs>
        <w:spacing w:after="40" w:line="360" w:lineRule="auto"/>
        <w:ind w:firstLine="300"/>
        <w:rPr>
          <w:rFonts w:hint="eastAsia" w:ascii="宋体" w:hAnsi="宋体" w:cs="宋体"/>
          <w:color w:val="000000"/>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4.2.4</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项的约定，相关设计审查部门批准时间较合同约 定的时间延长的。</w:t>
      </w:r>
    </w:p>
    <w:p w14:paraId="1D38EDE3">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CN" w:bidi="zh-CN"/>
        </w:rPr>
        <w:t>(4)</w:t>
      </w:r>
      <w:r>
        <w:rPr>
          <w:rFonts w:hint="eastAsia" w:ascii="宋体" w:hAnsi="宋体" w:cs="宋体"/>
          <w:color w:val="000000"/>
          <w:szCs w:val="21"/>
          <w:lang w:val="zh-TW" w:eastAsia="zh-TW" w:bidi="zh-TW"/>
        </w:rPr>
        <w:t>合同约定的其它可延长竣工日期的情况。</w:t>
      </w:r>
    </w:p>
    <w:p w14:paraId="69320C8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4.1.4</w:t>
      </w:r>
      <w:r>
        <w:rPr>
          <w:rFonts w:hint="eastAsia" w:ascii="宋体" w:hAnsi="宋体" w:cs="宋体"/>
          <w:color w:val="000000"/>
          <w:szCs w:val="21"/>
          <w:lang w:val="zh-TW" w:eastAsia="zh-TW" w:bidi="zh-TW"/>
        </w:rPr>
        <w:t>发包人的赶工要求</w:t>
      </w:r>
    </w:p>
    <w:p w14:paraId="3656BA5A">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合同实施过程中发包人书面提出加快设计、釆购、施工、竣工试验的赶工要 求，被承包人接受时，承包人应提交赶工方案，釆取赶工措施。因赶工引起的费 用增加，按</w:t>
      </w:r>
      <w:r>
        <w:rPr>
          <w:rFonts w:hint="eastAsia" w:ascii="宋体" w:hAnsi="宋体" w:cs="宋体"/>
          <w:b/>
          <w:bCs/>
          <w:color w:val="000000"/>
          <w:szCs w:val="21"/>
          <w:lang w:bidi="en-US"/>
        </w:rPr>
        <w:t>13.2.4</w:t>
      </w:r>
      <w:r>
        <w:rPr>
          <w:rFonts w:hint="eastAsia" w:ascii="宋体" w:hAnsi="宋体" w:cs="宋体"/>
          <w:color w:val="000000"/>
          <w:szCs w:val="21"/>
          <w:lang w:val="zh-TW" w:eastAsia="zh-TW" w:bidi="zh-TW"/>
        </w:rPr>
        <w:t>款的变更约定执行。</w:t>
      </w:r>
    </w:p>
    <w:p w14:paraId="39B4834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4.2</w:t>
      </w:r>
      <w:r>
        <w:rPr>
          <w:rFonts w:hint="eastAsia" w:ascii="宋体" w:hAnsi="宋体" w:cs="宋体"/>
          <w:color w:val="000000"/>
          <w:szCs w:val="21"/>
          <w:lang w:val="zh-TW" w:eastAsia="zh-TW" w:bidi="zh-TW"/>
        </w:rPr>
        <w:t>设计进度计划</w:t>
      </w:r>
    </w:p>
    <w:p w14:paraId="589CFA0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4.2.1</w:t>
      </w:r>
      <w:r>
        <w:rPr>
          <w:rFonts w:hint="eastAsia" w:ascii="宋体" w:hAnsi="宋体" w:cs="宋体"/>
          <w:color w:val="000000"/>
          <w:szCs w:val="21"/>
          <w:lang w:val="zh-TW" w:eastAsia="zh-TW" w:bidi="zh-TW"/>
        </w:rPr>
        <w:t>设计进度计划</w:t>
      </w:r>
    </w:p>
    <w:p w14:paraId="08D4F4F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承包人根据批准的项目进度计划和</w:t>
      </w:r>
      <w:r>
        <w:rPr>
          <w:rFonts w:hint="eastAsia" w:ascii="宋体" w:hAnsi="宋体" w:cs="宋体"/>
          <w:b/>
          <w:bCs/>
          <w:color w:val="000000"/>
          <w:szCs w:val="21"/>
          <w:lang w:bidi="en-US"/>
        </w:rPr>
        <w:t>5.3.1</w:t>
      </w:r>
      <w:r>
        <w:rPr>
          <w:rFonts w:hint="eastAsia" w:ascii="宋体" w:hAnsi="宋体" w:cs="宋体"/>
          <w:color w:val="000000"/>
          <w:szCs w:val="21"/>
          <w:lang w:val="zh-TW" w:eastAsia="zh-TW" w:bidi="zh-TW"/>
        </w:rPr>
        <w:t>款约定的设计审査阶段及发包人组织的设计阶段审查会议的时间安排，编制设计进度计划。设计进度计划经发包人 认可后执行。发包人的认可并不能减轻或免除承包人的合同责任。</w:t>
      </w:r>
    </w:p>
    <w:p w14:paraId="2D4B1DE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4.2.2</w:t>
      </w:r>
      <w:r>
        <w:rPr>
          <w:rFonts w:hint="eastAsia" w:ascii="宋体" w:hAnsi="宋体" w:cs="宋体"/>
          <w:color w:val="000000"/>
          <w:szCs w:val="21"/>
          <w:lang w:val="zh-TW" w:eastAsia="zh-TW" w:bidi="zh-TW"/>
        </w:rPr>
        <w:t>设计开工日期</w:t>
      </w:r>
    </w:p>
    <w:p w14:paraId="06B5BAEC">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承包人收到发包人按</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款提供的项目基础资料、现场障碍资料，及</w:t>
      </w:r>
      <w:r>
        <w:rPr>
          <w:rFonts w:hint="eastAsia" w:ascii="宋体" w:hAnsi="宋体" w:cs="宋体"/>
          <w:b/>
          <w:bCs/>
          <w:color w:val="000000"/>
          <w:szCs w:val="21"/>
          <w:lang w:bidi="en-US"/>
        </w:rPr>
        <w:t xml:space="preserve">14.3.2 </w:t>
      </w:r>
      <w:r>
        <w:rPr>
          <w:rFonts w:hint="eastAsia" w:ascii="宋体" w:hAnsi="宋体" w:cs="宋体"/>
          <w:color w:val="000000"/>
          <w:szCs w:val="21"/>
          <w:lang w:val="zh-TW" w:eastAsia="zh-TW" w:bidi="zh-TW"/>
        </w:rPr>
        <w:t>款的预付款收到后的第</w:t>
      </w:r>
      <w:r>
        <w:rPr>
          <w:rFonts w:hint="eastAsia" w:ascii="宋体" w:hAnsi="宋体" w:cs="宋体"/>
          <w:b/>
          <w:bCs/>
          <w:color w:val="000000"/>
          <w:szCs w:val="21"/>
          <w:lang w:val="zh-TW" w:eastAsia="zh-TW" w:bidi="zh-TW"/>
        </w:rPr>
        <w:t xml:space="preserve">5 </w:t>
      </w:r>
      <w:r>
        <w:rPr>
          <w:rFonts w:hint="eastAsia" w:ascii="宋体" w:hAnsi="宋体" w:cs="宋体"/>
          <w:b/>
          <w:bCs/>
          <w:color w:val="000000"/>
          <w:szCs w:val="21"/>
          <w:lang w:bidi="en-US"/>
        </w:rPr>
        <w:t>S,</w:t>
      </w:r>
      <w:r>
        <w:rPr>
          <w:rFonts w:hint="eastAsia" w:ascii="宋体" w:hAnsi="宋体" w:cs="宋体"/>
          <w:color w:val="000000"/>
          <w:szCs w:val="21"/>
          <w:lang w:val="zh-TW" w:eastAsia="zh-TW" w:bidi="zh-TW"/>
        </w:rPr>
        <w:t>作为设计开工日期。</w:t>
      </w:r>
    </w:p>
    <w:p w14:paraId="26EE899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4.2.3</w:t>
      </w:r>
      <w:r>
        <w:rPr>
          <w:rFonts w:hint="eastAsia" w:ascii="宋体" w:hAnsi="宋体" w:cs="宋体"/>
          <w:color w:val="000000"/>
          <w:szCs w:val="21"/>
          <w:lang w:val="zh-TW" w:eastAsia="zh-TW" w:bidi="zh-TW"/>
        </w:rPr>
        <w:t>设计开工日期延误</w:t>
      </w:r>
    </w:p>
    <w:p w14:paraId="7E91297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因发包人未能按</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款的约定提供设计基础资料、现场障碍资料等相关资 料、或未按</w:t>
      </w: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款和</w:t>
      </w:r>
      <w:r>
        <w:rPr>
          <w:rFonts w:hint="eastAsia" w:ascii="宋体" w:hAnsi="宋体" w:cs="宋体"/>
          <w:b/>
          <w:bCs/>
          <w:color w:val="000000"/>
          <w:szCs w:val="21"/>
          <w:lang w:bidi="en-US"/>
        </w:rPr>
        <w:t>14.3.2</w:t>
      </w:r>
      <w:r>
        <w:rPr>
          <w:rFonts w:hint="eastAsia" w:ascii="宋体" w:hAnsi="宋体" w:cs="宋体"/>
          <w:color w:val="000000"/>
          <w:szCs w:val="21"/>
          <w:lang w:val="zh-TW" w:eastAsia="zh-TW" w:bidi="zh-TW"/>
        </w:rPr>
        <w:t>款约定的预付款金额和支付时间支付预付款，造成 设计开工日期延误的，设计开工日期和工程竣工日期相应顺延；因承包人原因造 成设计开工日期延误的，按</w:t>
      </w:r>
      <w:r>
        <w:rPr>
          <w:rFonts w:hint="eastAsia" w:ascii="宋体" w:hAnsi="宋体" w:cs="宋体"/>
          <w:b/>
          <w:bCs/>
          <w:color w:val="000000"/>
          <w:szCs w:val="21"/>
          <w:lang w:bidi="en-US"/>
        </w:rPr>
        <w:t>4.1.2</w:t>
      </w:r>
      <w:r>
        <w:rPr>
          <w:rFonts w:hint="eastAsia" w:ascii="宋体" w:hAnsi="宋体" w:cs="宋体"/>
          <w:color w:val="000000"/>
          <w:szCs w:val="21"/>
          <w:lang w:val="zh-TW" w:eastAsia="zh-TW" w:bidi="zh-TW"/>
        </w:rPr>
        <w:t>款的约定，自费赶上。因发包人原因给承包人 造成经济损失的，应支付相应费用。</w:t>
      </w:r>
    </w:p>
    <w:p w14:paraId="420D082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4.2.4</w:t>
      </w:r>
      <w:r>
        <w:rPr>
          <w:rFonts w:hint="eastAsia" w:ascii="宋体" w:hAnsi="宋体" w:cs="宋体"/>
          <w:color w:val="000000"/>
          <w:szCs w:val="21"/>
          <w:lang w:val="zh-TW" w:eastAsia="zh-TW" w:bidi="zh-TW"/>
        </w:rPr>
        <w:t>设计阶段审査日期的延误</w:t>
      </w:r>
    </w:p>
    <w:p w14:paraId="5E69DD53">
      <w:pPr>
        <w:tabs>
          <w:tab w:val="left" w:pos="596"/>
        </w:tabs>
        <w:spacing w:line="360" w:lineRule="auto"/>
        <w:ind w:firstLine="298" w:firstLineChars="142"/>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因承包人原因，未能按照合同约定的设计审查阶段及其审査会议的时 间安排提交相关阶段的设计文件、或提交的相关设计文件不符合相关审核阶段的 设计深度要求时，造成设计审査会议延误的，由承包人依据</w:t>
      </w:r>
      <w:r>
        <w:rPr>
          <w:rFonts w:hint="eastAsia" w:ascii="宋体" w:hAnsi="宋体" w:cs="宋体"/>
          <w:b/>
          <w:bCs/>
          <w:color w:val="000000"/>
          <w:szCs w:val="21"/>
          <w:lang w:val="zh-TW" w:eastAsia="zh-TW" w:bidi="zh-TW"/>
        </w:rPr>
        <w:t>4</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款的约定，自 费釆取措施赶上；造成关键路径延误，或给发包人造成损失(审核会议准备费用) 的，由承包人承担。</w:t>
      </w:r>
    </w:p>
    <w:p w14:paraId="0FD6FA53">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因发包人原因，未能遵守合同约定的设计阶段审査会议的时间安排， 造成某个设计阶段审査会议延误的，竣工日期相应顺延。因此给承包人带来的窝 工损失，由发包人承担。</w:t>
      </w:r>
    </w:p>
    <w:p w14:paraId="5D8BA2CF">
      <w:pPr>
        <w:tabs>
          <w:tab w:val="left" w:pos="601"/>
        </w:tabs>
        <w:spacing w:after="60"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政府相关设计审査部门批准时间较合同约定时间延长的，竣工日期相 应顺延。因此给双方带来的费用增加，由双方各自承担。</w:t>
      </w:r>
    </w:p>
    <w:p w14:paraId="396C230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4.3</w:t>
      </w:r>
      <w:r>
        <w:rPr>
          <w:rFonts w:hint="eastAsia" w:ascii="宋体" w:hAnsi="宋体" w:cs="宋体"/>
          <w:color w:val="000000"/>
          <w:szCs w:val="21"/>
          <w:lang w:val="zh-TW" w:eastAsia="zh-TW" w:bidi="zh-TW"/>
        </w:rPr>
        <w:t>釆购进度计划</w:t>
      </w:r>
    </w:p>
    <w:p w14:paraId="012F44B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4.3.1</w:t>
      </w:r>
      <w:r>
        <w:rPr>
          <w:rFonts w:hint="eastAsia" w:ascii="宋体" w:hAnsi="宋体" w:cs="宋体"/>
          <w:color w:val="000000"/>
          <w:szCs w:val="21"/>
          <w:lang w:val="zh-TW" w:eastAsia="zh-TW" w:bidi="zh-TW"/>
        </w:rPr>
        <w:t>釆购进度计划</w:t>
      </w:r>
    </w:p>
    <w:p w14:paraId="14ED69BC">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承包人的采购进度计划应符合项目进度计划的时间安排，并与设计、施工和 (或)竣工试验及竣工后试验的进度计划相衔接。釆购进度计划的提交份数和日期，在专用条款约定。</w:t>
      </w:r>
    </w:p>
    <w:p w14:paraId="0A8FFCA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4.3.2</w:t>
      </w:r>
      <w:r>
        <w:rPr>
          <w:rFonts w:hint="eastAsia" w:ascii="宋体" w:hAnsi="宋体" w:cs="宋体"/>
          <w:color w:val="000000"/>
          <w:szCs w:val="21"/>
          <w:lang w:val="zh-TW" w:eastAsia="zh-TW" w:bidi="zh-TW"/>
        </w:rPr>
        <w:t>釆购开始日期</w:t>
      </w:r>
    </w:p>
    <w:p w14:paraId="4A3A7C6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釆购开始日期在专用条款约定。</w:t>
      </w:r>
    </w:p>
    <w:p w14:paraId="2D1E9C5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4.3.3</w:t>
      </w:r>
      <w:r>
        <w:rPr>
          <w:rFonts w:hint="eastAsia" w:ascii="宋体" w:hAnsi="宋体" w:cs="宋体"/>
          <w:color w:val="000000"/>
          <w:szCs w:val="21"/>
          <w:lang w:val="zh-TW" w:eastAsia="zh-TW" w:bidi="zh-TW"/>
        </w:rPr>
        <w:t>釆购进度延误</w:t>
      </w:r>
    </w:p>
    <w:p w14:paraId="54952917">
      <w:pPr>
        <w:spacing w:after="60"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因承包人的原因导致釆购延误，造成的停工、窝工损失和竣工日期延误，由 承包人负责。因发包人原因导致釆购延误，给承包人造成的停工、窝工损失，由 发包人承担，若造成关键路径延误，竣工日期相应顺延。</w:t>
      </w:r>
    </w:p>
    <w:p w14:paraId="320F623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4.4</w:t>
      </w:r>
      <w:r>
        <w:rPr>
          <w:rFonts w:hint="eastAsia" w:ascii="宋体" w:hAnsi="宋体" w:cs="宋体"/>
          <w:color w:val="000000"/>
          <w:szCs w:val="21"/>
          <w:lang w:val="zh-TW" w:eastAsia="zh-TW" w:bidi="zh-TW"/>
        </w:rPr>
        <w:t>施工进度计划</w:t>
      </w:r>
    </w:p>
    <w:p w14:paraId="60ED4F7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4.4.1</w:t>
      </w:r>
      <w:r>
        <w:rPr>
          <w:rFonts w:hint="eastAsia" w:ascii="宋体" w:hAnsi="宋体" w:cs="宋体"/>
          <w:color w:val="000000"/>
          <w:szCs w:val="21"/>
          <w:lang w:val="zh-TW" w:eastAsia="zh-TW" w:bidi="zh-TW"/>
        </w:rPr>
        <w:t>施工进度计划</w:t>
      </w:r>
    </w:p>
    <w:p w14:paraId="58D0C3E0">
      <w:pPr>
        <w:spacing w:line="360" w:lineRule="auto"/>
        <w:ind w:firstLine="420" w:firstLineChars="2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承包人应在现场施工开工</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日前向发包人提交一份包括施工进度计划在内 的总体施工组织设计。施工进度计划的开竣工时间，应符合合同协议书对施工开 工和工程竣工日期的约定，并与项目进度计划的安排协调一致。发包人需承包人 提交关键单项工程或（和）关键分部分项工程施工进度计划的，在专用条款中约 定提交的份数和时间。</w:t>
      </w:r>
    </w:p>
    <w:p w14:paraId="07C3F47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4.4.2</w:t>
      </w:r>
      <w:r>
        <w:rPr>
          <w:rFonts w:hint="eastAsia" w:ascii="宋体" w:hAnsi="宋体" w:cs="宋体"/>
          <w:color w:val="000000"/>
          <w:szCs w:val="21"/>
          <w:lang w:val="zh-TW" w:eastAsia="zh-TW" w:bidi="zh-TW"/>
        </w:rPr>
        <w:t>施工开工日期延误</w:t>
      </w:r>
    </w:p>
    <w:p w14:paraId="408F1AB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施工开工日期延误的，根据下列约定确定延长竣工日期：</w:t>
      </w:r>
    </w:p>
    <w:p w14:paraId="0DA02C74">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因发包人原因造成承包人不能按时开工的，开竣工日期相应顺延。给 承包人造成经济损失的应支付相应费用。</w:t>
      </w:r>
    </w:p>
    <w:p w14:paraId="25CC2F7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因承包人原因不能按时开工的，需说明正当理由，自费釆取措施及早 开工，竣工日期不予延长。</w:t>
      </w:r>
    </w:p>
    <w:p w14:paraId="7A0A9682">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因不可抗力造成施工开工日期延误的，竣工日期相应顺延。</w:t>
      </w:r>
    </w:p>
    <w:p w14:paraId="53521A9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4.4.3</w:t>
      </w:r>
      <w:r>
        <w:rPr>
          <w:rFonts w:hint="eastAsia" w:ascii="宋体" w:hAnsi="宋体" w:cs="宋体"/>
          <w:color w:val="000000"/>
          <w:szCs w:val="21"/>
          <w:lang w:val="zh-TW" w:eastAsia="zh-TW" w:bidi="zh-TW"/>
        </w:rPr>
        <w:t>竣工日期</w:t>
      </w:r>
    </w:p>
    <w:p w14:paraId="6A1CE050">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承包项目的实施阶段含竣工试验阶段时，按以下方式确定计划竣工日 期和实际竣工日期：</w:t>
      </w:r>
    </w:p>
    <w:p w14:paraId="107EDF62">
      <w:pPr>
        <w:tabs>
          <w:tab w:val="left" w:pos="711"/>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根据专用条款</w:t>
      </w:r>
      <w:r>
        <w:rPr>
          <w:rFonts w:hint="eastAsia" w:ascii="宋体" w:hAnsi="宋体" w:cs="宋体"/>
          <w:b/>
          <w:bCs/>
          <w:color w:val="000000"/>
          <w:szCs w:val="21"/>
          <w:lang w:bidi="en-US"/>
        </w:rPr>
        <w:t>（9.1</w:t>
      </w:r>
      <w:r>
        <w:rPr>
          <w:rFonts w:hint="eastAsia" w:ascii="宋体" w:hAnsi="宋体" w:cs="宋体"/>
          <w:color w:val="000000"/>
          <w:szCs w:val="21"/>
          <w:lang w:val="zh-TW" w:eastAsia="zh-TW" w:bidi="zh-TW"/>
        </w:rPr>
        <w:t>款工程接收）约定的单项工程竣工日期，为单项 工程的计划竣工日期；工程中最后一个单项工程的计划竣工日期，为工程的计划 竣工日期；</w:t>
      </w:r>
    </w:p>
    <w:p w14:paraId="7705C474">
      <w:pPr>
        <w:tabs>
          <w:tab w:val="left" w:pos="711"/>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单项工程中最后一项竣工试验通过的日期，为该单项工程的实际竣 工日期；</w:t>
      </w:r>
    </w:p>
    <w:p w14:paraId="6D397BC7">
      <w:pPr>
        <w:tabs>
          <w:tab w:val="left" w:pos="702"/>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工程中最后一个单项工程通过竣工试验的日期，为工程的实际竣工 日期。</w:t>
      </w:r>
    </w:p>
    <w:p w14:paraId="535D87AF">
      <w:pPr>
        <w:tabs>
          <w:tab w:val="left" w:pos="582"/>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承包项目的实施阶段不含竣工试验阶段时，按以下方式确定计划竣工 日期和实际竣工日期：</w:t>
      </w:r>
    </w:p>
    <w:p w14:paraId="01BDD002">
      <w:pPr>
        <w:spacing w:line="360" w:lineRule="auto"/>
        <w:ind w:firstLine="422" w:firstLineChars="20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根据专用条款</w:t>
      </w:r>
      <w:r>
        <w:rPr>
          <w:rFonts w:hint="eastAsia" w:ascii="宋体" w:hAnsi="宋体" w:cs="宋体"/>
          <w:b/>
          <w:bCs/>
          <w:color w:val="000000"/>
          <w:szCs w:val="21"/>
          <w:lang w:bidi="en-US"/>
        </w:rPr>
        <w:t>（9.1</w:t>
      </w:r>
      <w:r>
        <w:rPr>
          <w:rFonts w:hint="eastAsia" w:ascii="宋体" w:hAnsi="宋体" w:cs="宋体"/>
          <w:color w:val="000000"/>
          <w:szCs w:val="21"/>
          <w:lang w:val="zh-TW" w:eastAsia="zh-TW" w:bidi="zh-TW"/>
        </w:rPr>
        <w:t>款工程接收）中所约定的单项工程竣工日期，为 单项工程的计划竣工日期；工程中最后一个单项工程的计划竣工日期，为工程的计划竣工日期；</w:t>
      </w:r>
    </w:p>
    <w:p w14:paraId="1F5FC20E">
      <w:pPr>
        <w:tabs>
          <w:tab w:val="left" w:pos="711"/>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承包人按合同约定，完成施工图纸规定的单项工程中的全部施工作 业，且符合合同约定的质量标准的日期，为单项工程的实际竣工日期；</w:t>
      </w:r>
    </w:p>
    <w:p w14:paraId="377A312B">
      <w:pPr>
        <w:tabs>
          <w:tab w:val="left" w:pos="711"/>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承包人按合同约定，完成施工图纸规定的工程中最后一个单项工程 的全部施工作业，且符合合同约定的质量标准的日期，为工程的实际竣工日期。</w:t>
      </w:r>
    </w:p>
    <w:p w14:paraId="3D0F72A7">
      <w:pPr>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承包人为竣工试验、或竣工后试验预留的施工部位、或发包人要求预 留的施工部位、不影响发包人实质操作使用的未完扫尾工程和缺陷修复，不影响 竣工日期的确定。</w:t>
      </w:r>
    </w:p>
    <w:p w14:paraId="0991F62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4.5</w:t>
      </w:r>
      <w:r>
        <w:rPr>
          <w:rFonts w:hint="eastAsia" w:ascii="宋体" w:hAnsi="宋体" w:cs="宋体"/>
          <w:color w:val="000000"/>
          <w:szCs w:val="21"/>
          <w:lang w:val="zh-TW" w:eastAsia="zh-TW" w:bidi="zh-TW"/>
        </w:rPr>
        <w:t>误期损害赔偿</w:t>
      </w:r>
    </w:p>
    <w:p w14:paraId="2CD79A44">
      <w:pPr>
        <w:spacing w:after="12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因承包人原因，造成工程竣工日期延误的，由承包人承担误期损害赔偿责任。 每日延误的赔偿金额，及累计的最高赔偿金额在专用条款中约定。发包人有权从 工程进度款、竣工结算款或约定提交的履约保函中扣除赔偿金额。</w:t>
      </w:r>
    </w:p>
    <w:p w14:paraId="463C845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w:t>
      </w:r>
      <w:r>
        <w:rPr>
          <w:rFonts w:hint="eastAsia" w:ascii="宋体" w:hAnsi="宋体" w:cs="宋体"/>
          <w:color w:val="000000"/>
          <w:szCs w:val="21"/>
          <w:lang w:val="zh-TW" w:eastAsia="zh-TW" w:bidi="zh-TW"/>
        </w:rPr>
        <w:t>暂停</w:t>
      </w:r>
    </w:p>
    <w:p w14:paraId="513CEF9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4.6.1</w:t>
      </w:r>
      <w:r>
        <w:rPr>
          <w:rFonts w:hint="eastAsia" w:ascii="宋体" w:hAnsi="宋体" w:cs="宋体"/>
          <w:color w:val="000000"/>
          <w:szCs w:val="21"/>
          <w:lang w:val="zh-TW" w:eastAsia="zh-TW" w:bidi="zh-TW"/>
        </w:rPr>
        <w:t>因发包人原因的暂停</w:t>
      </w:r>
    </w:p>
    <w:p w14:paraId="529729AA">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因发包人原因通知的暂停，应列明暂停的日期及预计暂停的期限。双方应遵 守</w:t>
      </w:r>
      <w:r>
        <w:rPr>
          <w:rFonts w:hint="eastAsia" w:ascii="宋体" w:hAnsi="宋体" w:cs="宋体"/>
          <w:b/>
          <w:bCs/>
          <w:color w:val="000000"/>
          <w:szCs w:val="21"/>
          <w:lang w:bidi="en-US"/>
        </w:rPr>
        <w:t>2.1.5</w:t>
      </w:r>
      <w:r>
        <w:rPr>
          <w:rFonts w:hint="eastAsia" w:ascii="宋体" w:hAnsi="宋体" w:cs="宋体"/>
          <w:color w:val="000000"/>
          <w:szCs w:val="21"/>
          <w:lang w:val="zh-TW" w:eastAsia="zh-TW" w:bidi="zh-TW"/>
        </w:rPr>
        <w:t>款和</w:t>
      </w:r>
      <w:r>
        <w:rPr>
          <w:rFonts w:hint="eastAsia" w:ascii="宋体" w:hAnsi="宋体" w:cs="宋体"/>
          <w:b/>
          <w:bCs/>
          <w:color w:val="000000"/>
          <w:szCs w:val="21"/>
          <w:lang w:bidi="en-US"/>
        </w:rPr>
        <w:t>3.1.4</w:t>
      </w:r>
      <w:r>
        <w:rPr>
          <w:rFonts w:hint="eastAsia" w:ascii="宋体" w:hAnsi="宋体" w:cs="宋体"/>
          <w:color w:val="000000"/>
          <w:szCs w:val="21"/>
          <w:lang w:val="zh-TW" w:eastAsia="zh-TW" w:bidi="zh-TW"/>
        </w:rPr>
        <w:t>款的相关约定。</w:t>
      </w:r>
    </w:p>
    <w:p w14:paraId="5473240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4.6.2</w:t>
      </w:r>
      <w:r>
        <w:rPr>
          <w:rFonts w:hint="eastAsia" w:ascii="宋体" w:hAnsi="宋体" w:cs="宋体"/>
          <w:color w:val="000000"/>
          <w:szCs w:val="21"/>
          <w:lang w:val="zh-TW" w:eastAsia="zh-TW" w:bidi="zh-TW"/>
        </w:rPr>
        <w:t>因不可抗力造成的暂停</w:t>
      </w:r>
    </w:p>
    <w:p w14:paraId="56F3D12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因不可抗力造成工程暂停时，双方根据</w:t>
      </w:r>
      <w:r>
        <w:rPr>
          <w:rFonts w:hint="eastAsia" w:ascii="宋体" w:hAnsi="宋体" w:cs="宋体"/>
          <w:b/>
          <w:bCs/>
          <w:color w:val="000000"/>
          <w:szCs w:val="21"/>
          <w:lang w:bidi="en-US"/>
        </w:rPr>
        <w:t>17.1</w:t>
      </w:r>
      <w:r>
        <w:rPr>
          <w:rFonts w:hint="eastAsia" w:ascii="宋体" w:hAnsi="宋体" w:cs="宋体"/>
          <w:color w:val="000000"/>
          <w:szCs w:val="21"/>
          <w:lang w:val="zh-TW" w:eastAsia="zh-TW" w:bidi="zh-TW"/>
        </w:rPr>
        <w:t>款不可抗力发生时的义务和</w:t>
      </w:r>
      <w:r>
        <w:rPr>
          <w:rFonts w:hint="eastAsia" w:ascii="宋体" w:hAnsi="宋体" w:cs="宋体"/>
          <w:b/>
          <w:bCs/>
          <w:color w:val="000000"/>
          <w:szCs w:val="21"/>
          <w:lang w:bidi="en-US"/>
        </w:rPr>
        <w:t xml:space="preserve">17.2 </w:t>
      </w:r>
      <w:r>
        <w:rPr>
          <w:rFonts w:hint="eastAsia" w:ascii="宋体" w:hAnsi="宋体" w:cs="宋体"/>
          <w:color w:val="000000"/>
          <w:szCs w:val="21"/>
          <w:lang w:val="zh-TW" w:eastAsia="zh-TW" w:bidi="zh-TW"/>
        </w:rPr>
        <w:t>款不可抗力的后果的条款的约定，安排各自的工作。</w:t>
      </w:r>
    </w:p>
    <w:p w14:paraId="60A40B3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4.6.3</w:t>
      </w:r>
      <w:r>
        <w:rPr>
          <w:rFonts w:hint="eastAsia" w:ascii="宋体" w:hAnsi="宋体" w:cs="宋体"/>
          <w:color w:val="000000"/>
          <w:szCs w:val="21"/>
          <w:lang w:val="zh-TW" w:eastAsia="zh-TW" w:bidi="zh-TW"/>
        </w:rPr>
        <w:t>暂停时承包人的工作</w:t>
      </w:r>
    </w:p>
    <w:p w14:paraId="0A37F13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当发生</w:t>
      </w:r>
      <w:r>
        <w:rPr>
          <w:rFonts w:hint="eastAsia" w:ascii="宋体" w:hAnsi="宋体" w:cs="宋体"/>
          <w:b/>
          <w:bCs/>
          <w:color w:val="000000"/>
          <w:szCs w:val="21"/>
          <w:lang w:bidi="en-US"/>
        </w:rPr>
        <w:t>4.6.1</w:t>
      </w:r>
      <w:r>
        <w:rPr>
          <w:rFonts w:hint="eastAsia" w:ascii="宋体" w:hAnsi="宋体" w:cs="宋体"/>
          <w:color w:val="000000"/>
          <w:szCs w:val="21"/>
          <w:lang w:val="zh-TW" w:eastAsia="zh-TW" w:bidi="zh-TW"/>
        </w:rPr>
        <w:t>款发包人的暂停和</w:t>
      </w:r>
      <w:r>
        <w:rPr>
          <w:rFonts w:hint="eastAsia" w:ascii="宋体" w:hAnsi="宋体" w:cs="宋体"/>
          <w:b/>
          <w:bCs/>
          <w:color w:val="000000"/>
          <w:szCs w:val="21"/>
          <w:lang w:bidi="en-US"/>
        </w:rPr>
        <w:t>4.6.2</w:t>
      </w:r>
      <w:r>
        <w:rPr>
          <w:rFonts w:hint="eastAsia" w:ascii="宋体" w:hAnsi="宋体" w:cs="宋体"/>
          <w:color w:val="000000"/>
          <w:szCs w:val="21"/>
          <w:lang w:val="zh-TW" w:eastAsia="zh-TW" w:bidi="zh-TW"/>
        </w:rPr>
        <w:t>款因不可抗力约定的暂停时，承包人应 立即停止现场的实施工作，并根据合同约定负责在暂停期间，对工程、工程物资 及承包人文件等进行照管和保护。因承包人未能尽到照管、保护的责任，造成损 坏、丢失等，使发包人的费用增加，和（或）竣工日期延误的，由承包人负责。</w:t>
      </w:r>
    </w:p>
    <w:p w14:paraId="371C189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4.6.4</w:t>
      </w:r>
      <w:r>
        <w:rPr>
          <w:rFonts w:hint="eastAsia" w:ascii="宋体" w:hAnsi="宋体" w:cs="宋体"/>
          <w:color w:val="000000"/>
          <w:szCs w:val="21"/>
          <w:lang w:val="zh-TW" w:eastAsia="zh-TW" w:bidi="zh-TW"/>
        </w:rPr>
        <w:t>承包人的复工要求</w:t>
      </w:r>
    </w:p>
    <w:p w14:paraId="4779C37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根据发包人通知暂停的，承包人有权在暂停</w:t>
      </w:r>
      <w:r>
        <w:rPr>
          <w:rFonts w:hint="eastAsia" w:ascii="宋体" w:hAnsi="宋体" w:cs="宋体"/>
          <w:b/>
          <w:bCs/>
          <w:color w:val="000000"/>
          <w:szCs w:val="21"/>
          <w:lang w:val="zh-TW" w:eastAsia="zh-TW" w:bidi="zh-TW"/>
        </w:rPr>
        <w:t>45</w:t>
      </w:r>
      <w:r>
        <w:rPr>
          <w:rFonts w:hint="eastAsia" w:ascii="宋体" w:hAnsi="宋体" w:cs="宋体"/>
          <w:color w:val="000000"/>
          <w:szCs w:val="21"/>
          <w:lang w:val="zh-TW" w:eastAsia="zh-TW" w:bidi="zh-TW"/>
        </w:rPr>
        <w:t>日后向发包人发出要求复工 的通知。不能复工时，承包人有权根据</w:t>
      </w:r>
      <w:r>
        <w:rPr>
          <w:rFonts w:hint="eastAsia" w:ascii="宋体" w:hAnsi="宋体" w:cs="宋体"/>
          <w:b/>
          <w:bCs/>
          <w:color w:val="000000"/>
          <w:szCs w:val="21"/>
          <w:lang w:bidi="en-US"/>
        </w:rPr>
        <w:t>13.2.5</w:t>
      </w:r>
      <w:r>
        <w:rPr>
          <w:rFonts w:hint="eastAsia" w:ascii="宋体" w:hAnsi="宋体" w:cs="宋体"/>
          <w:color w:val="000000"/>
          <w:szCs w:val="21"/>
          <w:lang w:val="zh-TW" w:eastAsia="zh-TW" w:bidi="zh-TW"/>
        </w:rPr>
        <w:t>款调减部分工程的约定，以变更方 式调减受暂停影响的部分工程。</w:t>
      </w:r>
    </w:p>
    <w:p w14:paraId="05DB844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发包人的暂停超过</w:t>
      </w:r>
      <w:r>
        <w:rPr>
          <w:rFonts w:hint="eastAsia" w:ascii="宋体" w:hAnsi="宋体" w:cs="宋体"/>
          <w:b/>
          <w:bCs/>
          <w:color w:val="000000"/>
          <w:szCs w:val="21"/>
          <w:lang w:val="zh-TW" w:eastAsia="zh-TW" w:bidi="zh-TW"/>
        </w:rPr>
        <w:t>45</w:t>
      </w:r>
      <w:r>
        <w:rPr>
          <w:rFonts w:hint="eastAsia" w:ascii="宋体" w:hAnsi="宋体" w:cs="宋体"/>
          <w:color w:val="000000"/>
          <w:szCs w:val="21"/>
          <w:lang w:val="zh-TW" w:eastAsia="zh-TW" w:bidi="zh-TW"/>
        </w:rPr>
        <w:t>日且暂停影响到整个工程，或发包人的暂停超过</w:t>
      </w:r>
      <w:r>
        <w:rPr>
          <w:rFonts w:hint="eastAsia" w:ascii="宋体" w:hAnsi="宋体" w:cs="宋体"/>
          <w:b/>
          <w:bCs/>
          <w:color w:val="000000"/>
          <w:szCs w:val="21"/>
          <w:lang w:val="zh-TW" w:eastAsia="zh-TW" w:bidi="zh-TW"/>
        </w:rPr>
        <w:t xml:space="preserve">180 </w:t>
      </w:r>
      <w:r>
        <w:rPr>
          <w:rFonts w:hint="eastAsia" w:ascii="宋体" w:hAnsi="宋体" w:cs="宋体"/>
          <w:color w:val="000000"/>
          <w:szCs w:val="21"/>
          <w:lang w:val="zh-TW" w:eastAsia="zh-TW" w:bidi="zh-TW"/>
        </w:rPr>
        <w:t>日，或因不可抗力的暂停致使合同无法履行，承包人有权根据</w:t>
      </w:r>
      <w:r>
        <w:rPr>
          <w:rFonts w:hint="eastAsia" w:ascii="宋体" w:hAnsi="宋体" w:cs="宋体"/>
          <w:b/>
          <w:bCs/>
          <w:color w:val="000000"/>
          <w:szCs w:val="21"/>
          <w:lang w:bidi="en-US"/>
        </w:rPr>
        <w:t>18.2</w:t>
      </w:r>
      <w:r>
        <w:rPr>
          <w:rFonts w:hint="eastAsia" w:ascii="宋体" w:hAnsi="宋体" w:cs="宋体"/>
          <w:color w:val="000000"/>
          <w:szCs w:val="21"/>
          <w:lang w:val="zh-TW" w:eastAsia="zh-TW" w:bidi="zh-TW"/>
        </w:rPr>
        <w:t>款由承包人 解除合同的约定，发出解除合同的通知。</w:t>
      </w:r>
    </w:p>
    <w:p w14:paraId="4C424CF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4.6.5</w:t>
      </w:r>
      <w:r>
        <w:rPr>
          <w:rFonts w:hint="eastAsia" w:ascii="宋体" w:hAnsi="宋体" w:cs="宋体"/>
          <w:color w:val="000000"/>
          <w:szCs w:val="21"/>
          <w:lang w:val="zh-TW" w:eastAsia="zh-TW" w:bidi="zh-TW"/>
        </w:rPr>
        <w:t>发包人的复工</w:t>
      </w:r>
    </w:p>
    <w:p w14:paraId="42C88384">
      <w:pPr>
        <w:spacing w:line="360" w:lineRule="auto"/>
        <w:rPr>
          <w:rFonts w:hint="eastAsia" w:ascii="宋体" w:hAnsi="宋体" w:cs="宋体"/>
          <w:szCs w:val="21"/>
          <w:lang w:val="zh-TW" w:eastAsia="zh-TW" w:bidi="zh-TW"/>
        </w:rPr>
      </w:pPr>
      <w:r>
        <w:rPr>
          <w:rFonts w:hint="eastAsia" w:ascii="宋体" w:hAnsi="宋体" w:cs="宋体"/>
          <w:color w:val="000000"/>
          <w:szCs w:val="21"/>
          <w:lang w:val="zh-TW" w:eastAsia="zh-TW" w:bidi="zh-TW"/>
        </w:rPr>
        <w:t>发包人发出复工通知后，有权组织承包人对受暂停影响的工程、工程物资进行检査，承包人应将检査结果及需要恢复、修复的内容和估算通知发包人，经发 包人确认后，所发生的恢复、修复价款由发包人承担。因恢复、修复造成工程关 键路径延误的，竣工日期相应延长。</w:t>
      </w:r>
    </w:p>
    <w:p w14:paraId="223F208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4.6.6</w:t>
      </w:r>
      <w:r>
        <w:rPr>
          <w:rFonts w:hint="eastAsia" w:ascii="宋体" w:hAnsi="宋体" w:cs="宋体"/>
          <w:color w:val="000000"/>
          <w:szCs w:val="21"/>
          <w:lang w:val="zh-TW" w:eastAsia="zh-TW" w:bidi="zh-TW"/>
        </w:rPr>
        <w:t>因承包人原因的暂停</w:t>
      </w:r>
    </w:p>
    <w:p w14:paraId="05C6D54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因承包人原因造成部分工程或工程的暂停的，所发生的损失、损害及竣工日 期延误，由承包人负责。</w:t>
      </w:r>
    </w:p>
    <w:p w14:paraId="7868CF1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4.6.7</w:t>
      </w:r>
      <w:r>
        <w:rPr>
          <w:rFonts w:hint="eastAsia" w:ascii="宋体" w:hAnsi="宋体" w:cs="宋体"/>
          <w:color w:val="000000"/>
          <w:szCs w:val="21"/>
          <w:lang w:val="zh-TW" w:eastAsia="zh-TW" w:bidi="zh-TW"/>
        </w:rPr>
        <w:t>工程暂停时的付款</w:t>
      </w:r>
    </w:p>
    <w:p w14:paraId="0EF7C8A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因发包人原因暂停的复工后，未影响到整个工程实施时，双方应依据</w:t>
      </w:r>
      <w:r>
        <w:rPr>
          <w:rFonts w:hint="eastAsia" w:ascii="宋体" w:hAnsi="宋体" w:cs="宋体"/>
          <w:b/>
          <w:bCs/>
          <w:color w:val="000000"/>
          <w:szCs w:val="21"/>
          <w:lang w:bidi="en-US"/>
        </w:rPr>
        <w:t xml:space="preserve">2.1.5 </w:t>
      </w:r>
      <w:r>
        <w:rPr>
          <w:rFonts w:hint="eastAsia" w:ascii="宋体" w:hAnsi="宋体" w:cs="宋体"/>
          <w:color w:val="000000"/>
          <w:szCs w:val="21"/>
          <w:lang w:val="zh-TW" w:eastAsia="zh-TW" w:bidi="zh-TW"/>
        </w:rPr>
        <w:t>款的约定商定因该暂停给承包人所增加的合理费用，承包人应将其款项纳入当期 的付款申请，由发包人审査支付。</w:t>
      </w:r>
    </w:p>
    <w:p w14:paraId="1B8B198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因发包人原因暂停的复工后，影响到部分工程实施时，且承包人根据</w:t>
      </w:r>
      <w:r>
        <w:rPr>
          <w:rFonts w:hint="eastAsia" w:ascii="宋体" w:hAnsi="宋体" w:cs="宋体"/>
          <w:b/>
          <w:bCs/>
          <w:color w:val="000000"/>
          <w:szCs w:val="21"/>
          <w:lang w:bidi="en-US"/>
        </w:rPr>
        <w:t xml:space="preserve">4.6.4 </w:t>
      </w:r>
      <w:r>
        <w:rPr>
          <w:rFonts w:hint="eastAsia" w:ascii="宋体" w:hAnsi="宋体" w:cs="宋体"/>
          <w:color w:val="000000"/>
          <w:szCs w:val="21"/>
          <w:lang w:val="zh-TW" w:eastAsia="zh-TW" w:bidi="zh-TW"/>
        </w:rPr>
        <w:t>款要求调减部分工程并经发包人批准，发包人应从合同价格中调减该部分款项， 双方还应依据</w:t>
      </w:r>
      <w:r>
        <w:rPr>
          <w:rFonts w:hint="eastAsia" w:ascii="宋体" w:hAnsi="宋体" w:cs="宋体"/>
          <w:b/>
          <w:bCs/>
          <w:color w:val="000000"/>
          <w:szCs w:val="21"/>
          <w:lang w:bidi="en-US"/>
        </w:rPr>
        <w:t>2.1.5</w:t>
      </w:r>
      <w:r>
        <w:rPr>
          <w:rFonts w:hint="eastAsia" w:ascii="宋体" w:hAnsi="宋体" w:cs="宋体"/>
          <w:color w:val="000000"/>
          <w:szCs w:val="21"/>
          <w:lang w:val="zh-TW" w:eastAsia="zh-TW" w:bidi="zh-TW"/>
        </w:rPr>
        <w:t>款的约定商定承包人因该暂停所增加的合理费用，承包人应 将其增减的款项纳入当期付款申请，由发包人审査支付。</w:t>
      </w:r>
    </w:p>
    <w:p w14:paraId="7E8BCA85">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因发包人原因的暂停，致使合同无法履行时，且承包人根据</w:t>
      </w:r>
      <w:r>
        <w:rPr>
          <w:rFonts w:hint="eastAsia" w:ascii="宋体" w:hAnsi="宋体" w:cs="宋体"/>
          <w:b/>
          <w:bCs/>
          <w:color w:val="000000"/>
          <w:szCs w:val="21"/>
          <w:lang w:bidi="en-US"/>
        </w:rPr>
        <w:t>4.6.4</w:t>
      </w:r>
      <w:r>
        <w:rPr>
          <w:rFonts w:hint="eastAsia" w:ascii="宋体" w:hAnsi="宋体" w:cs="宋体"/>
          <w:color w:val="000000"/>
          <w:szCs w:val="21"/>
          <w:lang w:val="zh-TW" w:eastAsia="zh-TW" w:bidi="zh-TW"/>
        </w:rPr>
        <w:t>款第二段 的约定发出解除合同的通知后，双方应根据</w:t>
      </w:r>
      <w:r>
        <w:rPr>
          <w:rFonts w:hint="eastAsia" w:ascii="宋体" w:hAnsi="宋体" w:cs="宋体"/>
          <w:b/>
          <w:bCs/>
          <w:color w:val="000000"/>
          <w:szCs w:val="21"/>
          <w:lang w:bidi="en-US"/>
        </w:rPr>
        <w:t xml:space="preserve">18. </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款由承包人解除合同的相关约 定，办理结算和付款。</w:t>
      </w:r>
    </w:p>
    <w:p w14:paraId="07BA4314">
      <w:pPr>
        <w:keepNext/>
        <w:keepLines/>
        <w:spacing w:after="100" w:line="360" w:lineRule="auto"/>
        <w:ind w:firstLine="220"/>
        <w:outlineLvl w:val="1"/>
        <w:rPr>
          <w:rFonts w:hint="eastAsia" w:ascii="宋体" w:hAnsi="宋体" w:cs="宋体"/>
          <w:b/>
          <w:bCs/>
          <w:color w:val="000000"/>
          <w:szCs w:val="21"/>
          <w:lang w:val="zh-TW" w:eastAsia="zh-TW" w:bidi="zh-TW"/>
        </w:rPr>
      </w:pPr>
      <w:r>
        <w:rPr>
          <w:rFonts w:hint="eastAsia" w:ascii="宋体" w:hAnsi="宋体" w:cs="宋体"/>
          <w:b/>
          <w:bCs/>
          <w:color w:val="000000"/>
          <w:szCs w:val="21"/>
          <w:lang w:val="zh-TW" w:eastAsia="zh-TW" w:bidi="zh-TW"/>
        </w:rPr>
        <w:t>第5条技术与设计</w:t>
      </w:r>
    </w:p>
    <w:p w14:paraId="6EEE8326">
      <w:pPr>
        <w:spacing w:after="10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5.1</w:t>
      </w:r>
      <w:r>
        <w:rPr>
          <w:rFonts w:hint="eastAsia" w:ascii="宋体" w:hAnsi="宋体" w:cs="宋体"/>
          <w:color w:val="000000"/>
          <w:szCs w:val="21"/>
          <w:lang w:val="zh-TW" w:eastAsia="zh-TW" w:bidi="zh-TW"/>
        </w:rPr>
        <w:t>生产工艺技术、建筑设计方案</w:t>
      </w:r>
    </w:p>
    <w:p w14:paraId="06E7D14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5.1.1</w:t>
      </w:r>
      <w:r>
        <w:rPr>
          <w:rFonts w:hint="eastAsia" w:ascii="宋体" w:hAnsi="宋体" w:cs="宋体"/>
          <w:color w:val="000000"/>
          <w:szCs w:val="21"/>
          <w:lang w:val="zh-TW" w:eastAsia="zh-TW" w:bidi="zh-TW"/>
        </w:rPr>
        <w:t>承包人提供的生产工艺技术和（或）建筑设计方案</w:t>
      </w:r>
    </w:p>
    <w:p w14:paraId="69458BF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承包人负责提供生产工艺技术（含专利技术、专有技术、工艺包）和（或） 建筑设计方案（含总体布局、功能分区、建筑造型和主体结构等）时，应对所提 供的工艺流程、工艺技术数据、工艺条件、软件、分析手册、操作指导书、设备 制造指导书和其它资料要求，和（或）总体布局、功能分区、建筑造型及其结构 设计等负责。</w:t>
      </w:r>
    </w:p>
    <w:p w14:paraId="6A59DC6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承包人应对专用条款约定的试运行考核保证值、和（或）使用功能保证的说 明负责。该试运行考核保证值、和（或）使用功能保证的说明，作为发包人根据 </w:t>
      </w: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款进行试运行考核的评价依据。</w:t>
      </w:r>
    </w:p>
    <w:p w14:paraId="5080824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5.1.2</w:t>
      </w:r>
      <w:r>
        <w:rPr>
          <w:rFonts w:hint="eastAsia" w:ascii="宋体" w:hAnsi="宋体" w:cs="宋体"/>
          <w:color w:val="000000"/>
          <w:szCs w:val="21"/>
          <w:lang w:val="zh-TW" w:eastAsia="zh-TW" w:bidi="zh-TW"/>
        </w:rPr>
        <w:t>发包人提供的生产工艺技术和（或）建筑设计方案</w:t>
      </w:r>
    </w:p>
    <w:p w14:paraId="715D7AD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发包人负责提供的生产工艺技术（含专利技术、专有技术、工艺包）和（或）建筑设计方案（含总体布局、功能分区、建筑造型、主体结构，或发包人委托第 三方设计单位提供的建筑设计方案）时，应对所提供的工艺流程、工艺技术数据、 工艺条件、软件、分析手册、操作指导书、设备制造指导书和其他承包人的文件 资料、发包人的要求，和（或）总体布局、功能分区、建筑造型、主体结构等， 或第三方设计单位提供的建筑设计方案负责。</w:t>
      </w:r>
    </w:p>
    <w:p w14:paraId="66585DBB">
      <w:pPr>
        <w:spacing w:after="12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款进行试运行考核和考核责任的评价依据。</w:t>
      </w:r>
    </w:p>
    <w:p w14:paraId="4770CB0F">
      <w:pPr>
        <w:keepNext/>
        <w:keepLines/>
        <w:spacing w:after="100" w:line="360" w:lineRule="auto"/>
        <w:ind w:firstLine="220"/>
        <w:outlineLvl w:val="1"/>
        <w:rPr>
          <w:rFonts w:hint="eastAsia" w:ascii="宋体" w:hAnsi="宋体" w:cs="宋体"/>
          <w:b/>
          <w:bCs/>
          <w:color w:val="000000"/>
          <w:szCs w:val="21"/>
          <w:lang w:val="zh-TW" w:eastAsia="zh-TW" w:bidi="zh-TW"/>
        </w:rPr>
      </w:pPr>
      <w:r>
        <w:rPr>
          <w:rFonts w:hint="eastAsia" w:ascii="宋体" w:hAnsi="宋体" w:cs="宋体"/>
          <w:b/>
          <w:bCs/>
          <w:color w:val="000000"/>
          <w:szCs w:val="21"/>
          <w:lang w:bidi="zh-TW"/>
        </w:rPr>
        <w:t>5.2</w:t>
      </w:r>
      <w:r>
        <w:rPr>
          <w:rFonts w:hint="eastAsia" w:ascii="宋体" w:hAnsi="宋体" w:cs="宋体"/>
          <w:b/>
          <w:bCs/>
          <w:color w:val="000000"/>
          <w:szCs w:val="21"/>
          <w:lang w:val="zh-TW" w:eastAsia="zh-TW" w:bidi="zh-TW"/>
        </w:rPr>
        <w:t>设计</w:t>
      </w:r>
    </w:p>
    <w:p w14:paraId="3BB7D78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发包人的义务</w:t>
      </w:r>
    </w:p>
    <w:p w14:paraId="7787A94E">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提供项目基础资料。发包人应按合同约定、法律或行业规定，向承包 人提供设计需要的项目基础资料，并对其真实性、准确性、齐全性和及时性负责。 上述项目基础资料不真实、不准确或不齐全时，发包人有义务按约定的时间向承 包人提供进一步补充资料。提供项目基础资料的类别、内容、份数和时间在专用 条款中约定。其中，工程场地的基准坐标资料（包括基准控制点、基准控制标高 和基准坐标控制线），发包人应按约定的时间，有义务配合承包人在现场的实测 复验。承包人因纠正坐标资料中的错误，造成费用增加或（和）工期延误，由发 包人负责其相关费用增加，竣工日期给予合理延长。</w:t>
      </w:r>
    </w:p>
    <w:p w14:paraId="5512C34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发包人提供的项目基础资料中有专利商提供的技术或工艺包,或是第三方设 计单位提供的建筑造型等，发包人应组织专利商或第三方设计单位与承包人进行 数据、条件和资料的交换、协调和交接。</w:t>
      </w:r>
    </w:p>
    <w:p w14:paraId="7E621FA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发包人未能按约定时间提供项目基础资料及其补充资料、或提供的资料不真 实、不准确、不齐全、或发包人计划变更，造成承包人设计停工、返工或修改的， 发包人应按承包人额外增加的设计工作量赔偿其损失。造成工程关键路径延误 的，竣工日期相应顺延。</w:t>
      </w:r>
    </w:p>
    <w:p w14:paraId="0F1E191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提供现场障碍资料。除专用条款另有约定外，发包人应按合同约定和 适用法律规定，在设计开始前，提供与设计、施工有关的地上、地下已有的建筑 物、构筑物等现场障碍资料，并对其真实性、准确性、齐全性和及时性负责。因 提供的资料不真实、不准确、不齐全、不及时，造承包人的设计停工、返工和修 改的，发包人应按承包人额外增加的设计工作量赔偿其损失。造成工程关键路径 延误的，竣工日期相应顺延。提供项目障碍资料的类别、内容、份数和时间安排， 在专用条款中约定。</w:t>
      </w:r>
    </w:p>
    <w:p w14:paraId="38509B64">
      <w:pPr>
        <w:tabs>
          <w:tab w:val="left" w:pos="59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承包人无法核实发包人所提供的项目基础资料中的数据、条件和资料 的，发包人有义务给予进一步确认。</w:t>
      </w:r>
    </w:p>
    <w:p w14:paraId="673C863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en-US" w:bidi="en-US"/>
        </w:rPr>
        <w:t>5.2.2</w:t>
      </w:r>
      <w:r>
        <w:rPr>
          <w:rFonts w:hint="eastAsia" w:ascii="宋体" w:hAnsi="宋体" w:cs="宋体"/>
          <w:color w:val="000000"/>
          <w:szCs w:val="21"/>
          <w:lang w:val="zh-TW" w:eastAsia="zh-TW" w:bidi="zh-TW"/>
        </w:rPr>
        <w:t>承包人的义务</w:t>
      </w:r>
    </w:p>
    <w:p w14:paraId="2218D83B">
      <w:pPr>
        <w:numPr>
          <w:ilvl w:val="0"/>
          <w:numId w:val="2"/>
        </w:numPr>
        <w:tabs>
          <w:tab w:val="left" w:pos="596"/>
        </w:tabs>
        <w:spacing w:after="40"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承包人与发包人（及其专利商、第三方设计单位）应以书面形式交接 发包人按</w:t>
      </w:r>
      <w:r>
        <w:rPr>
          <w:rFonts w:hint="eastAsia" w:ascii="宋体" w:hAnsi="宋体" w:cs="宋体"/>
          <w:b/>
          <w:bCs/>
          <w:color w:val="000000"/>
          <w:szCs w:val="21"/>
          <w:lang w:val="zh-TW" w:eastAsia="zh-TW" w:bidi="zh-TW"/>
        </w:rPr>
        <w:t>521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项提供与设计有关的项目基础资料、第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项提供的 与设计有关的现场障碍资料。对这些资料中的短缺、遗漏、错误、疑问，承包人 应在收到发包人提供的上述资料后</w:t>
      </w:r>
      <w:r>
        <w:rPr>
          <w:rFonts w:hint="eastAsia" w:ascii="宋体" w:hAnsi="宋体" w:cs="宋体"/>
          <w:b/>
          <w:bCs/>
          <w:color w:val="000000"/>
          <w:szCs w:val="21"/>
          <w:lang w:val="zh-CN" w:bidi="zh-CN"/>
        </w:rPr>
        <w:t>15</w:t>
      </w:r>
      <w:r>
        <w:rPr>
          <w:rFonts w:hint="eastAsia" w:ascii="宋体" w:hAnsi="宋体" w:cs="宋体"/>
          <w:color w:val="000000"/>
          <w:szCs w:val="21"/>
          <w:lang w:val="zh-TW" w:eastAsia="zh-TW" w:bidi="zh-TW"/>
        </w:rPr>
        <w:t>日内向发包人提出进一步的要求。因承包 人未能在上述时间内提出要求而发生的损失由承包人自行承担；由此造成工程关 键路径延误的，竣工日期不予顺延。其中，对工程场地的基准坐标资料（包括基 准控制点、基准控制标高和基准坐标控制线），承包人有义务约定实测复验的时 间并纠正其错误（如果有），因承包人对此项工作的延误，导致的费用增加和关 键路线延误，由承包人承担。</w:t>
      </w:r>
    </w:p>
    <w:p w14:paraId="75742226">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承包人有义务按照发包人提供的项目基础资料、现场障碍资料和国家 有关部门、行业工程建设标准规范规定的设计深度开展工程设计，并对其设计的 工艺技术和（或）建筑功能，及工程的安全、环境保护、职业健康的标准，设备 材料的质量、工程质量和完成时间负责。因承包人设计的原因，造成的费用增加、 竣工日期延误，由承包人承担。</w:t>
      </w:r>
    </w:p>
    <w:p w14:paraId="4F1A179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遵守标准、规范</w:t>
      </w:r>
    </w:p>
    <w:p w14:paraId="4192DE1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b/>
          <w:bCs/>
          <w:color w:val="000000"/>
          <w:szCs w:val="21"/>
          <w:lang w:bidi="en-US"/>
        </w:rPr>
        <w:t>1.5</w:t>
      </w:r>
      <w:r>
        <w:rPr>
          <w:rFonts w:hint="eastAsia" w:ascii="宋体" w:hAnsi="宋体" w:cs="宋体"/>
          <w:color w:val="000000"/>
          <w:szCs w:val="21"/>
          <w:lang w:val="zh-TW" w:eastAsia="zh-TW" w:bidi="zh-TW"/>
        </w:rPr>
        <w:t>款约定的标准、规范，适用于发包人按单项工程接收和（或）整个 工程接收。</w:t>
      </w:r>
    </w:p>
    <w:p w14:paraId="473AD7AB">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在合同实施过程中国家颁布了新的标准或规范时，承包人应向发包人 提交有关新标准、新规范的建议书。对其中的强制性标准、规范，承包人应严格 遵守，发包人作为变更处理；对于非强制性的标准、规范，发包人可决定釆用或 不釆用，决定釆用时，作为变更处理。</w:t>
      </w:r>
    </w:p>
    <w:p w14:paraId="6B9BE9D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依据适用法律和合同约定的标准、规范所完成的设计图纸、设计文件 中的技术数据和技术条件，是工程物资釆购质量、施工质量及竣工试验质量的依 据。</w:t>
      </w:r>
    </w:p>
    <w:p w14:paraId="440BCCE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5.2.4</w:t>
      </w:r>
      <w:r>
        <w:rPr>
          <w:rFonts w:hint="eastAsia" w:ascii="宋体" w:hAnsi="宋体" w:cs="宋体"/>
          <w:color w:val="000000"/>
          <w:szCs w:val="21"/>
          <w:lang w:val="zh-TW" w:eastAsia="zh-TW" w:bidi="zh-TW"/>
        </w:rPr>
        <w:t>操作维修手册</w:t>
      </w:r>
    </w:p>
    <w:p w14:paraId="67EE740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由承包人指导竣工后试验和试运行考核试验，并编制操作维修手册的，发包 人应按</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项第二段的约定，责令其专利商或发包人的其他承包人向 承包人提供其操作指南及分析手册，并对其资料的真实性、准确性、齐全性和及 时性负责，专用条款另有约定时除外。发包人提交操作指南、分析手册，及承包 人提交操作维修手册的份数、提交期限，在专用条款中约定。</w:t>
      </w:r>
    </w:p>
    <w:p w14:paraId="0BDD5DF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5.2.5</w:t>
      </w:r>
      <w:r>
        <w:rPr>
          <w:rFonts w:hint="eastAsia" w:ascii="宋体" w:hAnsi="宋体" w:cs="宋体"/>
          <w:color w:val="000000"/>
          <w:szCs w:val="21"/>
          <w:lang w:val="zh-TW" w:eastAsia="zh-TW" w:bidi="zh-TW"/>
        </w:rPr>
        <w:t>设计文件的份数和提交时间</w:t>
      </w:r>
    </w:p>
    <w:p w14:paraId="79058C34">
      <w:pPr>
        <w:spacing w:line="360" w:lineRule="auto"/>
        <w:ind w:firstLine="210" w:firstLineChars="100"/>
        <w:rPr>
          <w:rFonts w:hint="eastAsia" w:ascii="宋体" w:hAnsi="宋体" w:cs="宋体"/>
          <w:szCs w:val="21"/>
          <w:lang w:val="zh-TW" w:eastAsia="zh-TW" w:bidi="zh-TW"/>
        </w:rPr>
      </w:pPr>
      <w:r>
        <w:rPr>
          <w:rFonts w:hint="eastAsia" w:ascii="宋体" w:hAnsi="宋体" w:cs="宋体"/>
          <w:color w:val="000000"/>
          <w:szCs w:val="21"/>
          <w:lang w:val="zh-TW" w:eastAsia="zh-TW" w:bidi="zh-TW"/>
        </w:rPr>
        <w:t>相关设计阶段的设计文件、资料和图纸的提交份数和时间在专用条款中约 定。</w:t>
      </w:r>
    </w:p>
    <w:p w14:paraId="0B8486C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5.2.6</w:t>
      </w:r>
      <w:r>
        <w:rPr>
          <w:rFonts w:hint="eastAsia" w:ascii="宋体" w:hAnsi="宋体" w:cs="宋体"/>
          <w:color w:val="000000"/>
          <w:szCs w:val="21"/>
          <w:lang w:val="zh-TW" w:eastAsia="zh-TW" w:bidi="zh-TW"/>
        </w:rPr>
        <w:t>设计缺陷的自费修复，自费赶上</w:t>
      </w:r>
    </w:p>
    <w:p w14:paraId="583830DB">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因承包人原因，造成设计文件存在遗漏、错误、缺陷和不足的，承包人应自 费修复、弥补、纠正和完善。造成设计进度延误时，应自费釆取措施赶上。</w:t>
      </w:r>
    </w:p>
    <w:p w14:paraId="0B02CBC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w:t>
      </w:r>
      <w:r>
        <w:rPr>
          <w:rFonts w:hint="eastAsia" w:ascii="宋体" w:hAnsi="宋体" w:cs="宋体"/>
          <w:color w:val="000000"/>
          <w:szCs w:val="21"/>
          <w:lang w:val="zh-TW" w:eastAsia="zh-TW" w:bidi="zh-TW"/>
        </w:rPr>
        <w:t>设计阶段审査</w:t>
      </w:r>
    </w:p>
    <w:p w14:paraId="541E32C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5.3.1</w:t>
      </w:r>
      <w:r>
        <w:rPr>
          <w:rFonts w:hint="eastAsia" w:ascii="宋体" w:hAnsi="宋体" w:cs="宋体"/>
          <w:color w:val="000000"/>
          <w:szCs w:val="21"/>
          <w:lang w:val="zh-TW" w:eastAsia="zh-TW" w:bidi="zh-TW"/>
        </w:rPr>
        <w:t>本工程的设计阶段、设计阶段审査会议的组织和时间安排，在专用条 款约定。发包人负责组织设计阶段审査会议，并承担会议费用及发包人的上级单 位、政府有关部门参加审查会议的费用。</w:t>
      </w:r>
    </w:p>
    <w:p w14:paraId="54D4C83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5.3.2</w:t>
      </w:r>
      <w:r>
        <w:rPr>
          <w:rFonts w:hint="eastAsia" w:ascii="宋体" w:hAnsi="宋体" w:cs="宋体"/>
          <w:color w:val="000000"/>
          <w:szCs w:val="21"/>
          <w:lang w:val="zh-TW" w:eastAsia="zh-TW" w:bidi="zh-TW"/>
        </w:rPr>
        <w:t>承包人应根据</w:t>
      </w:r>
      <w:r>
        <w:rPr>
          <w:rFonts w:hint="eastAsia" w:ascii="宋体" w:hAnsi="宋体" w:cs="宋体"/>
          <w:b/>
          <w:bCs/>
          <w:color w:val="000000"/>
          <w:szCs w:val="21"/>
          <w:lang w:bidi="en-US"/>
        </w:rPr>
        <w:t>5.3.1</w:t>
      </w:r>
      <w:r>
        <w:rPr>
          <w:rFonts w:hint="eastAsia" w:ascii="宋体" w:hAnsi="宋体" w:cs="宋体"/>
          <w:color w:val="000000"/>
          <w:szCs w:val="21"/>
          <w:lang w:val="zh-TW" w:eastAsia="zh-TW" w:bidi="zh-TW"/>
        </w:rPr>
        <w:t>款的约定，向发包人提交相关设计审査阶段的设 计文件，设计文件应符合国家有关部门、行业工程建设标准规范对相关设计阶段 的设计文件、图纸和资料的深度规定。承包人有义务自费参加发包人组织的设计 审查会议、向审查者介绍、解答、解释其设计文件，并自费提供审查过程中需提 供的补充资料。</w:t>
      </w:r>
    </w:p>
    <w:p w14:paraId="1D0EBC4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5.3.3</w:t>
      </w:r>
      <w:r>
        <w:rPr>
          <w:rFonts w:hint="eastAsia" w:ascii="宋体" w:hAnsi="宋体" w:cs="宋体"/>
          <w:color w:val="000000"/>
          <w:szCs w:val="21"/>
          <w:lang w:val="zh-TW" w:eastAsia="zh-TW" w:bidi="zh-TW"/>
        </w:rPr>
        <w:t>发包人有义务向承包人提供设计审査会议的批准文件和纪要。承包人 有义务按相关设计审査阶段批准的文件和纪要，并依据合同约定及相关设计规 定，对相关设计进行修改、补充和完善。</w:t>
      </w:r>
    </w:p>
    <w:p w14:paraId="1CFCD69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5.3.4</w:t>
      </w:r>
      <w:r>
        <w:rPr>
          <w:rFonts w:hint="eastAsia" w:ascii="宋体" w:hAnsi="宋体" w:cs="宋体"/>
          <w:color w:val="000000"/>
          <w:szCs w:val="21"/>
          <w:lang w:val="zh-TW" w:eastAsia="zh-TW" w:bidi="zh-TW"/>
        </w:rPr>
        <w:t>因承包人原因，未能按</w:t>
      </w:r>
      <w:r>
        <w:rPr>
          <w:rFonts w:hint="eastAsia" w:ascii="宋体" w:hAnsi="宋体" w:cs="宋体"/>
          <w:b/>
          <w:bCs/>
          <w:color w:val="000000"/>
          <w:szCs w:val="21"/>
          <w:lang w:bidi="en-US"/>
        </w:rPr>
        <w:t>5.2.5</w:t>
      </w:r>
      <w:r>
        <w:rPr>
          <w:rFonts w:hint="eastAsia" w:ascii="宋体" w:hAnsi="宋体" w:cs="宋体"/>
          <w:color w:val="000000"/>
          <w:szCs w:val="21"/>
          <w:lang w:val="zh-TW" w:eastAsia="zh-TW" w:bidi="zh-TW"/>
        </w:rPr>
        <w:t>款约定的时间，向发包人提交相关设计 审查阶段的完整设计文件、图纸和资料，致使相关设计审查阶段的会议无法进行或无法按期进行，造成的竣工日期延误、窝工损失，及发包人增加的组织会议费用，由承包人承担。</w:t>
      </w:r>
    </w:p>
    <w:p w14:paraId="68B311BB">
      <w:pPr>
        <w:spacing w:after="10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5.3.5</w:t>
      </w:r>
      <w:r>
        <w:rPr>
          <w:rFonts w:hint="eastAsia" w:ascii="宋体" w:hAnsi="宋体" w:cs="宋体"/>
          <w:color w:val="000000"/>
          <w:szCs w:val="21"/>
          <w:lang w:val="zh-TW" w:eastAsia="zh-TW" w:bidi="zh-TW"/>
        </w:rPr>
        <w:t>发包人有权在</w:t>
      </w:r>
      <w:r>
        <w:rPr>
          <w:rFonts w:hint="eastAsia" w:ascii="宋体" w:hAnsi="宋体" w:cs="宋体"/>
          <w:b/>
          <w:bCs/>
          <w:color w:val="000000"/>
          <w:szCs w:val="21"/>
          <w:lang w:bidi="en-US"/>
        </w:rPr>
        <w:t>5.3.1</w:t>
      </w:r>
      <w:r>
        <w:rPr>
          <w:rFonts w:hint="eastAsia" w:ascii="宋体" w:hAnsi="宋体" w:cs="宋体"/>
          <w:color w:val="000000"/>
          <w:szCs w:val="21"/>
          <w:lang w:val="zh-TW" w:eastAsia="zh-TW" w:bidi="zh-TW"/>
        </w:rPr>
        <w:t>款约定的各设计审査阶段之前，对相关设计阶段的设计文件、图纸和资料提出建议、进行预审和确认，发包人的任何建议、预审 和确认，并不能减轻或免除承包人的合同责任和义务。</w:t>
      </w:r>
    </w:p>
    <w:p w14:paraId="266D0B9B">
      <w:pPr>
        <w:spacing w:after="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5.4</w:t>
      </w:r>
      <w:r>
        <w:rPr>
          <w:rFonts w:hint="eastAsia" w:ascii="宋体" w:hAnsi="宋体" w:cs="宋体"/>
          <w:color w:val="000000"/>
          <w:szCs w:val="21"/>
          <w:lang w:val="zh-TW" w:eastAsia="zh-TW" w:bidi="zh-TW"/>
        </w:rPr>
        <w:t>操作维修人员的培训</w:t>
      </w:r>
    </w:p>
    <w:p w14:paraId="660EA289">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发包人委托承包人对发包人的操作维修人员进行培训的，另行签订培训委托 合同，作为本合同的附件。</w:t>
      </w:r>
    </w:p>
    <w:p w14:paraId="6FC095BF">
      <w:pPr>
        <w:spacing w:after="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5.5</w:t>
      </w:r>
      <w:r>
        <w:rPr>
          <w:rFonts w:hint="eastAsia" w:ascii="宋体" w:hAnsi="宋体" w:cs="宋体"/>
          <w:color w:val="000000"/>
          <w:szCs w:val="21"/>
          <w:lang w:val="zh-TW" w:eastAsia="zh-TW" w:bidi="zh-TW"/>
        </w:rPr>
        <w:t>知识产权</w:t>
      </w:r>
    </w:p>
    <w:p w14:paraId="00E9850E">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双方可就本合同涉及的合同一方、或合同双方(含一方或双方相关的专利商、 第三方设计单位或设计人)的技术专利、建筑设计方案、专有技术、设计文件著作权等知识产权，签订知识产权及保密协议，作为本合同的组成部分。</w:t>
      </w:r>
    </w:p>
    <w:p w14:paraId="73AF9B4C">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第6条工程物资</w:t>
      </w:r>
    </w:p>
    <w:p w14:paraId="38C287C6">
      <w:pPr>
        <w:spacing w:after="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6.1</w:t>
      </w:r>
      <w:r>
        <w:rPr>
          <w:rFonts w:hint="eastAsia" w:ascii="宋体" w:hAnsi="宋体" w:cs="宋体"/>
          <w:color w:val="000000"/>
          <w:szCs w:val="21"/>
          <w:lang w:val="zh-TW" w:eastAsia="zh-TW" w:bidi="zh-TW"/>
        </w:rPr>
        <w:t>工程物资的提供</w:t>
      </w:r>
    </w:p>
    <w:p w14:paraId="155B5FF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发包人提供的工程物资</w:t>
      </w:r>
    </w:p>
    <w:p w14:paraId="6B3F07BB">
      <w:pPr>
        <w:spacing w:line="360" w:lineRule="auto"/>
        <w:ind w:left="28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发包人应依据</w:t>
      </w: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项设计文件规定的技术参数、技术条件、 性能要求、使用要求和数量，负责组织工程物资(包括其备品备件、专用工具及 厂商提交的技术文件)的釆购，负责运抵现场，并对其需用量、质量检査结果和 性能负责。</w:t>
      </w:r>
    </w:p>
    <w:p w14:paraId="6383193C">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由发包人负责提供的工程物资的类别、数量，在专用条款中列出。</w:t>
      </w:r>
    </w:p>
    <w:p w14:paraId="1A078BD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CN" w:bidi="zh-TW"/>
        </w:rPr>
        <w:t>（</w:t>
      </w:r>
      <w:r>
        <w:rPr>
          <w:rFonts w:hint="eastAsia" w:ascii="宋体" w:hAnsi="宋体" w:cs="宋体"/>
          <w:color w:val="000000"/>
          <w:szCs w:val="21"/>
          <w:lang w:bidi="zh-TW"/>
        </w:rPr>
        <w:t>2</w:t>
      </w:r>
      <w:r>
        <w:rPr>
          <w:rFonts w:hint="eastAsia" w:ascii="宋体" w:hAnsi="宋体" w:cs="宋体"/>
          <w:color w:val="000000"/>
          <w:szCs w:val="21"/>
          <w:lang w:val="zh-CN" w:bidi="zh-TW"/>
        </w:rPr>
        <w:t>）</w:t>
      </w:r>
      <w:r>
        <w:rPr>
          <w:rFonts w:hint="eastAsia" w:ascii="宋体" w:hAnsi="宋体" w:cs="宋体"/>
          <w:color w:val="000000"/>
          <w:szCs w:val="21"/>
          <w:lang w:val="zh-CN" w:bidi="zh-TW"/>
        </w:rPr>
        <w:tab/>
      </w:r>
      <w:r>
        <w:rPr>
          <w:rFonts w:hint="eastAsia" w:ascii="宋体" w:hAnsi="宋体" w:cs="宋体"/>
          <w:color w:val="000000"/>
          <w:szCs w:val="21"/>
          <w:lang w:val="zh-TW" w:eastAsia="zh-TW" w:bidi="zh-TW"/>
        </w:rPr>
        <w:t>因发包人釆购提供的工程物资（包括建筑构件等）不符合国家强制性 标准、规范的规定，存在质量缺陷、延误抵达现场，给承包人造成窝工、停工、 或导致关键路径延误的，按</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条变更和合同价款调整的约定执行。</w:t>
      </w:r>
    </w:p>
    <w:p w14:paraId="5A8A631C">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在履行合同过程中，由于国家新颁布的强制性标准、规范，造成发包人负责 提供的工程物资（包括建筑构件等）不符合新颁布的强制性标准时，由发包人负 责修复或重新订货。如委托承包人修复，作为一项变更。</w:t>
      </w:r>
    </w:p>
    <w:p w14:paraId="75F50E85">
      <w:pPr>
        <w:tabs>
          <w:tab w:val="left" w:pos="606"/>
        </w:tabs>
        <w:spacing w:line="360" w:lineRule="auto"/>
        <w:ind w:left="240" w:firstLine="60"/>
        <w:rPr>
          <w:rFonts w:hint="eastAsia" w:ascii="宋体" w:hAnsi="宋体" w:cs="宋体"/>
          <w:szCs w:val="21"/>
          <w:lang w:val="zh-TW" w:eastAsia="zh-TW" w:bidi="zh-TW"/>
        </w:rPr>
      </w:pPr>
      <w:r>
        <w:rPr>
          <w:rFonts w:hint="eastAsia" w:ascii="宋体" w:hAnsi="宋体" w:cs="宋体"/>
          <w:color w:val="000000"/>
          <w:szCs w:val="21"/>
          <w:lang w:val="zh-CN"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 xml:space="preserve">发包人请承包人参加境外釆购工作时，所发生的费用由发包人承担。 </w:t>
      </w: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承包人提供的工程物资</w:t>
      </w:r>
    </w:p>
    <w:p w14:paraId="29927340">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承包人应依据</w:t>
      </w: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项设计文件规定的技术参数、技术条件、 性能要求、使用要求和数量，负责组织工程物资采购（包括备品备件、专用工具 及厂商提交的技术文件），负责运抵现场，并对其需用量、质量检査结果和性能 负责。</w:t>
      </w:r>
    </w:p>
    <w:p w14:paraId="568BC55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由承包人负责提供的工程物资的类别、数量，在专用条款中列出。</w:t>
      </w:r>
    </w:p>
    <w:p w14:paraId="329439D7">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因承包人提供的工程物资（包括建筑构件等）不符合国家强制性标准、 规范的规定或合同约定的标准、规范，所造成的质量缺陷，由承包人自费修复， 竣工日期不予延长。</w:t>
      </w:r>
    </w:p>
    <w:p w14:paraId="514A2C6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在履行合同过程中，由于国家新颁布的强制性标准、规范，造成承包人负责 提供的工程物资（包括建筑构件等），虽符合合同约定的标准，但不符合新颁布 的强制性标准时，由承包人负责修复或重新订货，并作为一项变更。</w:t>
      </w:r>
    </w:p>
    <w:p w14:paraId="1EF2CD44">
      <w:pPr>
        <w:tabs>
          <w:tab w:val="left" w:pos="538"/>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由承包人提供的竣工后试验的生产性材料，在专用条款中列出类别或 （和）清单。</w:t>
      </w:r>
    </w:p>
    <w:p w14:paraId="280E67A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6.1.3</w:t>
      </w:r>
      <w:r>
        <w:rPr>
          <w:rFonts w:hint="eastAsia" w:ascii="宋体" w:hAnsi="宋体" w:cs="宋体"/>
          <w:color w:val="000000"/>
          <w:szCs w:val="21"/>
          <w:lang w:val="zh-TW" w:eastAsia="zh-TW" w:bidi="zh-TW"/>
        </w:rPr>
        <w:t>承包人对供应商的选择</w:t>
      </w:r>
    </w:p>
    <w:p w14:paraId="7E6E006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承包人应通过招标等竞争性方式选择相关工程物资的供货商或制造厂。对于 依法必须进行招标的工程建设项目，应按国家相关规定进行招标。</w:t>
      </w:r>
    </w:p>
    <w:p w14:paraId="71BEED7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承包人不得在设计文件中或以口头暗示方式指定供应商和制造厂，只有唯一 厂家的除外。发包人不得以任何方式指定供应商和制造厂。</w:t>
      </w:r>
    </w:p>
    <w:p w14:paraId="619B95C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6.1.4</w:t>
      </w:r>
      <w:r>
        <w:rPr>
          <w:rFonts w:hint="eastAsia" w:ascii="宋体" w:hAnsi="宋体" w:cs="宋体"/>
          <w:color w:val="000000"/>
          <w:szCs w:val="21"/>
          <w:lang w:val="zh-TW" w:eastAsia="zh-TW" w:bidi="zh-TW"/>
        </w:rPr>
        <w:t>工程物资所有权</w:t>
      </w:r>
    </w:p>
    <w:p w14:paraId="1061E9E6">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承包人根据</w:t>
      </w: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款约定提供的工程物资，在运抵现场的交货地点并支付了 釆购进度款，其所有权转为发包人所有。在发包人接收工程前，承包人有义务对 工程物资进行保管、维护和保养，未经发包人批准不得运出现场。</w:t>
      </w:r>
    </w:p>
    <w:p w14:paraId="722C5287">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6.2检验</w:t>
      </w:r>
    </w:p>
    <w:p w14:paraId="215D277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6.2.1</w:t>
      </w:r>
      <w:r>
        <w:rPr>
          <w:rFonts w:hint="eastAsia" w:ascii="宋体" w:hAnsi="宋体" w:cs="宋体"/>
          <w:color w:val="000000"/>
          <w:szCs w:val="21"/>
          <w:lang w:val="zh-TW" w:eastAsia="zh-TW" w:bidi="zh-TW"/>
        </w:rPr>
        <w:t>工厂检验与报告</w:t>
      </w:r>
    </w:p>
    <w:p w14:paraId="2F0519BB">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承包人应遵守相关法律规定，负责</w:t>
      </w:r>
      <w:r>
        <w:rPr>
          <w:rFonts w:hint="eastAsia" w:ascii="宋体" w:hAnsi="宋体" w:cs="宋体"/>
          <w:b/>
          <w:bCs/>
          <w:color w:val="000000"/>
          <w:szCs w:val="21"/>
          <w:lang w:val="zh-TW" w:eastAsia="zh-TW" w:bidi="zh-TW"/>
        </w:rPr>
        <w:t>6</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款约定的工程物资的强制性检 查、检验、监测和试验，并向发包人提供相关报告。报告提供日期、报告内容和 提交份数，在专用条款中约定。</w:t>
      </w:r>
    </w:p>
    <w:p w14:paraId="3F84C25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CN" w:bidi="zh-CN"/>
        </w:rPr>
        <w:t>（2）</w:t>
      </w:r>
      <w:r>
        <w:rPr>
          <w:rFonts w:hint="eastAsia" w:ascii="宋体" w:hAnsi="宋体" w:cs="宋体"/>
          <w:b/>
          <w:bCs/>
          <w:color w:val="000000"/>
          <w:szCs w:val="21"/>
          <w:lang w:val="zh-CN" w:bidi="zh-CN"/>
        </w:rPr>
        <w:tab/>
      </w:r>
      <w:r>
        <w:rPr>
          <w:rFonts w:hint="eastAsia" w:ascii="宋体" w:hAnsi="宋体" w:cs="宋体"/>
          <w:color w:val="000000"/>
          <w:szCs w:val="21"/>
          <w:lang w:val="zh-TW" w:eastAsia="zh-TW" w:bidi="zh-TW"/>
        </w:rPr>
        <w:t>承包人邀请发包人参检时，应在进行相关加工制造阶段的检査、检验、 监测和试验之前，以书面形式通知发包人参检的内容、地点和时间。发包人在接 到邀请后的</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日内，以书面形式通知承包人参检或不参检。</w:t>
      </w:r>
    </w:p>
    <w:p w14:paraId="549F0E5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发包人承担其参检人员在参检期间的工资、补贴、差旅费和住宿费等， 承包人负责办理进入相关厂家的许可，并提供方便。</w:t>
      </w:r>
    </w:p>
    <w:p w14:paraId="0E2326A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发包人委托有资格、有经验的第三方代表发包人自费参检时，应在接 到承包人邀请函后</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日内，以书面形式通知承包人，并写明受托单位及受托人员 的名称、姓名及授予的职权。</w:t>
      </w:r>
    </w:p>
    <w:p w14:paraId="521B0B4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发包人及其委托人的参检，并不能解除承包人对其釆购的工程物资的 质量责任。</w:t>
      </w:r>
    </w:p>
    <w:p w14:paraId="0B49291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6.2.2</w:t>
      </w:r>
      <w:r>
        <w:rPr>
          <w:rFonts w:hint="eastAsia" w:ascii="宋体" w:hAnsi="宋体" w:cs="宋体"/>
          <w:color w:val="000000"/>
          <w:szCs w:val="21"/>
          <w:lang w:val="zh-TW" w:eastAsia="zh-TW" w:bidi="zh-TW"/>
        </w:rPr>
        <w:t>覆盖和包装的后果</w:t>
      </w:r>
    </w:p>
    <w:p w14:paraId="5A56316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发包人已在</w:t>
      </w:r>
      <w:r>
        <w:rPr>
          <w:rFonts w:hint="eastAsia" w:ascii="宋体" w:hAnsi="宋体" w:cs="宋体"/>
          <w:b/>
          <w:bCs/>
          <w:color w:val="000000"/>
          <w:szCs w:val="21"/>
          <w:lang w:bidi="en-US"/>
        </w:rPr>
        <w:t>6.2.1</w:t>
      </w:r>
      <w:r>
        <w:rPr>
          <w:rFonts w:hint="eastAsia" w:ascii="宋体" w:hAnsi="宋体" w:cs="宋体"/>
          <w:color w:val="000000"/>
          <w:szCs w:val="21"/>
          <w:lang w:val="zh-TW" w:eastAsia="zh-TW" w:bidi="zh-TW"/>
        </w:rPr>
        <w:t>款约定的日期内以书面形式通知承包人参检，并依据约定 日期提前或按时到达指定地点，但加工制造的工程物资未经发包人现场检验已经 被覆盖、包装或已运抵启运地点时，发包人有权责令承包人将其运回原地、拆除 覆盖、包装，重新进行检査或检验或检测或试验及复原，承包人应承担由此发生 的费用。造成工程关键路径延误的，竣工日期不予延长。</w:t>
      </w:r>
    </w:p>
    <w:p w14:paraId="3633721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6.2.3</w:t>
      </w:r>
      <w:r>
        <w:rPr>
          <w:rFonts w:hint="eastAsia" w:ascii="宋体" w:hAnsi="宋体" w:cs="宋体"/>
          <w:color w:val="000000"/>
          <w:szCs w:val="21"/>
          <w:lang w:val="zh-TW" w:eastAsia="zh-TW" w:bidi="zh-TW"/>
        </w:rPr>
        <w:t>未能按时参检</w:t>
      </w:r>
    </w:p>
    <w:p w14:paraId="24CA72A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发包人未能按</w:t>
      </w:r>
      <w:r>
        <w:rPr>
          <w:rFonts w:hint="eastAsia" w:ascii="宋体" w:hAnsi="宋体" w:cs="宋体"/>
          <w:b/>
          <w:bCs/>
          <w:color w:val="000000"/>
          <w:szCs w:val="21"/>
          <w:lang w:bidi="en-US"/>
        </w:rPr>
        <w:t>6.2.1</w:t>
      </w:r>
      <w:r>
        <w:rPr>
          <w:rFonts w:hint="eastAsia" w:ascii="宋体" w:hAnsi="宋体" w:cs="宋体"/>
          <w:color w:val="000000"/>
          <w:szCs w:val="21"/>
          <w:lang w:val="zh-TW" w:eastAsia="zh-TW" w:bidi="zh-TW"/>
        </w:rPr>
        <w:t>款的约定时间参检，承包人可自行组织检査、检验、检 测和试验，质检结果视为是真实的。发包人有权在此后，以变更指令通知承包人 重新检查、检验、检测和试验，或增加试验细节或改变试验地点。工程物资经质 检合格的，所发生的费用由发包人承担，造成工程关键路径延误的，竣工日期相 应顺延；工程物资经质检不合格时，所发生的费用由承包人承担，竣工日期不予 延长。</w:t>
      </w:r>
    </w:p>
    <w:p w14:paraId="400E690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6.2.4</w:t>
      </w:r>
      <w:r>
        <w:rPr>
          <w:rFonts w:hint="eastAsia" w:ascii="宋体" w:hAnsi="宋体" w:cs="宋体"/>
          <w:color w:val="000000"/>
          <w:szCs w:val="21"/>
          <w:lang w:val="zh-TW" w:eastAsia="zh-TW" w:bidi="zh-TW"/>
        </w:rPr>
        <w:t>现场清点与检查</w:t>
      </w:r>
    </w:p>
    <w:p w14:paraId="686F6FA5">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发包人应在其根据</w:t>
      </w: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款约定负责提供的工程物资运抵现场前</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日通 知承包人。发包人（或包括为发包人提供工程物资的供应商）与承包人（或包括 其分包人）按每批货物的提货单据清点箱件数量及进行外观检查，并根据装箱单 清点箱内数量、出厂合格证、图纸、文件资料等，并进行外观检査。经检査清点 后双方人员签署交接清单。</w:t>
      </w:r>
    </w:p>
    <w:p w14:paraId="40D6385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经现场检査清点发现箱件短缺，箱件内的物资数量、图纸、资料短缺，或有 外观缺陷的，发包人应负责补齐或自费修复，工程物资在缺陷未能修复之前不得 用于工程。当发包人委托承包人修复缺陷时，另行签订追加合同。因上述情况造 成工程关键路径延误的，竣工日期相应顺延。</w:t>
      </w:r>
    </w:p>
    <w:p w14:paraId="4161C21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承包人应在其根据</w:t>
      </w: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款约定负责提供的工程物资运抵现场前</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日通 知发包人。承包人（或包括为承包人提供工程物资的供应商、或分包人）与发包 人（包括代表、或其监理人）按每批货物的提货单据清点箱件数量及进行外观检 查，并根据装箱单清点箱内数量、出厂合格证、图纸、文件资料等，并进行外观 检査。经检査清点后，双方人员签署开箱检验证明。</w:t>
      </w:r>
    </w:p>
    <w:p w14:paraId="78FFD36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经现场检査清点发现箱件短缺，箱件内的数量、图纸、资料短缺，或有外观 缺陷的，承包人应负责补齐或自费修复，工程物资在缺陷未能修复之前不得用于 工程。因此造成的费用增加、竣工日期延误，由承包人负责。</w:t>
      </w:r>
    </w:p>
    <w:p w14:paraId="3454DF5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6.2.5</w:t>
      </w:r>
      <w:r>
        <w:rPr>
          <w:rFonts w:hint="eastAsia" w:ascii="宋体" w:hAnsi="宋体" w:cs="宋体"/>
          <w:color w:val="000000"/>
          <w:szCs w:val="21"/>
          <w:lang w:val="zh-TW" w:eastAsia="zh-TW" w:bidi="zh-TW"/>
        </w:rPr>
        <w:t>质量监督部门及消防、环保等部门的参检</w:t>
      </w:r>
    </w:p>
    <w:p w14:paraId="516CE5FB">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发包人、承包人随时接受质量监督部门、消防部门、环保部门、行业等专业 检査人员对制造、安装及试验过程的现场检查，其费用由发包人承担。承包人为 此提供方便。造成工程关键路径延误的，竣工日期相应顺延。</w:t>
      </w:r>
    </w:p>
    <w:p w14:paraId="76E91AFF">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因上述部门在参检中提出的修改、更换等意见所增加的相关费用，应根据 </w:t>
      </w: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款或</w:t>
      </w:r>
      <w:r>
        <w:rPr>
          <w:rFonts w:hint="eastAsia" w:ascii="宋体" w:hAnsi="宋体" w:cs="宋体"/>
          <w:b/>
          <w:bCs/>
          <w:color w:val="000000"/>
          <w:szCs w:val="21"/>
          <w:lang w:val="zh-TW" w:eastAsia="zh-TW" w:bidi="zh-TW"/>
        </w:rPr>
        <w:t>6</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款约定的提供工程物资的责任方来承担；因此造成工程关键路径 延误的，责任方为承包人时，竣工日期不予延长；责任方为发包人时，竣工日期 相应顺延。</w:t>
      </w:r>
    </w:p>
    <w:p w14:paraId="42D05B5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6.3</w:t>
      </w:r>
      <w:r>
        <w:rPr>
          <w:rFonts w:hint="eastAsia" w:ascii="宋体" w:hAnsi="宋体" w:cs="宋体"/>
          <w:color w:val="000000"/>
          <w:szCs w:val="21"/>
          <w:lang w:val="zh-TW" w:eastAsia="zh-TW" w:bidi="zh-TW"/>
        </w:rPr>
        <w:t>进口工程物资的采购、报关、清关和商检</w:t>
      </w:r>
    </w:p>
    <w:p w14:paraId="72A6FF2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6.3.1</w:t>
      </w:r>
      <w:r>
        <w:rPr>
          <w:rFonts w:hint="eastAsia" w:ascii="宋体" w:hAnsi="宋体" w:cs="宋体"/>
          <w:color w:val="000000"/>
          <w:szCs w:val="21"/>
          <w:lang w:val="zh-TW" w:eastAsia="zh-TW" w:bidi="zh-TW"/>
        </w:rPr>
        <w:t>工程物资的进口釆购责任方，及釆购方式，在专用条款中约定。釆购 责任方负责报关、清关和商检，另一方有义务协助。</w:t>
      </w:r>
    </w:p>
    <w:p w14:paraId="5E9FAB3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6.3.2</w:t>
      </w:r>
      <w:r>
        <w:rPr>
          <w:rFonts w:hint="eastAsia" w:ascii="宋体" w:hAnsi="宋体" w:cs="宋体"/>
          <w:color w:val="000000"/>
          <w:szCs w:val="21"/>
          <w:lang w:val="zh-TW" w:eastAsia="zh-TW" w:bidi="zh-TW"/>
        </w:rPr>
        <w:t>因工程物资报关、清关和商检的延误，造成工程关键路径延误时，承 包人负责进口釆购的，竣工日期不予延长，增加的费用由承包人承担；发包人 负责进口釆购的，竣工日期给予相应延长，承包人由此增加的费用由发包人承担。</w:t>
      </w:r>
    </w:p>
    <w:p w14:paraId="3FA1FD07">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6.4</w:t>
      </w:r>
      <w:r>
        <w:rPr>
          <w:rFonts w:hint="eastAsia" w:ascii="宋体" w:hAnsi="宋体" w:cs="宋体"/>
          <w:color w:val="000000"/>
          <w:szCs w:val="21"/>
          <w:lang w:val="zh-TW" w:eastAsia="zh-TW" w:bidi="zh-TW"/>
        </w:rPr>
        <w:t>运输与超限物资运输</w:t>
      </w:r>
    </w:p>
    <w:p w14:paraId="277214C1">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承包人负责采购的超限工程物资（超重、超长、超宽、超高）的运输，由承 包人负责，该超限物资的运输费用及其运输途中的特殊措施、拆迁、赔偿等全部 费用，包含在合同价格内。运输过程中的费用增加，由承包人承担。造成工程关 键路径延误时，竣工日期不予延长。专用条款另有约定除外。</w:t>
      </w:r>
    </w:p>
    <w:p w14:paraId="69FC554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6.5</w:t>
      </w:r>
      <w:r>
        <w:rPr>
          <w:rFonts w:hint="eastAsia" w:ascii="宋体" w:hAnsi="宋体" w:cs="宋体"/>
          <w:color w:val="000000"/>
          <w:szCs w:val="21"/>
          <w:lang w:val="zh-TW" w:eastAsia="zh-TW" w:bidi="zh-TW"/>
        </w:rPr>
        <w:t>重新订货及后果</w:t>
      </w:r>
    </w:p>
    <w:p w14:paraId="1BD21C2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6.5.1</w:t>
      </w:r>
      <w:r>
        <w:rPr>
          <w:rFonts w:hint="eastAsia" w:ascii="宋体" w:hAnsi="宋体" w:cs="宋体"/>
          <w:color w:val="000000"/>
          <w:szCs w:val="21"/>
          <w:lang w:val="zh-TW" w:eastAsia="zh-TW" w:bidi="zh-TW"/>
        </w:rPr>
        <w:t>依据</w:t>
      </w: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款及</w:t>
      </w:r>
      <w:r>
        <w:rPr>
          <w:rFonts w:hint="eastAsia" w:ascii="宋体" w:hAnsi="宋体" w:cs="宋体"/>
          <w:b/>
          <w:bCs/>
          <w:color w:val="000000"/>
          <w:szCs w:val="21"/>
          <w:lang w:bidi="en-US"/>
        </w:rPr>
        <w:t>6.3.1</w:t>
      </w:r>
      <w:r>
        <w:rPr>
          <w:rFonts w:hint="eastAsia" w:ascii="宋体" w:hAnsi="宋体" w:cs="宋体"/>
          <w:color w:val="000000"/>
          <w:szCs w:val="21"/>
          <w:lang w:val="zh-TW" w:eastAsia="zh-TW" w:bidi="zh-TW"/>
        </w:rPr>
        <w:t>款的约定，由发包人负责提供的工程物资存在缺 陷时，经发包人组织修复仍不合格的，由发包人负责重新订货并运抵现场。因此 造成承包人停工、窝工的，由发包人承担所发生的实际费用；导致关键路径延误 时，竣工日期相应顺延。</w:t>
      </w:r>
    </w:p>
    <w:p w14:paraId="751FA65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6.5.2</w:t>
      </w:r>
      <w:r>
        <w:rPr>
          <w:rFonts w:hint="eastAsia" w:ascii="宋体" w:hAnsi="宋体" w:cs="宋体"/>
          <w:color w:val="000000"/>
          <w:szCs w:val="21"/>
          <w:lang w:val="zh-TW" w:eastAsia="zh-TW" w:bidi="zh-TW"/>
        </w:rPr>
        <w:t>依据</w:t>
      </w: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款及</w:t>
      </w:r>
      <w:r>
        <w:rPr>
          <w:rFonts w:hint="eastAsia" w:ascii="宋体" w:hAnsi="宋体" w:cs="宋体"/>
          <w:b/>
          <w:bCs/>
          <w:color w:val="000000"/>
          <w:szCs w:val="21"/>
          <w:lang w:bidi="en-US"/>
        </w:rPr>
        <w:t>6.3.1</w:t>
      </w:r>
      <w:r>
        <w:rPr>
          <w:rFonts w:hint="eastAsia" w:ascii="宋体" w:hAnsi="宋体" w:cs="宋体"/>
          <w:color w:val="000000"/>
          <w:szCs w:val="21"/>
          <w:lang w:val="zh-TW" w:eastAsia="zh-TW" w:bidi="zh-TW"/>
        </w:rPr>
        <w:t>款的约定，由承包人负责提供的工程物资存在缺 陷时，经承包人修复仍不合格的，由承包人负责重新订货并运抵现场。因此造成 的费用增加、竣工日期延误，由承包人承担。</w:t>
      </w:r>
    </w:p>
    <w:p w14:paraId="647F8E13">
      <w:pPr>
        <w:spacing w:after="60" w:line="360" w:lineRule="auto"/>
        <w:ind w:firstLine="240"/>
        <w:rPr>
          <w:rFonts w:hint="eastAsia" w:ascii="宋体" w:hAnsi="宋体" w:cs="宋体"/>
          <w:szCs w:val="21"/>
          <w:lang w:val="zh-TW" w:eastAsia="zh-TW" w:bidi="zh-TW"/>
        </w:rPr>
      </w:pPr>
      <w:r>
        <w:rPr>
          <w:rFonts w:hint="eastAsia" w:ascii="宋体" w:hAnsi="宋体" w:cs="宋体"/>
          <w:b/>
          <w:bCs/>
          <w:i/>
          <w:iCs/>
          <w:color w:val="000000"/>
          <w:szCs w:val="21"/>
          <w:lang w:bidi="en-US"/>
        </w:rPr>
        <w:t>6.6</w:t>
      </w:r>
      <w:r>
        <w:rPr>
          <w:rFonts w:hint="eastAsia" w:ascii="宋体" w:hAnsi="宋体" w:cs="宋体"/>
          <w:color w:val="000000"/>
          <w:szCs w:val="21"/>
          <w:lang w:val="zh-TW" w:eastAsia="zh-TW" w:bidi="zh-TW"/>
        </w:rPr>
        <w:t>工程物资保管与剩余</w:t>
      </w:r>
    </w:p>
    <w:p w14:paraId="5506E27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6.6.1</w:t>
      </w:r>
      <w:r>
        <w:rPr>
          <w:rFonts w:hint="eastAsia" w:ascii="宋体" w:hAnsi="宋体" w:cs="宋体"/>
          <w:color w:val="000000"/>
          <w:szCs w:val="21"/>
          <w:lang w:val="zh-TW" w:eastAsia="zh-TW" w:bidi="zh-TW"/>
        </w:rPr>
        <w:t>工程物资保管</w:t>
      </w:r>
    </w:p>
    <w:p w14:paraId="20BC884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款由发包人负责提供的工程物资、</w:t>
      </w:r>
      <w:r>
        <w:rPr>
          <w:rFonts w:hint="eastAsia" w:ascii="宋体" w:hAnsi="宋体" w:cs="宋体"/>
          <w:b/>
          <w:bCs/>
          <w:color w:val="000000"/>
          <w:szCs w:val="21"/>
          <w:lang w:val="zh-TW" w:eastAsia="zh-TW" w:bidi="zh-TW"/>
        </w:rPr>
        <w:t>6</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款由承包人负责提供的工 程物资的约定并委托承包人保管的，工程物资的类别和数量在专用条款中约定。</w:t>
      </w:r>
    </w:p>
    <w:p w14:paraId="7250391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承包人应按说明书的相关规定对工程物资进行保管、维护、保养，防止变形、 变质、污染和对人身造成伤害。承包人提交保管维护方案的时间在专用条款中约 定，保管维护方案应包括：工程物资分类和保管、保养、保安、领用制度，以及 库房、特殊保管库房、堆场、道路、照明、消防、设施、器具等规划。保管所需 的一切费用，包含在合同价格内。由发包人提供的库房、堆场、设施和设备，在 专用条款中约定。</w:t>
      </w:r>
    </w:p>
    <w:p w14:paraId="52E10CD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6.6.2</w:t>
      </w:r>
      <w:r>
        <w:rPr>
          <w:rFonts w:hint="eastAsia" w:ascii="宋体" w:hAnsi="宋体" w:cs="宋体"/>
          <w:color w:val="000000"/>
          <w:szCs w:val="21"/>
          <w:lang w:val="zh-TW" w:eastAsia="zh-TW" w:bidi="zh-TW"/>
        </w:rPr>
        <w:t>剩余工程物资的移交</w:t>
      </w:r>
    </w:p>
    <w:p w14:paraId="5BB2E7C4">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承包人保管的工程物资（含承包人负责釆购提供的工程物资并收到了釆购进 度款，及发包人委托保管的工程物资），在竣工试验完成后，剩余部分由承包人 无偿移交给发包人，专用条款另有约定时除外。</w:t>
      </w:r>
    </w:p>
    <w:p w14:paraId="3472E729">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第7条施工</w:t>
      </w:r>
    </w:p>
    <w:p w14:paraId="4FD54902">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w:t>
      </w:r>
      <w:r>
        <w:rPr>
          <w:rFonts w:hint="eastAsia" w:ascii="宋体" w:hAnsi="宋体" w:cs="宋体"/>
          <w:color w:val="000000"/>
          <w:szCs w:val="21"/>
          <w:lang w:val="zh-TW" w:eastAsia="zh-TW" w:bidi="zh-TW"/>
        </w:rPr>
        <w:t>发包人的义务</w:t>
      </w:r>
    </w:p>
    <w:p w14:paraId="025E66D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7.1.1</w:t>
      </w:r>
      <w:r>
        <w:rPr>
          <w:rFonts w:hint="eastAsia" w:ascii="宋体" w:hAnsi="宋体" w:cs="宋体"/>
          <w:color w:val="000000"/>
          <w:szCs w:val="21"/>
          <w:lang w:val="zh-TW" w:eastAsia="zh-TW" w:bidi="zh-TW"/>
        </w:rPr>
        <w:t>基准坐标资料</w:t>
      </w:r>
    </w:p>
    <w:p w14:paraId="3E32B47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承包人因放线需请发包人与相关单位联系的事项，发包人有义务协助。</w:t>
      </w:r>
    </w:p>
    <w:p w14:paraId="438C464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7.1.2</w:t>
      </w:r>
      <w:r>
        <w:rPr>
          <w:rFonts w:hint="eastAsia" w:ascii="宋体" w:hAnsi="宋体" w:cs="宋体"/>
          <w:color w:val="000000"/>
          <w:szCs w:val="21"/>
          <w:lang w:val="zh-TW" w:eastAsia="zh-TW" w:bidi="zh-TW"/>
        </w:rPr>
        <w:t>审查总体施工组织设计</w:t>
      </w:r>
    </w:p>
    <w:p w14:paraId="732A7BD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发包人有权对承包人根据</w:t>
      </w:r>
      <w:r>
        <w:rPr>
          <w:rFonts w:hint="eastAsia" w:ascii="宋体" w:hAnsi="宋体" w:cs="宋体"/>
          <w:b/>
          <w:bCs/>
          <w:color w:val="000000"/>
          <w:szCs w:val="21"/>
          <w:lang w:bidi="en-US"/>
        </w:rPr>
        <w:t>7.2.2</w:t>
      </w:r>
      <w:r>
        <w:rPr>
          <w:rFonts w:hint="eastAsia" w:ascii="宋体" w:hAnsi="宋体" w:cs="宋体"/>
          <w:color w:val="000000"/>
          <w:szCs w:val="21"/>
          <w:lang w:val="zh-TW" w:eastAsia="zh-TW" w:bidi="zh-TW"/>
        </w:rPr>
        <w:t>款约定提交的总体施工组织设计进行审査， 并在接到总体施工组织设计后</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日内提出建议和要求。发包人的建议和要求， 并不能减轻或免除承包人的任何合同责任。发包人未能在</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日内提出任何建议 和要求的，承包人有权按提交的总体施工组织设计实施。</w:t>
      </w:r>
    </w:p>
    <w:p w14:paraId="6230323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7.1.3</w:t>
      </w:r>
      <w:r>
        <w:rPr>
          <w:rFonts w:hint="eastAsia" w:ascii="宋体" w:hAnsi="宋体" w:cs="宋体"/>
          <w:color w:val="000000"/>
          <w:szCs w:val="21"/>
          <w:lang w:val="zh-TW" w:eastAsia="zh-TW" w:bidi="zh-TW"/>
        </w:rPr>
        <w:t>进场条件和进场日期</w:t>
      </w:r>
    </w:p>
    <w:p w14:paraId="1A2E8B9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除专用条款另有约定外，发包人应根据批准的初步设计和</w:t>
      </w:r>
      <w:r>
        <w:rPr>
          <w:rFonts w:hint="eastAsia" w:ascii="宋体" w:hAnsi="宋体" w:cs="宋体"/>
          <w:b/>
          <w:bCs/>
          <w:color w:val="000000"/>
          <w:szCs w:val="21"/>
          <w:lang w:bidi="en-US"/>
        </w:rPr>
        <w:t>7.2.3</w:t>
      </w:r>
      <w:r>
        <w:rPr>
          <w:rFonts w:hint="eastAsia" w:ascii="宋体" w:hAnsi="宋体" w:cs="宋体"/>
          <w:color w:val="000000"/>
          <w:szCs w:val="21"/>
          <w:lang w:val="zh-TW" w:eastAsia="zh-TW" w:bidi="zh-TW"/>
        </w:rPr>
        <w:t>款约定由承包人提交的临时占地资料，与承包人约定进场条件，确定进场日期。发包人应提供施工场地，完成进场道路、用地许可、拆迁及补偿等工作，保证承包人能够按 时进入现场开始准备工作。进场条件和进场日期在专用条款中约定。</w:t>
      </w:r>
    </w:p>
    <w:p w14:paraId="27BA154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因发包人原因造成承包人进场时间延误的，竣工日期相应顺延。发包人承担承包人因此发生的相关窝工费用。</w:t>
      </w:r>
    </w:p>
    <w:p w14:paraId="54B4E5F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7.1.4</w:t>
      </w:r>
      <w:r>
        <w:rPr>
          <w:rFonts w:hint="eastAsia" w:ascii="宋体" w:hAnsi="宋体" w:cs="宋体"/>
          <w:color w:val="000000"/>
          <w:szCs w:val="21"/>
          <w:lang w:val="zh-TW" w:eastAsia="zh-TW" w:bidi="zh-TW"/>
        </w:rPr>
        <w:t>提供临时用水、用电等和节点铺设</w:t>
      </w:r>
    </w:p>
    <w:p w14:paraId="3F2D270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除专用条款另有约定外，发包人应按</w:t>
      </w:r>
      <w:r>
        <w:rPr>
          <w:rFonts w:hint="eastAsia" w:ascii="宋体" w:hAnsi="宋体" w:cs="宋体"/>
          <w:b/>
          <w:bCs/>
          <w:color w:val="000000"/>
          <w:szCs w:val="21"/>
          <w:lang w:bidi="en-US"/>
        </w:rPr>
        <w:t>7.2.4</w:t>
      </w:r>
      <w:r>
        <w:rPr>
          <w:rFonts w:hint="eastAsia" w:ascii="宋体" w:hAnsi="宋体" w:cs="宋体"/>
          <w:color w:val="000000"/>
          <w:szCs w:val="21"/>
          <w:lang w:val="zh-TW" w:eastAsia="zh-TW" w:bidi="zh-TW"/>
        </w:rPr>
        <w:t>款的约定，在承包人进场前将施 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 责任。</w:t>
      </w:r>
    </w:p>
    <w:p w14:paraId="62D6F7D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发包人未能按约定的类别和时间完成节点铺设，使开工时间延误，竣工日期相应顺延。未能按约定的品质、数量和时间提供水、电等，给承包人造成的损失 由发包人承担，导致工程关键路径延误的，竣工日期相应顺延。</w:t>
      </w:r>
    </w:p>
    <w:p w14:paraId="43A0DAF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7.1.5</w:t>
      </w:r>
      <w:r>
        <w:rPr>
          <w:rFonts w:hint="eastAsia" w:ascii="宋体" w:hAnsi="宋体" w:cs="宋体"/>
          <w:color w:val="000000"/>
          <w:szCs w:val="21"/>
          <w:lang w:val="zh-TW" w:eastAsia="zh-TW" w:bidi="zh-TW"/>
        </w:rPr>
        <w:t>办理开工等批准手续</w:t>
      </w:r>
    </w:p>
    <w:p w14:paraId="0B02322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发包人应在施工开工日期前，取得开工批准文件或施工许可证等许可、证件 或批文，完成工程质量监督、安全监督等手续的办理。</w:t>
      </w:r>
    </w:p>
    <w:p w14:paraId="120D8F9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7.1.6</w:t>
      </w:r>
      <w:r>
        <w:rPr>
          <w:rFonts w:hint="eastAsia" w:ascii="宋体" w:hAnsi="宋体" w:cs="宋体"/>
          <w:color w:val="000000"/>
          <w:szCs w:val="21"/>
          <w:lang w:val="zh-TW" w:eastAsia="zh-TW" w:bidi="zh-TW"/>
        </w:rPr>
        <w:t>施工过程中须由发包人办理的批准</w:t>
      </w:r>
    </w:p>
    <w:p w14:paraId="261CD75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承包人在施工过程中根据</w:t>
      </w:r>
      <w:r>
        <w:rPr>
          <w:rFonts w:hint="eastAsia" w:ascii="宋体" w:hAnsi="宋体" w:cs="宋体"/>
          <w:b/>
          <w:bCs/>
          <w:color w:val="000000"/>
          <w:szCs w:val="21"/>
          <w:lang w:bidi="en-US"/>
        </w:rPr>
        <w:t>7.2.6</w:t>
      </w:r>
      <w:r>
        <w:rPr>
          <w:rFonts w:hint="eastAsia" w:ascii="宋体" w:hAnsi="宋体" w:cs="宋体"/>
          <w:color w:val="000000"/>
          <w:szCs w:val="21"/>
          <w:lang w:val="zh-TW" w:eastAsia="zh-TW" w:bidi="zh-TW"/>
        </w:rPr>
        <w:t>款的约定，通知需由发包人办理的各项批准手续，由发包人申请办理。</w:t>
      </w:r>
    </w:p>
    <w:p w14:paraId="0E8E018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因发包人未能按时办妥上述批准手续，给承包人造成的窝工损失，由发包人承担。导致工程关键路径延误的，竣工日期相应顺延。</w:t>
      </w:r>
    </w:p>
    <w:p w14:paraId="1BEFE46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7.1.7</w:t>
      </w:r>
      <w:r>
        <w:rPr>
          <w:rFonts w:hint="eastAsia" w:ascii="宋体" w:hAnsi="宋体" w:cs="宋体"/>
          <w:color w:val="000000"/>
          <w:szCs w:val="21"/>
          <w:lang w:val="zh-TW" w:eastAsia="zh-TW" w:bidi="zh-TW"/>
        </w:rPr>
        <w:t>提供施工障碍资料</w:t>
      </w:r>
    </w:p>
    <w:p w14:paraId="423FB5AA">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发包人按合同约定的内容和时间提供与施工场地相关的地下和地上的建筑 物、构筑物和其他设施的坐标位置。发包人根据</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 的约定，已经提供的可不再提供。承包人对发包人在合同约定时间之后提供的障 碍资料，可依据</w:t>
      </w:r>
      <w:r>
        <w:rPr>
          <w:rFonts w:hint="eastAsia" w:ascii="宋体" w:hAnsi="宋体" w:cs="宋体"/>
          <w:b/>
          <w:bCs/>
          <w:color w:val="000000"/>
          <w:szCs w:val="21"/>
          <w:lang w:val="zh-TW" w:eastAsia="zh-TW" w:bidi="zh-TW"/>
        </w:rPr>
        <w:t>1323</w:t>
      </w:r>
      <w:r>
        <w:rPr>
          <w:rFonts w:hint="eastAsia" w:ascii="宋体" w:hAnsi="宋体" w:cs="宋体"/>
          <w:color w:val="000000"/>
          <w:szCs w:val="21"/>
          <w:lang w:val="zh-TW" w:eastAsia="zh-TW" w:bidi="zh-TW"/>
        </w:rPr>
        <w:t>款施工变更的约定提交变更申请，对于承包人的合理请求 发包人应予以批准。因发包人未能提供上述施工障碍资料或提供的资料不真实、 不准确、不齐全，给承包人造成损失或损害的，由发包人承担赔偿责任。导致工 程关键路径延误的，竣工日期相应顺延。</w:t>
      </w:r>
    </w:p>
    <w:p w14:paraId="7AB77BA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7.1.8</w:t>
      </w:r>
      <w:r>
        <w:rPr>
          <w:rFonts w:hint="eastAsia" w:ascii="宋体" w:hAnsi="宋体" w:cs="宋体"/>
          <w:color w:val="000000"/>
          <w:szCs w:val="21"/>
          <w:lang w:val="zh-TW" w:eastAsia="zh-TW" w:bidi="zh-TW"/>
        </w:rPr>
        <w:t>承包人新发现的施工障碍</w:t>
      </w:r>
    </w:p>
    <w:p w14:paraId="4855E34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发包人应根据承包人按照</w:t>
      </w:r>
      <w:r>
        <w:rPr>
          <w:rFonts w:hint="eastAsia" w:ascii="宋体" w:hAnsi="宋体" w:cs="宋体"/>
          <w:b/>
          <w:bCs/>
          <w:color w:val="000000"/>
          <w:szCs w:val="21"/>
          <w:lang w:bidi="en-US"/>
        </w:rPr>
        <w:t>7.2.8</w:t>
      </w:r>
      <w:r>
        <w:rPr>
          <w:rFonts w:hint="eastAsia" w:ascii="宋体" w:hAnsi="宋体" w:cs="宋体"/>
          <w:color w:val="000000"/>
          <w:szCs w:val="21"/>
          <w:lang w:val="zh-TW" w:eastAsia="zh-TW" w:bidi="zh-TW"/>
        </w:rPr>
        <w:t>款的约定发出的通知，与有关单位进行联系、 协调、处理施工场地周围及临近的影响工程实施的建筑物、构筑物、文物建筑、 古树、名木、地下管线、线缆、设施以及地下文物、化石和坟墓等的保护工作， 并承担相关费用。</w:t>
      </w:r>
    </w:p>
    <w:p w14:paraId="789F7A3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对于新发现的施工障碍，承包人可依据</w:t>
      </w:r>
      <w:r>
        <w:rPr>
          <w:rFonts w:hint="eastAsia" w:ascii="宋体" w:hAnsi="宋体" w:cs="宋体"/>
          <w:b/>
          <w:bCs/>
          <w:color w:val="000000"/>
          <w:szCs w:val="21"/>
          <w:lang w:bidi="en-US"/>
        </w:rPr>
        <w:t>13.2.3</w:t>
      </w:r>
      <w:r>
        <w:rPr>
          <w:rFonts w:hint="eastAsia" w:ascii="宋体" w:hAnsi="宋体" w:cs="宋体"/>
          <w:color w:val="000000"/>
          <w:szCs w:val="21"/>
          <w:lang w:val="zh-TW" w:eastAsia="zh-TW" w:bidi="zh-TW"/>
        </w:rPr>
        <w:t>款施工变更范围第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项的 约定提交变更申请，对于承包人的合理请求发包人应予以批准。施工障碍导致工 程关键路径延误的，竣工日期相应顺延。</w:t>
      </w:r>
    </w:p>
    <w:p w14:paraId="6937927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7.1.9</w:t>
      </w:r>
      <w:r>
        <w:rPr>
          <w:rFonts w:hint="eastAsia" w:ascii="宋体" w:hAnsi="宋体" w:cs="宋体"/>
          <w:color w:val="000000"/>
          <w:szCs w:val="21"/>
          <w:lang w:val="zh-TW" w:eastAsia="zh-TW" w:bidi="zh-TW"/>
        </w:rPr>
        <w:t>职业健康、安全、环境保护管理计划确认</w:t>
      </w:r>
    </w:p>
    <w:p w14:paraId="76049334">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发包人应在收到承包人根据</w:t>
      </w:r>
      <w:r>
        <w:rPr>
          <w:rFonts w:hint="eastAsia" w:ascii="宋体" w:hAnsi="宋体" w:cs="宋体"/>
          <w:b/>
          <w:bCs/>
          <w:color w:val="000000"/>
          <w:szCs w:val="21"/>
          <w:lang w:bidi="en-US"/>
        </w:rPr>
        <w:t>7.8</w:t>
      </w:r>
      <w:r>
        <w:rPr>
          <w:rFonts w:hint="eastAsia" w:ascii="宋体" w:hAnsi="宋体" w:cs="宋体"/>
          <w:color w:val="000000"/>
          <w:szCs w:val="21"/>
          <w:lang w:val="zh-TW" w:eastAsia="zh-TW" w:bidi="zh-TW"/>
        </w:rPr>
        <w:t>款约定提交的</w:t>
      </w:r>
      <w:r>
        <w:rPr>
          <w:rFonts w:hint="eastAsia" w:ascii="宋体" w:hAnsi="宋体" w:cs="宋体"/>
          <w:color w:val="000000"/>
          <w:szCs w:val="21"/>
          <w:lang w:val="zh-CN" w:bidi="zh-CN"/>
        </w:rPr>
        <w:t>“职</w:t>
      </w:r>
      <w:r>
        <w:rPr>
          <w:rFonts w:hint="eastAsia" w:ascii="宋体" w:hAnsi="宋体" w:cs="宋体"/>
          <w:color w:val="000000"/>
          <w:szCs w:val="21"/>
          <w:lang w:val="zh-TW" w:eastAsia="zh-TW" w:bidi="zh-TW"/>
        </w:rPr>
        <w:t>业健康、安全和环境保护” 管理计划后</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日内对之进行确认。发包人有权检查其实施情况并对检查中发现的问题提出整改建议，承包人应按照发包人合理建议自费整改。</w:t>
      </w:r>
    </w:p>
    <w:p w14:paraId="2AD06DB4">
      <w:pPr>
        <w:spacing w:line="360" w:lineRule="auto"/>
        <w:ind w:firstLine="240"/>
        <w:rPr>
          <w:rFonts w:hint="eastAsia" w:ascii="宋体" w:hAnsi="宋体" w:cs="宋体"/>
          <w:b/>
          <w:bCs/>
          <w:szCs w:val="21"/>
        </w:rPr>
      </w:pPr>
      <w:r>
        <w:rPr>
          <w:rFonts w:hint="eastAsia" w:ascii="宋体" w:hAnsi="宋体" w:cs="宋体"/>
          <w:b/>
          <w:bCs/>
          <w:color w:val="000000"/>
          <w:szCs w:val="21"/>
          <w:lang w:bidi="en-US"/>
        </w:rPr>
        <w:t>7.1.10</w:t>
      </w:r>
      <w:r>
        <w:rPr>
          <w:rFonts w:hint="eastAsia" w:ascii="宋体" w:hAnsi="宋体" w:cs="宋体"/>
          <w:color w:val="000000"/>
          <w:szCs w:val="21"/>
          <w:lang w:val="zh-TW" w:eastAsia="zh-TW" w:bidi="zh-TW"/>
        </w:rPr>
        <w:t>其它义务</w:t>
      </w:r>
    </w:p>
    <w:p w14:paraId="56FEAA2C">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发包人应履行专用条款中约定的由发包人履行的其它义务。</w:t>
      </w:r>
    </w:p>
    <w:p w14:paraId="20526DCF">
      <w:pPr>
        <w:spacing w:after="1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w:t>
      </w:r>
      <w:r>
        <w:rPr>
          <w:rFonts w:hint="eastAsia" w:ascii="宋体" w:hAnsi="宋体" w:cs="宋体"/>
          <w:color w:val="000000"/>
          <w:szCs w:val="21"/>
          <w:lang w:val="zh-TW" w:eastAsia="zh-TW" w:bidi="zh-TW"/>
        </w:rPr>
        <w:t>承包人的义务</w:t>
      </w:r>
    </w:p>
    <w:p w14:paraId="566E2FBA">
      <w:pPr>
        <w:spacing w:line="360" w:lineRule="auto"/>
        <w:ind w:firstLine="240"/>
        <w:rPr>
          <w:rFonts w:hint="eastAsia" w:ascii="宋体" w:hAnsi="宋体" w:cs="宋体"/>
          <w:b/>
          <w:bCs/>
          <w:szCs w:val="21"/>
        </w:rPr>
      </w:pPr>
      <w:r>
        <w:rPr>
          <w:rFonts w:hint="eastAsia" w:ascii="宋体" w:hAnsi="宋体" w:cs="宋体"/>
          <w:b/>
          <w:bCs/>
          <w:color w:val="000000"/>
          <w:szCs w:val="21"/>
          <w:lang w:bidi="en-US"/>
        </w:rPr>
        <w:t>7.2.1</w:t>
      </w:r>
      <w:r>
        <w:rPr>
          <w:rFonts w:hint="eastAsia" w:ascii="宋体" w:hAnsi="宋体" w:cs="宋体"/>
          <w:color w:val="000000"/>
          <w:szCs w:val="21"/>
          <w:lang w:val="zh-TW" w:eastAsia="zh-TW" w:bidi="zh-TW"/>
        </w:rPr>
        <w:t>放线</w:t>
      </w:r>
    </w:p>
    <w:p w14:paraId="7B9B3B3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承包人负责对工程、单项工程、施工部位的放线，并对放线的准确性负责。</w:t>
      </w:r>
    </w:p>
    <w:p w14:paraId="155BA61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7.2.2</w:t>
      </w:r>
      <w:r>
        <w:rPr>
          <w:rFonts w:hint="eastAsia" w:ascii="宋体" w:hAnsi="宋体" w:cs="宋体"/>
          <w:color w:val="000000"/>
          <w:szCs w:val="21"/>
          <w:lang w:val="zh-TW" w:eastAsia="zh-TW" w:bidi="zh-TW"/>
        </w:rPr>
        <w:t>施工组织设计</w:t>
      </w:r>
    </w:p>
    <w:p w14:paraId="5636EC6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承包人应在施工开工</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日前或双方约定的其它时间内，向发包人提交总体 施工组织设计。随着施工进展向发包人提交主要单项工程和主要分部分项工程的 施工组织设计。对发包人提出的合理建议和要求，承包人应自费修改完善。</w:t>
      </w:r>
    </w:p>
    <w:p w14:paraId="300F5A1B">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总体施工组织设计提交的份数和时间，及需提交施工组织设计的主要单项工 程和主要分部分项工程的名称、份数和时间，在专用条款中约定。</w:t>
      </w:r>
    </w:p>
    <w:p w14:paraId="4849D76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7.2.3</w:t>
      </w:r>
      <w:r>
        <w:rPr>
          <w:rFonts w:hint="eastAsia" w:ascii="宋体" w:hAnsi="宋体" w:cs="宋体"/>
          <w:color w:val="000000"/>
          <w:szCs w:val="21"/>
          <w:lang w:val="zh-TW" w:eastAsia="zh-TW" w:bidi="zh-TW"/>
        </w:rPr>
        <w:t>提交临时占地资料</w:t>
      </w:r>
    </w:p>
    <w:p w14:paraId="2AD0A0C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承包人应按专用条款约定的时间向发包人提交以下临时占地资料：</w:t>
      </w:r>
    </w:p>
    <w:p w14:paraId="10B1F0D7">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6.6.1</w:t>
      </w:r>
      <w:r>
        <w:rPr>
          <w:rFonts w:hint="eastAsia" w:ascii="宋体" w:hAnsi="宋体" w:cs="宋体"/>
          <w:color w:val="000000"/>
          <w:szCs w:val="21"/>
          <w:lang w:val="zh-TW" w:eastAsia="zh-TW" w:bidi="zh-TW"/>
        </w:rPr>
        <w:t>款保管工程物资所需的库房、堆场、道路用地的坐标位置、 面积、占用时间、用途说明，并须单列需要由发包人租地的坐标位置、面积、占 用时间和用途说明；</w:t>
      </w:r>
    </w:p>
    <w:p w14:paraId="7F863B14">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施工用地的坐标位置、面积、占用时间、用途说明，并须单列要求发 包人租地的坐标位置、面积、占用时间和用途说明；</w:t>
      </w:r>
    </w:p>
    <w:p w14:paraId="4D14235A">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进入施工现场道路的入口坐标位置，并须指明要求发包人铺设与城乡公共道路相连接的道路走向、长度、路宽、等级、桥涵承重、转弯半径和时间要 求。</w:t>
      </w:r>
    </w:p>
    <w:p w14:paraId="34240EF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因承包人未能按时提交上述资料，导致</w:t>
      </w:r>
      <w:r>
        <w:rPr>
          <w:rFonts w:hint="eastAsia" w:ascii="宋体" w:hAnsi="宋体" w:cs="宋体"/>
          <w:b/>
          <w:bCs/>
          <w:color w:val="000000"/>
          <w:szCs w:val="21"/>
          <w:lang w:val="zh-TW" w:eastAsia="zh-TW" w:bidi="zh-TW"/>
        </w:rPr>
        <w:t>7</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款约定的进场日期延误的，由 此增加的费用和（或）竣工日期延误，由承包人负责。</w:t>
      </w:r>
    </w:p>
    <w:p w14:paraId="24E6772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7.2.4</w:t>
      </w:r>
      <w:r>
        <w:rPr>
          <w:rFonts w:hint="eastAsia" w:ascii="宋体" w:hAnsi="宋体" w:cs="宋体"/>
          <w:color w:val="000000"/>
          <w:szCs w:val="21"/>
          <w:lang w:val="zh-TW" w:eastAsia="zh-TW" w:bidi="zh-TW"/>
        </w:rPr>
        <w:t>临时用水、用电等</w:t>
      </w:r>
    </w:p>
    <w:p w14:paraId="6F034CC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承包人应在施工开工日期</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日前或双方约定的其它时间，按本专用条款中约定的发包人能够提供的临时用水、用电等类别，向发包人提交施工（含工程物 资保管）所需的临时用水、用电等的品质、正常用量、高峰用量、使用时间和节 点位置等资料。承包人自费负责计量仪器的购买、安装和维护，并依据</w:t>
      </w:r>
      <w:r>
        <w:rPr>
          <w:rFonts w:hint="eastAsia" w:ascii="宋体" w:hAnsi="宋体" w:cs="宋体"/>
          <w:b/>
          <w:bCs/>
          <w:color w:val="000000"/>
          <w:szCs w:val="21"/>
          <w:lang w:bidi="en-US"/>
        </w:rPr>
        <w:t>7.1.4</w:t>
      </w:r>
      <w:r>
        <w:rPr>
          <w:rFonts w:hint="eastAsia" w:ascii="宋体" w:hAnsi="宋体" w:cs="宋体"/>
          <w:color w:val="000000"/>
          <w:szCs w:val="21"/>
          <w:lang w:val="zh-TW" w:eastAsia="zh-TW" w:bidi="zh-TW"/>
        </w:rPr>
        <w:t>款 专用条款中约定的单价向发包人交费，双方另有约定时除外。</w:t>
      </w:r>
    </w:p>
    <w:p w14:paraId="076F668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因承包人未能按合同约定提交上述资料,造成发包人费用增加和竣工日期延误时，由承包人负责。</w:t>
      </w:r>
    </w:p>
    <w:p w14:paraId="036217A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7.2.5</w:t>
      </w:r>
      <w:r>
        <w:rPr>
          <w:rFonts w:hint="eastAsia" w:ascii="宋体" w:hAnsi="宋体" w:cs="宋体"/>
          <w:color w:val="000000"/>
          <w:szCs w:val="21"/>
          <w:lang w:val="zh-TW" w:eastAsia="zh-TW" w:bidi="zh-TW"/>
        </w:rPr>
        <w:t>协助发包人办理开工等批准手续</w:t>
      </w:r>
    </w:p>
    <w:p w14:paraId="3C49C9F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承包人应在工程开工</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日前，通知发包人向有关部门办理须由发包人办理 的开工批准或施工许可证、工程质量监督手续及其他许可、证件、批件等。发包 人需要时，承包人有义务提供协助。发包人委托承包人代办并被承包人接受时， 双方可另行签订协议，作为本合同的附件。</w:t>
      </w:r>
    </w:p>
    <w:p w14:paraId="74A0AD3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7.2.6</w:t>
      </w:r>
      <w:r>
        <w:rPr>
          <w:rFonts w:hint="eastAsia" w:ascii="宋体" w:hAnsi="宋体" w:cs="宋体"/>
          <w:color w:val="000000"/>
          <w:szCs w:val="21"/>
          <w:lang w:val="zh-TW" w:eastAsia="zh-TW" w:bidi="zh-TW"/>
        </w:rPr>
        <w:t>施工过程中需通知办理的批准</w:t>
      </w:r>
    </w:p>
    <w:p w14:paraId="063143BC">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承包人在施工过程中因增加场外临时用地，临时要求停水、停电、中断道路 交通，爆破作业，或可能损坏道路、管线、电力、邮电、通讯等公共设施的，应提前</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日通知发包人办理相关申请批准手续，并按发包人的要求，提供需要承 包人提供的相关文件、资料、证件等。</w:t>
      </w:r>
    </w:p>
    <w:p w14:paraId="27EAABA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因承包人未能在</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日前通知发包人或未能按时提供由发包人办理申请所需的承包人的相关文件、资料和证件等，造成承包人窝工、停工和竣工日期延误的，由承包人负责。</w:t>
      </w:r>
    </w:p>
    <w:p w14:paraId="0C21C2E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7.2.7</w:t>
      </w:r>
      <w:r>
        <w:rPr>
          <w:rFonts w:hint="eastAsia" w:ascii="宋体" w:hAnsi="宋体" w:cs="宋体"/>
          <w:color w:val="000000"/>
          <w:szCs w:val="21"/>
          <w:lang w:val="zh-TW" w:eastAsia="zh-TW" w:bidi="zh-TW"/>
        </w:rPr>
        <w:t>提供施工障碍资料</w:t>
      </w:r>
    </w:p>
    <w:p w14:paraId="72AFE57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承包人应按合同约定，在每项地下或地上施工部位开工</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日前，向发包人 提交施工场地的具体范围及其坐标位置，发包人须就上述范围内提供相关的地下和地上的建筑物、构筑物和其它设施的坐标位置（不包括发包人根据</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 xml:space="preserve">款第 </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项中已提供的现场障碍资料）。发包人在合同约定时间之后提 出现场障碍资料的，按照</w:t>
      </w:r>
      <w:r>
        <w:rPr>
          <w:rFonts w:hint="eastAsia" w:ascii="宋体" w:hAnsi="宋体" w:cs="宋体"/>
          <w:b/>
          <w:bCs/>
          <w:color w:val="000000"/>
          <w:szCs w:val="21"/>
          <w:lang w:bidi="en-US"/>
        </w:rPr>
        <w:t>13.2.3</w:t>
      </w:r>
      <w:r>
        <w:rPr>
          <w:rFonts w:hint="eastAsia" w:ascii="宋体" w:hAnsi="宋体" w:cs="宋体"/>
          <w:color w:val="000000"/>
          <w:szCs w:val="21"/>
          <w:lang w:val="zh-TW" w:eastAsia="zh-TW" w:bidi="zh-TW"/>
        </w:rPr>
        <w:t>款的施工变更的约定办理。</w:t>
      </w:r>
    </w:p>
    <w:p w14:paraId="58EE5A9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发包人已提供上述相关资料，因承包人未能履行保护义务，造成的损失、损害和责任，由承包人负责。因此造成工程关键路径延误的，承包人按</w:t>
      </w:r>
      <w:r>
        <w:rPr>
          <w:rFonts w:hint="eastAsia" w:ascii="宋体" w:hAnsi="宋体" w:cs="宋体"/>
          <w:b/>
          <w:bCs/>
          <w:color w:val="000000"/>
          <w:szCs w:val="21"/>
          <w:lang w:bidi="en-US"/>
        </w:rPr>
        <w:t>4.1.2</w:t>
      </w:r>
      <w:r>
        <w:rPr>
          <w:rFonts w:hint="eastAsia" w:ascii="宋体" w:hAnsi="宋体" w:cs="宋体"/>
          <w:color w:val="000000"/>
          <w:szCs w:val="21"/>
          <w:lang w:val="zh-TW" w:eastAsia="zh-TW" w:bidi="zh-TW"/>
        </w:rPr>
        <w:t>款的约定，自费赶上。</w:t>
      </w:r>
    </w:p>
    <w:p w14:paraId="3E80E77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7.2.8</w:t>
      </w:r>
      <w:r>
        <w:rPr>
          <w:rFonts w:hint="eastAsia" w:ascii="宋体" w:hAnsi="宋体" w:cs="宋体"/>
          <w:color w:val="000000"/>
          <w:szCs w:val="21"/>
          <w:lang w:val="zh-TW" w:eastAsia="zh-TW" w:bidi="zh-TW"/>
        </w:rPr>
        <w:t>新发现的施工障碍</w:t>
      </w:r>
    </w:p>
    <w:p w14:paraId="132B97E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承包人应对在施工过程中新发现的场地周围及临近影响施工的建筑物、构筑 物、文物建筑、古树、名木，以及地下管线、线缆、构筑物、文物、化石和坟墓 等，立即采取保护措施，并及时通知发包人。新发现的施工障碍，按照</w:t>
      </w:r>
      <w:r>
        <w:rPr>
          <w:rFonts w:hint="eastAsia" w:ascii="宋体" w:hAnsi="宋体" w:cs="宋体"/>
          <w:b/>
          <w:bCs/>
          <w:color w:val="000000"/>
          <w:szCs w:val="21"/>
          <w:lang w:bidi="en-US"/>
        </w:rPr>
        <w:t xml:space="preserve">13.2.3 </w:t>
      </w:r>
      <w:r>
        <w:rPr>
          <w:rFonts w:hint="eastAsia" w:ascii="宋体" w:hAnsi="宋体" w:cs="宋体"/>
          <w:color w:val="000000"/>
          <w:szCs w:val="21"/>
          <w:lang w:val="zh-TW" w:eastAsia="zh-TW" w:bidi="zh-TW"/>
        </w:rPr>
        <w:t>款的施工变更约定办理。</w:t>
      </w:r>
    </w:p>
    <w:p w14:paraId="46F0CE1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7.2.9</w:t>
      </w:r>
      <w:r>
        <w:rPr>
          <w:rFonts w:hint="eastAsia" w:ascii="宋体" w:hAnsi="宋体" w:cs="宋体"/>
          <w:color w:val="000000"/>
          <w:szCs w:val="21"/>
          <w:lang w:val="zh-TW" w:eastAsia="zh-TW" w:bidi="zh-TW"/>
        </w:rPr>
        <w:t>施工资源</w:t>
      </w:r>
    </w:p>
    <w:p w14:paraId="709DB32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承包人应保证其人力、机具、设备、设施、措施材料、消耗材料、周转材料 及其它施工资源，满足实施工程的需求。</w:t>
      </w:r>
    </w:p>
    <w:p w14:paraId="5E8C843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7.2.10</w:t>
      </w:r>
      <w:r>
        <w:rPr>
          <w:rFonts w:hint="eastAsia" w:ascii="宋体" w:hAnsi="宋体" w:cs="宋体"/>
          <w:color w:val="000000"/>
          <w:szCs w:val="21"/>
          <w:lang w:val="zh-TW" w:eastAsia="zh-TW" w:bidi="zh-TW"/>
        </w:rPr>
        <w:t>设计文件的说明和解释</w:t>
      </w:r>
    </w:p>
    <w:p w14:paraId="7592F9B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承包人应在施工开工前向施工分包人和监理人说明设计文件的意图，解释设计文件，及时解决施工过程中出现的有关问题。</w:t>
      </w:r>
    </w:p>
    <w:p w14:paraId="3F3BFA2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7.2.11</w:t>
      </w:r>
      <w:r>
        <w:rPr>
          <w:rFonts w:hint="eastAsia" w:ascii="宋体" w:hAnsi="宋体" w:cs="宋体"/>
          <w:color w:val="000000"/>
          <w:szCs w:val="21"/>
          <w:lang w:val="zh-TW" w:eastAsia="zh-TW" w:bidi="zh-TW"/>
        </w:rPr>
        <w:t>工程的保护与维护</w:t>
      </w:r>
    </w:p>
    <w:p w14:paraId="4AB11605">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承包人应从开工之日起至发包人接收工程或单项工程之日止,负责工程或单 项工程的照管、保护、维护和保安责任，保证工程或单项工程除不可抗力外，不 受到任何损失、损害。</w:t>
      </w:r>
    </w:p>
    <w:p w14:paraId="4CA25022">
      <w:pPr>
        <w:spacing w:line="360" w:lineRule="auto"/>
        <w:ind w:firstLine="240"/>
        <w:rPr>
          <w:rFonts w:hint="eastAsia" w:ascii="宋体" w:hAnsi="宋体" w:cs="宋体"/>
          <w:b/>
          <w:bCs/>
          <w:szCs w:val="21"/>
        </w:rPr>
      </w:pPr>
      <w:r>
        <w:rPr>
          <w:rFonts w:hint="eastAsia" w:ascii="宋体" w:hAnsi="宋体" w:cs="宋体"/>
          <w:b/>
          <w:bCs/>
          <w:color w:val="000000"/>
          <w:szCs w:val="21"/>
          <w:lang w:bidi="en-US"/>
        </w:rPr>
        <w:t>7.2.12</w:t>
      </w:r>
      <w:r>
        <w:rPr>
          <w:rFonts w:hint="eastAsia" w:ascii="宋体" w:hAnsi="宋体" w:cs="宋体"/>
          <w:color w:val="000000"/>
          <w:szCs w:val="21"/>
          <w:lang w:val="zh-TW" w:eastAsia="zh-TW" w:bidi="zh-TW"/>
        </w:rPr>
        <w:t>清理现场</w:t>
      </w:r>
    </w:p>
    <w:p w14:paraId="446E1AC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承包人负责在施工过程中及完工后对现场进行清理、分类堆放，将残余物、 废弃物、垃圾等运往发包人、或当地有关部门指定的地点。清理现场的费用在专 用条款中写明。承包人应将不再使用的机具、设备、设施和临时工程等撤离现场， 或运到发包人指定的场地。</w:t>
      </w:r>
    </w:p>
    <w:p w14:paraId="02B64EB6">
      <w:pPr>
        <w:spacing w:line="360" w:lineRule="auto"/>
        <w:ind w:firstLine="240"/>
        <w:rPr>
          <w:rFonts w:hint="eastAsia" w:ascii="宋体" w:hAnsi="宋体" w:cs="宋体"/>
          <w:b/>
          <w:bCs/>
          <w:szCs w:val="21"/>
        </w:rPr>
      </w:pPr>
      <w:r>
        <w:rPr>
          <w:rFonts w:hint="eastAsia" w:ascii="宋体" w:hAnsi="宋体" w:cs="宋体"/>
          <w:b/>
          <w:bCs/>
          <w:color w:val="000000"/>
          <w:szCs w:val="21"/>
          <w:lang w:bidi="en-US"/>
        </w:rPr>
        <w:t>7.2.13</w:t>
      </w:r>
      <w:r>
        <w:rPr>
          <w:rFonts w:hint="eastAsia" w:ascii="宋体" w:hAnsi="宋体" w:cs="宋体"/>
          <w:color w:val="000000"/>
          <w:szCs w:val="21"/>
          <w:lang w:val="zh-TW" w:eastAsia="zh-TW" w:bidi="zh-TW"/>
        </w:rPr>
        <w:t>其它义务</w:t>
      </w:r>
    </w:p>
    <w:p w14:paraId="199EA235">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承包人应履行专用条款中约定的应由承包人履行的其它相关义务。</w:t>
      </w:r>
    </w:p>
    <w:p w14:paraId="384F7893">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7.3</w:t>
      </w:r>
      <w:r>
        <w:rPr>
          <w:rFonts w:hint="eastAsia" w:ascii="宋体" w:hAnsi="宋体" w:cs="宋体"/>
          <w:color w:val="000000"/>
          <w:szCs w:val="21"/>
          <w:lang w:val="zh-TW" w:eastAsia="zh-TW" w:bidi="zh-TW"/>
        </w:rPr>
        <w:t>施工技术方法</w:t>
      </w:r>
    </w:p>
    <w:p w14:paraId="1723DEC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承包人的施工技术方法应符合有关操作规程、安全规程及质量标准。</w:t>
      </w:r>
    </w:p>
    <w:p w14:paraId="1BC92E18">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发包人应在收到承包人提交的该方法后的</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日内予以确认或提出建议，发包 人的任何此类确认和建议，并不能减轻或免除承包人的合同责任。</w:t>
      </w:r>
    </w:p>
    <w:p w14:paraId="53F0D08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7.4</w:t>
      </w:r>
      <w:r>
        <w:rPr>
          <w:rFonts w:hint="eastAsia" w:ascii="宋体" w:hAnsi="宋体" w:cs="宋体"/>
          <w:color w:val="000000"/>
          <w:szCs w:val="21"/>
          <w:lang w:val="zh-TW" w:eastAsia="zh-TW" w:bidi="zh-TW"/>
        </w:rPr>
        <w:t>人力和机具资源</w:t>
      </w:r>
    </w:p>
    <w:p w14:paraId="1B760FD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7.4.1</w:t>
      </w:r>
      <w:r>
        <w:rPr>
          <w:rFonts w:hint="eastAsia" w:ascii="宋体" w:hAnsi="宋体" w:cs="宋体"/>
          <w:color w:val="000000"/>
          <w:szCs w:val="21"/>
          <w:lang w:val="zh-TW" w:eastAsia="zh-TW" w:bidi="zh-TW"/>
        </w:rPr>
        <w:t>承包人应按专用条款约定的格式、内容、份数和提交时间，向发包人 提交施工人力资源计划一览表。施工人力资源计划应符合施工进度计划的需要； 并按专用条款约定的报表格式、内容、份数和报告期，向发包人提供实际进场的 人力资源信息。</w:t>
      </w:r>
    </w:p>
    <w:p w14:paraId="6AD5B1A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承包人未能按施工人力资源计划一览表投入足够工种和人力，导致实际施工 进度明显落后于施工进度计划时，发包人有权通知承包人按计划一览表列出的工 种和人数，在合理时间内调派人员进入现场，并自费赶上进度。否则，发包人有 权责令承包人将某些单项工程、分部分项工程的施工另行分包，因此发生的费用 及延误的时间由承包人承担。</w:t>
      </w:r>
    </w:p>
    <w:p w14:paraId="62C001E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7.4.2</w:t>
      </w:r>
      <w:r>
        <w:rPr>
          <w:rFonts w:hint="eastAsia" w:ascii="宋体" w:hAnsi="宋体" w:cs="宋体"/>
          <w:color w:val="000000"/>
          <w:szCs w:val="21"/>
          <w:lang w:val="zh-TW" w:eastAsia="zh-TW" w:bidi="zh-TW"/>
        </w:rPr>
        <w:t>承包人应按专用条款约定的格式、内容、份数和提交时间，向发包人 提交主要施工机具资源计划一览表。施工机具资源计划应符合施工进度计划的需 要；并按专用条款约定的报表格式、内容、份数和报告期，向发包人提供实际进 场的主要施工机具信息。</w:t>
      </w:r>
    </w:p>
    <w:p w14:paraId="13139180">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承包人未能按施工机具资源计划一览表投入足够的机具，导致实际施工进度 落后于施工进度计划时，发包人有权通知承包人按该一览表列出的机具数量，在 合理时间内调派机具进入现场。否则，发包人有权向承包人提供相关机具，因此 所发生的费用及延误的时间由承包人承担。</w:t>
      </w:r>
    </w:p>
    <w:p w14:paraId="3A7CC16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en-US" w:bidi="en-US"/>
        </w:rPr>
        <w:t>7.5</w:t>
      </w:r>
      <w:r>
        <w:rPr>
          <w:rFonts w:hint="eastAsia" w:ascii="宋体" w:hAnsi="宋体" w:cs="宋体"/>
          <w:color w:val="000000"/>
          <w:szCs w:val="21"/>
          <w:lang w:val="zh-TW" w:eastAsia="zh-TW" w:bidi="zh-TW"/>
        </w:rPr>
        <w:t>质量与检验</w:t>
      </w:r>
    </w:p>
    <w:p w14:paraId="7AED8C4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en-US" w:bidi="en-US"/>
        </w:rPr>
        <w:t>7.5.1</w:t>
      </w:r>
      <w:r>
        <w:rPr>
          <w:rFonts w:hint="eastAsia" w:ascii="宋体" w:hAnsi="宋体" w:cs="宋体"/>
          <w:color w:val="000000"/>
          <w:szCs w:val="21"/>
          <w:lang w:val="zh-TW" w:eastAsia="zh-TW" w:bidi="zh-TW"/>
        </w:rPr>
        <w:t>质量与检验</w:t>
      </w:r>
    </w:p>
    <w:p w14:paraId="2CAB482B">
      <w:pPr>
        <w:numPr>
          <w:ilvl w:val="0"/>
          <w:numId w:val="3"/>
        </w:num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承包人及其分包人应随时接受发包人、监理人所进行的安全、质量的 监督和检査。承包人应为此类监督、检査提供方便。</w:t>
      </w:r>
    </w:p>
    <w:p w14:paraId="38F1AFAE">
      <w:pPr>
        <w:numPr>
          <w:ilvl w:val="0"/>
          <w:numId w:val="3"/>
        </w:num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发包人委托第三方对施工质量进行检査、检验、检测和试验时，应以 书面形式通知承包人。第三方的验收结果视为发包人的验收结果。</w:t>
      </w:r>
    </w:p>
    <w:p w14:paraId="5134E447">
      <w:pPr>
        <w:numPr>
          <w:ilvl w:val="0"/>
          <w:numId w:val="3"/>
        </w:numPr>
        <w:tabs>
          <w:tab w:val="left" w:pos="3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承包人应遵守施工质量管理的有关规定，负有对其操作人员进行培训、 考核、图纸交底、技术交底、操作规程交底、安全程序交底和质量标准交底，及 消除事故隐患的责任。</w:t>
      </w:r>
    </w:p>
    <w:p w14:paraId="2D7ABCB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承包人应按照设计文件、施工标准和合同约定，负责编写施工试验和 检测方案，对工程物资（包括建筑构配件）进行检査、检验、检测和试验，不合 格的不得使用。并有义务自费修复和（或）更换不合格的工程物资，因此造成竣 工日期延误的，由承包人负责；发包人提供的工程物资经承包人检查、检验、检 测和试验不合格的，发包人应自费修复和（或）更换，因此造成关键路径延误的， 竣工日期相应顺延。承包人因此增加的费用，由发包人承担。</w:t>
      </w:r>
    </w:p>
    <w:p w14:paraId="688E4AA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承包人的施工应符合合同约定的质量标准。施工质量评定以合同中约 定的质量检验评定标准为依据。对不符合质量标准的施工部位，承包人应自费修 复、返工、更换等。因此造成竣工日期延误的，由承包人负责。</w:t>
      </w:r>
    </w:p>
    <w:p w14:paraId="6DD0A157">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7.5.2</w:t>
      </w:r>
      <w:r>
        <w:rPr>
          <w:rFonts w:hint="eastAsia" w:ascii="宋体" w:hAnsi="宋体" w:cs="宋体"/>
          <w:color w:val="000000"/>
          <w:szCs w:val="21"/>
          <w:lang w:val="zh-TW" w:eastAsia="zh-TW" w:bidi="zh-TW"/>
        </w:rPr>
        <w:t>质检部位与参检方。质检部位分为：发包人、监理人与承包人三方参 检的部位；监理人与承包人两方参检的部位；第三方或（和）承包人一方参检的 部位。对施工质量进行检查的部位、检查标准及验收的表格格式在专用条款中约定。</w:t>
      </w:r>
    </w:p>
    <w:p w14:paraId="7C5A388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承包人应将按上述约定，经其一方检查合格的部位报发包人或监理人备案。 发包人和工程总监有权随时对备案的部位进行抽査或全面检査。</w:t>
      </w:r>
    </w:p>
    <w:p w14:paraId="40AE19CC">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7.5.3</w:t>
      </w:r>
      <w:r>
        <w:rPr>
          <w:rFonts w:hint="eastAsia" w:ascii="宋体" w:hAnsi="宋体" w:cs="宋体"/>
          <w:color w:val="000000"/>
          <w:szCs w:val="21"/>
          <w:lang w:val="zh-TW" w:eastAsia="zh-TW" w:bidi="zh-TW"/>
        </w:rPr>
        <w:t xml:space="preserve">通知参检方的参检。承包人自行检査、检验、检测和试验合格的，按 </w:t>
      </w:r>
      <w:r>
        <w:rPr>
          <w:rFonts w:hint="eastAsia" w:ascii="宋体" w:hAnsi="宋体" w:cs="宋体"/>
          <w:b/>
          <w:bCs/>
          <w:color w:val="000000"/>
          <w:szCs w:val="21"/>
          <w:lang w:bidi="en-US"/>
        </w:rPr>
        <w:t>7.5.2</w:t>
      </w:r>
      <w:r>
        <w:rPr>
          <w:rFonts w:hint="eastAsia" w:ascii="宋体" w:hAnsi="宋体" w:cs="宋体"/>
          <w:color w:val="000000"/>
          <w:szCs w:val="21"/>
          <w:lang w:val="zh-TW" w:eastAsia="zh-TW" w:bidi="zh-TW"/>
        </w:rPr>
        <w:t>款专用条款约定的质检部位和参检方，通知相关参检单位在</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小时内参加 检查。参检方未能按时参加的，承包人应将自检合格的结果于其后的</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 送交发包人和（或）监理人签字，</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小时后未能签字，视为质检结果已被发包 人认可。此后</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日内，承包人可发出视为发包人和（或）监理人已确认该质检结 果的通知。</w:t>
      </w:r>
    </w:p>
    <w:p w14:paraId="16A609E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7.5.4</w:t>
      </w:r>
      <w:r>
        <w:rPr>
          <w:rFonts w:hint="eastAsia" w:ascii="宋体" w:hAnsi="宋体" w:cs="宋体"/>
          <w:color w:val="000000"/>
          <w:szCs w:val="21"/>
          <w:lang w:val="zh-TW" w:eastAsia="zh-TW" w:bidi="zh-TW"/>
        </w:rPr>
        <w:t>质量检查的权利。发包人及其授权的监理人或第三方，在不妨碍承包 人正常作业的情况下，具有对任何施工区域进行质量监督、检査、检验、检测和 试验的权利。承包人应为此类质量检查活动提供便利。经质检发现因承包人原因 引起的质量缺陷时，发包人有权下达修复、暂停、拆除、返工、重新施工、更换 等指令。由此增加的费用由承包人承担，竣工日期不予延长。</w:t>
      </w:r>
    </w:p>
    <w:p w14:paraId="1B527D60">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7.5.5</w:t>
      </w:r>
      <w:r>
        <w:rPr>
          <w:rFonts w:hint="eastAsia" w:ascii="宋体" w:hAnsi="宋体" w:cs="宋体"/>
          <w:color w:val="000000"/>
          <w:szCs w:val="21"/>
          <w:lang w:val="zh-TW" w:eastAsia="zh-TW" w:bidi="zh-TW"/>
        </w:rPr>
        <w:t>重新进行质量检查。按</w:t>
      </w:r>
      <w:r>
        <w:rPr>
          <w:rFonts w:hint="eastAsia" w:ascii="宋体" w:hAnsi="宋体" w:cs="宋体"/>
          <w:b/>
          <w:bCs/>
          <w:color w:val="000000"/>
          <w:szCs w:val="21"/>
          <w:lang w:bidi="en-US"/>
        </w:rPr>
        <w:t>7.5.3</w:t>
      </w:r>
      <w:r>
        <w:rPr>
          <w:rFonts w:hint="eastAsia" w:ascii="宋体" w:hAnsi="宋体" w:cs="宋体"/>
          <w:color w:val="000000"/>
          <w:szCs w:val="21"/>
          <w:lang w:val="zh-TW" w:eastAsia="zh-TW" w:bidi="zh-TW"/>
        </w:rPr>
        <w:t>款的约定，经质量检查合格的工程部位， 发包人有权在不影响工程正常施工的条件下，重新进行质量检査。检査、检验、 检测、试验结果不合格时，因此发生的费用由承包人承担，造成工程关键路径延 误的，竣工日期不予延长；检査、检验、检测、试验的结果合格时，承包人增加 的费用由发包人承担，工程关键路径延误的，竣工日期相应顺延。</w:t>
      </w:r>
    </w:p>
    <w:p w14:paraId="478969A1">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7.5.6</w:t>
      </w:r>
      <w:r>
        <w:rPr>
          <w:rFonts w:hint="eastAsia" w:ascii="宋体" w:hAnsi="宋体" w:cs="宋体"/>
          <w:color w:val="000000"/>
          <w:szCs w:val="21"/>
          <w:lang w:val="zh-TW" w:eastAsia="zh-TW" w:bidi="zh-TW"/>
        </w:rPr>
        <w:t>因发包人代表和（或）监理人的指令失误，或其他非承包人原因发生 的追加施工费用，由发包人承担。造成工程关键路径延误的，竣工日期相应顺延。</w:t>
      </w:r>
    </w:p>
    <w:p w14:paraId="246BA4C3">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zh-TW"/>
        </w:rPr>
        <w:t>7.6</w:t>
      </w:r>
      <w:r>
        <w:rPr>
          <w:rFonts w:hint="eastAsia" w:ascii="宋体" w:hAnsi="宋体" w:cs="宋体"/>
          <w:color w:val="000000"/>
          <w:szCs w:val="21"/>
          <w:lang w:val="zh-TW" w:eastAsia="zh-TW" w:bidi="zh-TW"/>
        </w:rPr>
        <w:t>隐蔽工程和中间验收</w:t>
      </w:r>
    </w:p>
    <w:p w14:paraId="2CAD8E14">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zh-TW"/>
        </w:rPr>
        <w:t>7.6.1</w:t>
      </w:r>
      <w:r>
        <w:rPr>
          <w:rFonts w:hint="eastAsia" w:ascii="宋体" w:hAnsi="宋体" w:cs="宋体"/>
          <w:color w:val="000000"/>
          <w:szCs w:val="21"/>
          <w:lang w:val="zh-TW" w:eastAsia="zh-TW" w:bidi="zh-TW"/>
        </w:rPr>
        <w:t>隐蔽工程和中间验收。需要质检的隐蔽工程和中间验收部位的分类、 部位、质检内容、质检标准、质检表格和参检方在专用条款中约定。</w:t>
      </w:r>
    </w:p>
    <w:p w14:paraId="51AC5A31">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zh-TW"/>
        </w:rPr>
        <w:t>7.6.2</w:t>
      </w:r>
      <w:r>
        <w:rPr>
          <w:rFonts w:hint="eastAsia" w:ascii="宋体" w:hAnsi="宋体" w:cs="宋体"/>
          <w:color w:val="000000"/>
          <w:szCs w:val="21"/>
          <w:lang w:val="zh-TW" w:eastAsia="zh-TW" w:bidi="zh-TW"/>
        </w:rPr>
        <w:t>验收通知和验收。承包人对自检合格的隐蔽工程或中间验收部位，应 在隐蔽工程或中间验收前的48小时以书面形式通知发包人和（或）监理人验收。 通知应包括隐蔽和中间验收的内容、验收时间和地点。验收合格，双方在验收记 录上签字后，方可覆盖、进行紧后作业，编制并提交隐蔽工程竣工资料以及发包 人或监理人要求提供的相关资料。</w:t>
      </w:r>
    </w:p>
    <w:p w14:paraId="650C875B">
      <w:pPr>
        <w:spacing w:after="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发包人和（或）监理人在验收合格24小时后不在验收记录上签字的，视为 发包人和（或）监理人已经认可验收记录，承包人可隐蔽或进行紧后作业。经发 包人和（或）监理人验收不合格的，承包人需在发包人和（或）监理人限定的时 间内修复，重新通知发包人和（或）监理人验收。</w:t>
      </w:r>
    </w:p>
    <w:p w14:paraId="2EB85A51">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zh-TW"/>
        </w:rPr>
        <w:t>7.6.3</w:t>
      </w:r>
      <w:r>
        <w:rPr>
          <w:rFonts w:hint="eastAsia" w:ascii="宋体" w:hAnsi="宋体" w:cs="宋体"/>
          <w:color w:val="000000"/>
          <w:szCs w:val="21"/>
          <w:lang w:val="zh-TW" w:eastAsia="zh-TW" w:bidi="zh-TW"/>
        </w:rPr>
        <w:t>未能按时参加验收。发包人和（或）监理人不能按时参加隐蔽工程或 中间验收部位验收的，应在收到验收通知24小时内以书面形式向承包人提出延 期要求，延期不能超过48小时。发包人未能按以上时间提出延期验收，又未能 参加验收的，承包人可自行组织验收，其验收记录视为已被发包人、监理人认可。</w:t>
      </w:r>
    </w:p>
    <w:p w14:paraId="3614A707">
      <w:pPr>
        <w:spacing w:after="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因应发包人和（或）监理人要求所进行延期验收造成关键路径延误的，竣工 日期相应顺延；给承包人造成的停工、窝工损失，由发包人承担。</w:t>
      </w:r>
    </w:p>
    <w:p w14:paraId="0B3481C3">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zh-TW"/>
        </w:rPr>
        <w:t>7.6.4</w:t>
      </w:r>
      <w:r>
        <w:rPr>
          <w:rFonts w:hint="eastAsia" w:ascii="宋体" w:hAnsi="宋体" w:cs="宋体"/>
          <w:color w:val="000000"/>
          <w:szCs w:val="21"/>
          <w:lang w:val="zh-TW" w:eastAsia="zh-TW" w:bidi="zh-TW"/>
        </w:rPr>
        <w:t>再检验。发包人和（或）监理人在任何时间内，均有权要求对已经验 收的隐蔽工程重新检验，承包人应按要求拆除覆盖、剥离或开孔，并在检验后重 新覆盖或修复。隐蔽工程经重新检验不合格的，由此发生的费用由承包人承担， 竣工日期不予延长；经检验合格的，承包人因此增加的费用由发包人承担，工程 关键路径延误的，竣工日期相应顺延。</w:t>
      </w:r>
    </w:p>
    <w:p w14:paraId="2EFEAD0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7.7</w:t>
      </w:r>
      <w:r>
        <w:rPr>
          <w:rFonts w:hint="eastAsia" w:ascii="宋体" w:hAnsi="宋体" w:cs="宋体"/>
          <w:color w:val="000000"/>
          <w:szCs w:val="21"/>
          <w:lang w:val="zh-TW" w:eastAsia="zh-TW" w:bidi="zh-TW"/>
        </w:rPr>
        <w:t>对施工质量结果的争议</w:t>
      </w:r>
    </w:p>
    <w:p w14:paraId="5FFDF71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7.7.1</w:t>
      </w:r>
      <w:r>
        <w:rPr>
          <w:rFonts w:hint="eastAsia" w:ascii="宋体" w:hAnsi="宋体" w:cs="宋体"/>
          <w:color w:val="000000"/>
          <w:szCs w:val="21"/>
          <w:lang w:val="zh-TW" w:eastAsia="zh-TW" w:bidi="zh-TW"/>
        </w:rPr>
        <w:t>双方对施工质量结果有争议时，应首先协商解决。经协商未达成一致 意见的，委托双方一致同意的具有相应资质的工程质量检测机构进行检测。</w:t>
      </w:r>
    </w:p>
    <w:p w14:paraId="033480E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根据检测机构的鉴定结果，责任方为承包人时，因此造成的费用增加或竣工 日期延误，由承包人负责；责任方为发包人时，因此造成的费用增加由发包人承 担，工程关键路径因争议受到延误的，竣工日期相应顺延。</w:t>
      </w:r>
    </w:p>
    <w:p w14:paraId="5987CA89">
      <w:pPr>
        <w:spacing w:after="1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7.7.2</w:t>
      </w:r>
      <w:r>
        <w:rPr>
          <w:rFonts w:hint="eastAsia" w:ascii="宋体" w:hAnsi="宋体" w:cs="宋体"/>
          <w:color w:val="000000"/>
          <w:szCs w:val="21"/>
          <w:lang w:val="zh-TW" w:eastAsia="zh-TW" w:bidi="zh-TW"/>
        </w:rPr>
        <w:t>根据检测机构的鉴定结果，合同双方均有责任时，根据各方的责任大 小，协商分担发生的费用；因此造成工程关键路径延误时，商定对竣工日期的延 长时间。双方对分担的费用、竣工日期延长不能达成一致时，按</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 裁决的约定程序解决。</w:t>
      </w:r>
    </w:p>
    <w:p w14:paraId="5DFC9B7F">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7.8</w:t>
      </w:r>
      <w:r>
        <w:rPr>
          <w:rFonts w:hint="eastAsia" w:ascii="宋体" w:hAnsi="宋体" w:cs="宋体"/>
          <w:color w:val="000000"/>
          <w:szCs w:val="21"/>
          <w:lang w:val="zh-TW" w:eastAsia="zh-TW" w:bidi="zh-TW"/>
        </w:rPr>
        <w:t>职业健康、安全、环境保护</w:t>
      </w:r>
    </w:p>
    <w:p w14:paraId="18AD2DE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7.8.1</w:t>
      </w:r>
      <w:r>
        <w:rPr>
          <w:rFonts w:hint="eastAsia" w:ascii="宋体" w:hAnsi="宋体" w:cs="宋体"/>
          <w:color w:val="000000"/>
          <w:szCs w:val="21"/>
          <w:lang w:val="zh-TW" w:eastAsia="zh-TW" w:bidi="zh-TW"/>
        </w:rPr>
        <w:t>职业健康、安全、环境保护管理</w:t>
      </w:r>
    </w:p>
    <w:p w14:paraId="18383DE1">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遵守有关健康、安全、环境保护的各项法律规定，是双方的义务。</w:t>
      </w:r>
    </w:p>
    <w:p w14:paraId="072D8A9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职业健康、安全、环境保护管理实施计划。承包人应在现场开工前或 约定的其它时间内，将职业健康、安全、环境保护管理实施计划提交给发包人。 该计划的管理、实施费用包括在合同价格中。发包人应在收到该计划后</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 提出建议，并予以确认。承包人应根据发包人的建议自费修正。职业健康、安全、 环境保护管理实施计划的提交份数和提交时间，在专用条款中约定。</w:t>
      </w:r>
    </w:p>
    <w:p w14:paraId="287ECB9B">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在承包人实施职业健康、安全、环境保护管理实施计划的过程中，发 包人需要在该计划之外釆取特殊措施的，按</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条变更和合同价格调整的约定， 作为变更处理。</w:t>
      </w:r>
    </w:p>
    <w:p w14:paraId="7A8F753A">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承包人应确保其在现场的所有雇员及其分包人的雇员都经过了足够的 培训并具有经验，能够胜任职业健康、安全、环境保护管理工作。</w:t>
      </w:r>
    </w:p>
    <w:p w14:paraId="0E2E9CCD">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承包人应遵守所有与实施本工程和使用施工设备相关的现场职业健康、 安全和环境保护的法律规定，并按规定各自办理相关手续。</w:t>
      </w:r>
    </w:p>
    <w:p w14:paraId="73D9EC8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承包人应为现场开工部分的工程建立职业健康保障条件、搭设安全设 施并釆取环保措施等，为发包人办理施工许可证提供条件。因承包人原因导致施 工许可的批准推迟，造成费用增加或工程关键路径延误时，由承包人负责。</w:t>
      </w:r>
    </w:p>
    <w:p w14:paraId="40D5E8E2">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7</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承包人应配备专职工程师或管理人员，负责管理、监督、指导职工职 业健康、安全防护和环境保护工作。承包人应对其分包人的行为负责。</w:t>
      </w:r>
    </w:p>
    <w:p w14:paraId="75C8F9D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8</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承包人应随时接受政府有关行政部门、行业机构、发包人、监理人的 职业健康、安全、环境保护检查人员的监督和检査，并为此提供方便。</w:t>
      </w:r>
    </w:p>
    <w:p w14:paraId="7E1C1A6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7.8.2</w:t>
      </w:r>
      <w:r>
        <w:rPr>
          <w:rFonts w:hint="eastAsia" w:ascii="宋体" w:hAnsi="宋体" w:cs="宋体"/>
          <w:color w:val="000000"/>
          <w:szCs w:val="21"/>
          <w:lang w:val="zh-TW" w:eastAsia="zh-TW" w:bidi="zh-TW"/>
        </w:rPr>
        <w:t>现场职业健康管理</w:t>
      </w:r>
    </w:p>
    <w:p w14:paraId="341FFF97">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承包人应遵守适用的职业健康的法律和合同约定(包括对雇用、职业 健康、安全、福利等方面的规定)，负责现场实施过程中其人员的职业健康和保 护。</w:t>
      </w:r>
    </w:p>
    <w:p w14:paraId="11854985">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承包人应遵守适用的劳动法规，保护其雇员的合法休假权等合法权益， 并为其现场人员提供劳动保护用品、防护器具、防暑降温用品、必要的现场食宿 条件和安全生产设施。</w:t>
      </w:r>
    </w:p>
    <w:p w14:paraId="5835B3EF">
      <w:pPr>
        <w:tabs>
          <w:tab w:val="left" w:pos="591"/>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承包人应对其施工人员进行相关作业的职业健康知识培训、危险及危 害因素交底、安全操作规程交底、釆取有效措施，按有关规定提供防止人身伤害 的保护用具。</w:t>
      </w:r>
    </w:p>
    <w:p w14:paraId="1E50111D">
      <w:pPr>
        <w:tabs>
          <w:tab w:val="left" w:pos="596"/>
        </w:tabs>
        <w:spacing w:line="360" w:lineRule="auto"/>
        <w:ind w:firstLine="210" w:firstLineChars="1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承包人应在有毒有害作业区域设置警示标志和说明。发包人及其委托人员未经承包人允许、未配备相关保护器具，进入该作业区域所造成的伤害，由发包人承担责任和费用。</w:t>
      </w:r>
    </w:p>
    <w:p w14:paraId="52F8010B">
      <w:pPr>
        <w:tabs>
          <w:tab w:val="left" w:pos="303"/>
        </w:tabs>
        <w:spacing w:line="360" w:lineRule="auto"/>
        <w:ind w:firstLine="210" w:firstLineChars="1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承包人应对有毒有害岗位进行防治检査，对不合格的防护设施、器具、搭设等及时整改，消除危害职业健康的隐患。</w:t>
      </w:r>
    </w:p>
    <w:p w14:paraId="3C0C1E4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承包人应釆取卫生防疫措施，配备医务人员、急救设施，保持食堂的 饮食卫生，保持住地及其周围的环境卫生，维护施工人员的职业健康。</w:t>
      </w:r>
    </w:p>
    <w:p w14:paraId="51519CD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7.8.3</w:t>
      </w:r>
      <w:r>
        <w:rPr>
          <w:rFonts w:hint="eastAsia" w:ascii="宋体" w:hAnsi="宋体" w:cs="宋体"/>
          <w:color w:val="000000"/>
          <w:szCs w:val="21"/>
          <w:lang w:val="zh-TW" w:eastAsia="zh-TW" w:bidi="zh-TW"/>
        </w:rPr>
        <w:t>现场安全管理</w:t>
      </w:r>
    </w:p>
    <w:p w14:paraId="48F8390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发包人、监理人应对其在现场的人员进行安全教育，提供必要的个人 安全用品，并对他们所造成的安全事故负责。发包人、监理人不得强令承包人违 反安全施工、安全操作及竣工试验和（或）竣工后试验的有关安全规定。因发包 人、监理人及其现场工作人员的原因，导致的人身伤害和财产损失，由发包人承 担相关责任及所发生的费用。工程关键路径延误时，竣工日期给予顺延。</w:t>
      </w:r>
    </w:p>
    <w:p w14:paraId="1FD315A6">
      <w:pPr>
        <w:tabs>
          <w:tab w:val="left" w:pos="596"/>
        </w:tabs>
        <w:spacing w:after="40" w:line="360" w:lineRule="auto"/>
        <w:ind w:firstLine="298" w:firstLineChars="142"/>
        <w:rPr>
          <w:rFonts w:hint="eastAsia" w:ascii="宋体" w:hAnsi="宋体" w:cs="宋体"/>
          <w:color w:val="000000"/>
          <w:szCs w:val="21"/>
          <w:lang w:val="zh-TW" w:bidi="zh-TW"/>
        </w:rPr>
      </w:pPr>
      <w:r>
        <w:rPr>
          <w:rFonts w:hint="eastAsia" w:ascii="宋体" w:hAnsi="宋体" w:cs="宋体"/>
          <w:color w:val="000000"/>
          <w:szCs w:val="21"/>
          <w:lang w:val="zh-TW" w:eastAsia="zh-TW" w:bidi="zh-TW"/>
        </w:rPr>
        <w:t>因承包人原因，违反安全施工、安全操作、竣工试验和（或）竣工后试验 的有关安全规定，导致人身伤害和财产损失及工程关键路径延误时，由承包人负责</w:t>
      </w:r>
      <w:r>
        <w:rPr>
          <w:rFonts w:hint="eastAsia" w:ascii="宋体" w:hAnsi="宋体" w:cs="宋体"/>
          <w:color w:val="000000"/>
          <w:szCs w:val="21"/>
          <w:lang w:val="zh-TW" w:bidi="zh-TW"/>
        </w:rPr>
        <w:t>。</w:t>
      </w:r>
    </w:p>
    <w:p w14:paraId="144186DC">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双方人员应遵守有关禁止通行的须知，包括禁止进入工作场地以及临 近工作场地的特定区域。未能遵守此约定，造成伤害、损坏和损失的，由未能遵 守此项约定的一方负责。</w:t>
      </w:r>
    </w:p>
    <w:p w14:paraId="703DEF5E">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承包人应按合同约定负责现场的安全工作，包括其分包人的现场。对 有条件的现场实行封闭管理。应根据工程特点，在施工组织设计文件中制定相应 的安全技术措施，并对专业性较强的工程部分编制专项安全施工组织设计，包括 维护安全、防范危险和预防火灾等措施。</w:t>
      </w:r>
    </w:p>
    <w:p w14:paraId="46263FE2">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承包人（包括承包人的分包人、供应商及其运输单位）应对其现场内 及进出现场途中的道路、桥梁、地下设施等，采取防范措施使其免遭损坏，专用 条款另有约定时除外。因未按约定釆取防范措施所造成的损坏和（或）竣工日期 延误，由承包人负责。</w:t>
      </w:r>
    </w:p>
    <w:p w14:paraId="1672B5BE">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承包人应对其施工人员进行安全操作培训，安全操作规程交底，釆取 安全防护措施，设置安全警示标志和说明，进行安全检査，消除事故隐患。</w:t>
      </w:r>
    </w:p>
    <w:p w14:paraId="705F6D6A">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承包人在动力设备、输电线路、地下管道、密封防震车间、高温高压、 易燃易爆区域和地段，以及临街交通要道附近作业时，应对施工现场及毗邻的建 筑物、构筑物和特殊作业环境可能造成的损害釆取安全防护措施。施工开始前承 包人须向发包人和（或）监理人提交安全防护措施方案，经认可后实施。发包人 和（或）监理人的认可，并不能减轻或免除承包人的责任。</w:t>
      </w:r>
    </w:p>
    <w:p w14:paraId="5C19AB4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（7）</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承包人实施爆破、放射性、带电、毒害性及使用易燃易爆、毒害性、 腐蚀性物品作业（含运输、储存、保管）时，应在施工前10日以书面形式通知 发包人和（或）监理人，并提交相应的安全防护措施方案，经认可后实施。发包 人和（或）监理人的认可，并不能减轻或免除承包人的责任。</w:t>
      </w:r>
    </w:p>
    <w:p w14:paraId="5D6A795D">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（8）安全防护检査。承包人应在作业开始前，通知发包人代表和（或）监理人对其提交的安全措施方案，及现场安全设施搭设、安全通道、安全器具和消 防器具配置、对周围环境安全可能带来的隐患等进行检查，并根据发包人和（或） 监理人提出的整改建议自费整改。发包人和（或）监理人的检査、建议，并不能 减轻或免除承包人的合同责任。</w:t>
      </w:r>
    </w:p>
    <w:p w14:paraId="041B4135">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7.8.4</w:t>
      </w:r>
      <w:r>
        <w:rPr>
          <w:rFonts w:hint="eastAsia" w:ascii="宋体" w:hAnsi="宋体" w:cs="宋体"/>
          <w:color w:val="000000"/>
          <w:szCs w:val="21"/>
          <w:lang w:val="zh-TW" w:eastAsia="zh-TW" w:bidi="zh-TW"/>
        </w:rPr>
        <w:t>现场的环境保护管理</w:t>
      </w:r>
    </w:p>
    <w:p w14:paraId="154E7FC4">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承包人应负责在现场施工过程中对现场周围的建筑物、构筑物、文物 建筑、古树、名木，及地下管线、线缆、构筑物、文物、化石和坟墓等进行保护。 因承包人未能通知发包人，并在未能得到发包人进一步指示的情况下，所造成的 损害、损失、赔偿等费用增加，和（或）竣工日期延误，由承包人负责。</w:t>
      </w:r>
    </w:p>
    <w:p w14:paraId="29B9E539">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承包人应釆取措施，并负责控制和（或）处理现场的粉尘、废气、废 水、固体废物和噪声对环境的污染和危害。因此发生的伤害、赔偿、罚款等费用 增加，和（或）竣工日期延误，由承包人负责。</w:t>
      </w:r>
    </w:p>
    <w:p w14:paraId="54DD26BB">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承包人及时或定期将施工现场残留、废弃的垃圾运到发包人或当地有 关行政部门指定的地点，防止对周围环境的污染及对作业的影响。因违反上述约 定导致当地行政部门的罚款、赔偿等增加的费用，由承包人承担。</w:t>
      </w:r>
    </w:p>
    <w:p w14:paraId="34C9AF8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7.8.5</w:t>
      </w:r>
      <w:r>
        <w:rPr>
          <w:rFonts w:hint="eastAsia" w:ascii="宋体" w:hAnsi="宋体" w:cs="宋体"/>
          <w:color w:val="000000"/>
          <w:szCs w:val="21"/>
          <w:lang w:val="zh-TW" w:eastAsia="zh-TW" w:bidi="zh-TW"/>
        </w:rPr>
        <w:t>事故处理</w:t>
      </w:r>
    </w:p>
    <w:p w14:paraId="0836A29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承包人（包括其分包人）的人员，在现场作业过程中发生死亡、伤害 事件时，承包人应立即釆取救护措施，并立即报告发包人和（或）救援单位，发 包人有义务为此项抢救提供必要条件。承包人应维护好现场并釆取防止事故蔓延 的相应措施。</w:t>
      </w:r>
    </w:p>
    <w:p w14:paraId="09EECD9F">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对重大伤亡、重大财产、环境损害及其它安全事故，承包人应按有关 规定立即上报有关部门，并立即通知发包人代表和监理人。同时，按政府有关部 门的要求处理。</w:t>
      </w:r>
    </w:p>
    <w:p w14:paraId="2655581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合同双方对事故责任有争议时，依据</w:t>
      </w:r>
      <w:r>
        <w:rPr>
          <w:rFonts w:hint="eastAsia" w:ascii="宋体" w:hAnsi="宋体" w:cs="宋体"/>
          <w:color w:val="000000"/>
          <w:szCs w:val="21"/>
          <w:lang w:bidi="zh-TW"/>
        </w:rPr>
        <w:t>16.3</w:t>
      </w:r>
      <w:r>
        <w:rPr>
          <w:rFonts w:hint="eastAsia" w:ascii="宋体" w:hAnsi="宋体" w:cs="宋体"/>
          <w:color w:val="000000"/>
          <w:szCs w:val="21"/>
          <w:lang w:val="zh-TW" w:eastAsia="zh-TW" w:bidi="zh-TW"/>
        </w:rPr>
        <w:t>款争议和裁决的约定程序解 决。</w:t>
      </w:r>
    </w:p>
    <w:p w14:paraId="3F449147">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因承包人的原因致使建设工程在合理使用期限、设备保证期内造成人 身和财产损害的，由承包人承担损害赔偿责任。</w:t>
      </w:r>
    </w:p>
    <w:p w14:paraId="55BB717B">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因承包人原因发生员工食物中毒及职业健康事件的，承包人应承担相 关责任。</w:t>
      </w:r>
    </w:p>
    <w:p w14:paraId="4E2010D3">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第8条竣工试验</w:t>
      </w:r>
    </w:p>
    <w:p w14:paraId="4B2DE2D4">
      <w:pPr>
        <w:spacing w:after="120" w:line="360" w:lineRule="auto"/>
        <w:ind w:firstLine="200"/>
        <w:rPr>
          <w:rFonts w:hint="eastAsia" w:ascii="宋体" w:hAnsi="宋体" w:cs="宋体"/>
          <w:szCs w:val="21"/>
          <w:lang w:val="zh-TW" w:eastAsia="zh-TW" w:bidi="zh-TW"/>
        </w:rPr>
      </w:pPr>
      <w:r>
        <w:rPr>
          <w:rFonts w:hint="eastAsia" w:ascii="宋体" w:hAnsi="宋体" w:cs="宋体"/>
          <w:color w:val="000000"/>
          <w:szCs w:val="21"/>
          <w:lang w:val="zh-TW" w:eastAsia="zh-TW" w:bidi="zh-TW"/>
        </w:rPr>
        <w:t>本合同工程包含竣工试验的，遵守本条约定。</w:t>
      </w:r>
    </w:p>
    <w:p w14:paraId="46AF1858">
      <w:pPr>
        <w:spacing w:line="360" w:lineRule="auto"/>
        <w:ind w:firstLine="200"/>
        <w:rPr>
          <w:rFonts w:hint="eastAsia" w:ascii="宋体" w:hAnsi="宋体" w:cs="宋体"/>
          <w:szCs w:val="21"/>
          <w:lang w:val="zh-TW" w:eastAsia="zh-TW" w:bidi="zh-TW"/>
        </w:rPr>
      </w:pPr>
      <w:r>
        <w:rPr>
          <w:rFonts w:hint="eastAsia" w:ascii="宋体" w:hAnsi="宋体" w:cs="宋体"/>
          <w:b/>
          <w:bCs/>
          <w:color w:val="000000"/>
          <w:szCs w:val="21"/>
          <w:lang w:bidi="en-US"/>
        </w:rPr>
        <w:t>8.1</w:t>
      </w:r>
      <w:r>
        <w:rPr>
          <w:rFonts w:hint="eastAsia" w:ascii="宋体" w:hAnsi="宋体" w:cs="宋体"/>
          <w:color w:val="000000"/>
          <w:szCs w:val="21"/>
          <w:lang w:val="zh-TW" w:eastAsia="zh-TW" w:bidi="zh-TW"/>
        </w:rPr>
        <w:t>竣工试验的义务</w:t>
      </w:r>
    </w:p>
    <w:p w14:paraId="351582E0">
      <w:pPr>
        <w:spacing w:after="120" w:line="360" w:lineRule="auto"/>
        <w:ind w:firstLine="200"/>
        <w:rPr>
          <w:rFonts w:hint="eastAsia" w:ascii="宋体" w:hAnsi="宋体" w:cs="宋体"/>
          <w:szCs w:val="21"/>
          <w:lang w:val="zh-TW" w:eastAsia="zh-TW" w:bidi="zh-TW"/>
        </w:rPr>
      </w:pPr>
      <w:r>
        <w:rPr>
          <w:rFonts w:hint="eastAsia" w:ascii="宋体" w:hAnsi="宋体" w:cs="宋体"/>
          <w:b/>
          <w:bCs/>
          <w:color w:val="000000"/>
          <w:szCs w:val="21"/>
          <w:lang w:bidi="en-US"/>
        </w:rPr>
        <w:t>8.1.1</w:t>
      </w:r>
      <w:r>
        <w:rPr>
          <w:rFonts w:hint="eastAsia" w:ascii="宋体" w:hAnsi="宋体" w:cs="宋体"/>
          <w:color w:val="000000"/>
          <w:szCs w:val="21"/>
          <w:lang w:val="zh-TW" w:eastAsia="zh-TW" w:bidi="zh-TW"/>
        </w:rPr>
        <w:t>承包人的义务</w:t>
      </w:r>
    </w:p>
    <w:p w14:paraId="08FB6DEE">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CN" w:bidi="zh-TW"/>
        </w:rPr>
        <w:t>（1）</w:t>
      </w:r>
      <w:r>
        <w:rPr>
          <w:rFonts w:hint="eastAsia" w:ascii="宋体" w:hAnsi="宋体" w:cs="宋体"/>
          <w:b/>
          <w:bCs/>
          <w:color w:val="000000"/>
          <w:szCs w:val="21"/>
          <w:lang w:val="zh-CN" w:bidi="zh-CN"/>
        </w:rPr>
        <w:tab/>
      </w:r>
      <w:r>
        <w:rPr>
          <w:rFonts w:hint="eastAsia" w:ascii="宋体" w:hAnsi="宋体" w:cs="宋体"/>
          <w:color w:val="000000"/>
          <w:szCs w:val="21"/>
          <w:lang w:val="zh-TW" w:eastAsia="zh-TW" w:bidi="zh-TW"/>
        </w:rPr>
        <w:t>承包人应在单项工程和（或）工程的竣工试验开始前，完成相应单项 工程和（或）工程的施工作业（不包括：为竣工试验、竣工后试验必须预留的施 工部位、不影响竣工试验的缺陷修复和零星扫尾工程）；并在竣工试验开始前， 按合同约定需完成对施工作业部位的检査、检验、检测和试验。</w:t>
      </w:r>
    </w:p>
    <w:p w14:paraId="324F2DB2">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承包人应在竣工试验开始前，根据</w:t>
      </w:r>
      <w:r>
        <w:rPr>
          <w:rFonts w:hint="eastAsia" w:ascii="宋体" w:hAnsi="宋体" w:cs="宋体"/>
          <w:b/>
          <w:bCs/>
          <w:color w:val="000000"/>
          <w:szCs w:val="21"/>
          <w:lang w:bidi="en-US"/>
        </w:rPr>
        <w:t>7.6</w:t>
      </w:r>
      <w:r>
        <w:rPr>
          <w:rFonts w:hint="eastAsia" w:ascii="宋体" w:hAnsi="宋体" w:cs="宋体"/>
          <w:color w:val="000000"/>
          <w:szCs w:val="21"/>
          <w:lang w:val="zh-TW" w:eastAsia="zh-TW" w:bidi="zh-TW"/>
        </w:rPr>
        <w:t>款隐蔽工程和中间验收部位的 约定，向发包人提交相关的质检资料及其竣工资料。</w:t>
      </w:r>
    </w:p>
    <w:p w14:paraId="12B839C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根据第</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条竣工后试验的约定，由承包人指导发包人进行竣工后试验 的，承包人应完成</w:t>
      </w:r>
      <w:r>
        <w:rPr>
          <w:rFonts w:hint="eastAsia" w:ascii="宋体" w:hAnsi="宋体" w:cs="宋体"/>
          <w:b/>
          <w:bCs/>
          <w:color w:val="000000"/>
          <w:szCs w:val="21"/>
          <w:lang w:bidi="en-US"/>
        </w:rPr>
        <w:t>5.4</w:t>
      </w:r>
      <w:r>
        <w:rPr>
          <w:rFonts w:hint="eastAsia" w:ascii="宋体" w:hAnsi="宋体" w:cs="宋体"/>
          <w:color w:val="000000"/>
          <w:szCs w:val="21"/>
          <w:lang w:val="zh-TW" w:eastAsia="zh-TW" w:bidi="zh-TW"/>
        </w:rPr>
        <w:t>款约定的操作维修人员培训，并在竣工试验前提交</w:t>
      </w:r>
      <w:r>
        <w:rPr>
          <w:rFonts w:hint="eastAsia" w:ascii="宋体" w:hAnsi="宋体" w:cs="宋体"/>
          <w:b/>
          <w:bCs/>
          <w:color w:val="000000"/>
          <w:szCs w:val="21"/>
          <w:lang w:bidi="en-US"/>
        </w:rPr>
        <w:t xml:space="preserve">5.2.4 </w:t>
      </w:r>
      <w:r>
        <w:rPr>
          <w:rFonts w:hint="eastAsia" w:ascii="宋体" w:hAnsi="宋体" w:cs="宋体"/>
          <w:color w:val="000000"/>
          <w:szCs w:val="21"/>
          <w:lang w:val="zh-TW" w:eastAsia="zh-TW" w:bidi="zh-TW"/>
        </w:rPr>
        <w:t>款约定的操作维修手册。</w:t>
      </w:r>
    </w:p>
    <w:p w14:paraId="5D819627">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承包人应在达到竣工试验条件</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日前，将竣工试验方案提交给发包人。 发包人应在</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日内对方案提出建议和意见，承包人应根据发包人提出的合理建 议和意见，自费对竣工试验方案进行修正。竣工试验方案经发包人确认后，作为 合同附件，由承包人负责实施。发包人的确认并不能减轻或免除承包人的合同责 任。竣工试验方案应包括以下内容：</w:t>
      </w:r>
    </w:p>
    <w:p w14:paraId="73D73376">
      <w:pPr>
        <w:tabs>
          <w:tab w:val="left" w:pos="661"/>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竣工试验方案编制的依据和原则；</w:t>
      </w:r>
    </w:p>
    <w:p w14:paraId="25B43783">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组织机构设置、责任分工；</w:t>
      </w:r>
    </w:p>
    <w:p w14:paraId="0041E89A">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单项工程竣工试验的试验程序、试验条件；</w:t>
      </w:r>
    </w:p>
    <w:p w14:paraId="2762F4E9">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单件、单体、联动试验的试验程序、试验条件；</w:t>
      </w:r>
    </w:p>
    <w:p w14:paraId="23112964">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竣工试验的设备、材料和部件的类别、性能标准、试验及验收格式；</w:t>
      </w:r>
    </w:p>
    <w:p w14:paraId="5A0D0BC2">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水、电、动力等条件的品质和用量要求；</w:t>
      </w:r>
    </w:p>
    <w:p w14:paraId="1A6DC5E2">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7）</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安全程序、安全措施及防护设施；</w:t>
      </w:r>
    </w:p>
    <w:p w14:paraId="049A96E5">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8）</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竣工试验的进度计划、措施方案、人力及机具计划安排；</w:t>
      </w:r>
    </w:p>
    <w:p w14:paraId="221DBF2A">
      <w:pPr>
        <w:tabs>
          <w:tab w:val="left" w:pos="670"/>
        </w:tabs>
        <w:spacing w:line="360" w:lineRule="auto"/>
        <w:ind w:firstLine="420"/>
        <w:rPr>
          <w:rFonts w:hint="eastAsia" w:ascii="宋体" w:hAnsi="宋体" w:cs="宋体"/>
          <w:szCs w:val="21"/>
          <w:lang w:val="zh-TW" w:eastAsia="zh-TW" w:bidi="zh-TW"/>
        </w:rPr>
      </w:pPr>
      <w:r>
        <w:rPr>
          <w:rFonts w:hint="eastAsia" w:ascii="宋体" w:hAnsi="宋体" w:cs="宋体"/>
          <w:color w:val="000000"/>
          <w:szCs w:val="21"/>
          <w:lang w:val="zh-TW" w:eastAsia="zh-TW" w:bidi="zh-TW"/>
        </w:rPr>
        <w:t>9）</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其它。</w:t>
      </w:r>
    </w:p>
    <w:p w14:paraId="7873EC21">
      <w:pPr>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竣工试验方案提交的份数和提交时间，在专用条款中约定。</w:t>
      </w:r>
    </w:p>
    <w:p w14:paraId="7D0B152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承包人的竣工试验包括根据</w:t>
      </w: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款约定的由承包人提供的工程物资的 竣工试验，及根据</w:t>
      </w:r>
      <w:r>
        <w:rPr>
          <w:rFonts w:hint="eastAsia" w:ascii="宋体" w:hAnsi="宋体" w:cs="宋体"/>
          <w:b/>
          <w:bCs/>
          <w:color w:val="000000"/>
          <w:szCs w:val="21"/>
          <w:lang w:bidi="en-US"/>
        </w:rPr>
        <w:t>8.1.2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项发包人委托给承包人进行工程物资的竣工试 验。</w:t>
      </w:r>
    </w:p>
    <w:p w14:paraId="2BC84B4A">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承包人应按照试验条件、试验程序，及</w:t>
      </w: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项约定的标准、 规范和数据，完成竣工试验。</w:t>
      </w:r>
    </w:p>
    <w:p w14:paraId="1343968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8.1.2</w:t>
      </w:r>
      <w:r>
        <w:rPr>
          <w:rFonts w:hint="eastAsia" w:ascii="宋体" w:hAnsi="宋体" w:cs="宋体"/>
          <w:color w:val="000000"/>
          <w:szCs w:val="21"/>
          <w:lang w:val="zh-TW" w:eastAsia="zh-TW" w:bidi="zh-TW"/>
        </w:rPr>
        <w:t>发包人的义务</w:t>
      </w:r>
    </w:p>
    <w:p w14:paraId="606EB29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发包人应按经发包人确认后的竣工试验方案，提供电力、水、动力及 由发包人提供的消耗材料等。提供的电力、水、动力及相关消耗材料等应满足竣 工试验对其品质、用量及时间的要求。</w:t>
      </w:r>
    </w:p>
    <w:p w14:paraId="2AD9872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当合同约定应由承包人提供的竣工试验的消耗材料和备品备件用完或 不足时，发包人有义务提供其库存的竣工试验所需的相关消耗材料和备品备件。 其中：因承包人原因造成损坏的或承包人提供不足的，发包人有权从合同价格中 扣除相应款项；因合理耗损或发包人原因造成的，发包人应免费提供。</w:t>
      </w:r>
    </w:p>
    <w:p w14:paraId="502AE23D">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发包人委托承包人对根据</w:t>
      </w: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款约定由发包人提供的工程物资进行竣 工试验的服务费，已包含在合同价格中。发包人在合同实施过程中委托承包人进 行竣工试验的，依据</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条变更和合同价格调整的约定，作为变更处理。</w:t>
      </w:r>
    </w:p>
    <w:p w14:paraId="1707541E">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承包人应按发包人提供的试验条件、试验程序对发包人根据本款第</w:t>
      </w:r>
      <w:r>
        <w:rPr>
          <w:rFonts w:hint="eastAsia" w:ascii="宋体" w:hAnsi="宋体" w:cs="宋体"/>
          <w:b/>
          <w:bCs/>
          <w:color w:val="000000"/>
          <w:szCs w:val="21"/>
          <w:lang w:val="zh-TW" w:eastAsia="zh-TW" w:bidi="zh-TW"/>
        </w:rPr>
        <w:t xml:space="preserve">（3） </w:t>
      </w:r>
      <w:r>
        <w:rPr>
          <w:rFonts w:hint="eastAsia" w:ascii="宋体" w:hAnsi="宋体" w:cs="宋体"/>
          <w:color w:val="000000"/>
          <w:szCs w:val="21"/>
          <w:lang w:val="zh-TW" w:eastAsia="zh-TW" w:bidi="zh-TW"/>
        </w:rPr>
        <w:t>项委托给承包人工程物资进行竣工试验，其试验结果须符合</w:t>
      </w: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项约 定的标准、规范和数据，发包人对该部分的试验结果负责。</w:t>
      </w:r>
    </w:p>
    <w:p w14:paraId="29B75D20">
      <w:pPr>
        <w:spacing w:after="10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8.1.3</w:t>
      </w:r>
      <w:r>
        <w:rPr>
          <w:rFonts w:hint="eastAsia" w:ascii="宋体" w:hAnsi="宋体" w:cs="宋体"/>
          <w:color w:val="000000"/>
          <w:szCs w:val="21"/>
          <w:lang w:val="zh-TW" w:eastAsia="zh-TW" w:bidi="zh-TW"/>
        </w:rPr>
        <w:t>竣工试验领导机构。竣工试验领导机构负责竣工试验的领导、组织和 协调。承包人提供竣工试验所需的人力、机具并负责完成试验。发包人负责组织、 协调、提供竣工试验方案中约定的相关条件及竣工试验的验收。</w:t>
      </w:r>
    </w:p>
    <w:p w14:paraId="2B90AB8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w:t>
      </w:r>
      <w:r>
        <w:rPr>
          <w:rFonts w:hint="eastAsia" w:ascii="宋体" w:hAnsi="宋体" w:cs="宋体"/>
          <w:color w:val="000000"/>
          <w:szCs w:val="21"/>
          <w:lang w:val="zh-TW" w:eastAsia="zh-TW" w:bidi="zh-TW"/>
        </w:rPr>
        <w:t>竣工试验的检验和验收</w:t>
      </w:r>
    </w:p>
    <w:p w14:paraId="03945B1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8.2.1</w:t>
      </w:r>
      <w:r>
        <w:rPr>
          <w:rFonts w:hint="eastAsia" w:ascii="宋体" w:hAnsi="宋体" w:cs="宋体"/>
          <w:color w:val="000000"/>
          <w:szCs w:val="21"/>
          <w:lang w:val="zh-TW" w:eastAsia="zh-TW" w:bidi="zh-TW"/>
        </w:rPr>
        <w:t>承包人应根据</w:t>
      </w:r>
      <w:r>
        <w:rPr>
          <w:rFonts w:hint="eastAsia" w:ascii="宋体" w:hAnsi="宋体" w:cs="宋体"/>
          <w:b/>
          <w:bCs/>
          <w:color w:val="000000"/>
          <w:szCs w:val="21"/>
          <w:lang w:bidi="en-US"/>
        </w:rPr>
        <w:t>5.2.3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项约定的标准、规范、数据，及</w:t>
      </w:r>
      <w:r>
        <w:rPr>
          <w:rFonts w:hint="eastAsia" w:ascii="宋体" w:hAnsi="宋体" w:cs="宋体"/>
          <w:b/>
          <w:bCs/>
          <w:color w:val="000000"/>
          <w:szCs w:val="21"/>
          <w:lang w:bidi="en-US"/>
        </w:rPr>
        <w:t xml:space="preserve">8.1.1 </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项竣工试验方案的第</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子项的约定进行检验和验收。</w:t>
      </w:r>
    </w:p>
    <w:p w14:paraId="13C23C2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8.2.2</w:t>
      </w:r>
      <w:r>
        <w:rPr>
          <w:rFonts w:hint="eastAsia" w:ascii="宋体" w:hAnsi="宋体" w:cs="宋体"/>
          <w:color w:val="000000"/>
          <w:szCs w:val="21"/>
          <w:lang w:val="zh-TW" w:eastAsia="zh-TW" w:bidi="zh-TW"/>
        </w:rPr>
        <w:t>承包人应在竣工试验开始前，依据</w:t>
      </w:r>
      <w:r>
        <w:rPr>
          <w:rFonts w:hint="eastAsia" w:ascii="宋体" w:hAnsi="宋体" w:cs="宋体"/>
          <w:b/>
          <w:bCs/>
          <w:color w:val="000000"/>
          <w:szCs w:val="21"/>
          <w:lang w:bidi="en-US"/>
        </w:rPr>
        <w:t>8.1.1</w:t>
      </w:r>
      <w:r>
        <w:rPr>
          <w:rFonts w:hint="eastAsia" w:ascii="宋体" w:hAnsi="宋体" w:cs="宋体"/>
          <w:color w:val="000000"/>
          <w:szCs w:val="21"/>
          <w:lang w:val="zh-TW" w:eastAsia="zh-TW" w:bidi="zh-TW"/>
        </w:rPr>
        <w:t>款的约定，对各方提供的试 验条件进行检査落实，条件满足的，双方人员应签字确认。因发包人提供的竣工 试验条件延误，给承包人带来的窝工损失，由发包人负责。导致竣工试验进度延 误的，竣工日期相应顺延；因承包人原因未能按时落实竣工试验条件，使竣工 试验进度延误时，承包人应按</w:t>
      </w:r>
      <w:r>
        <w:rPr>
          <w:rFonts w:hint="eastAsia" w:ascii="宋体" w:hAnsi="宋体" w:cs="宋体"/>
          <w:b/>
          <w:bCs/>
          <w:color w:val="000000"/>
          <w:szCs w:val="21"/>
          <w:lang w:val="zh-TW" w:eastAsia="zh-TW" w:bidi="zh-TW"/>
        </w:rPr>
        <w:t>4</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款的约定自费赶上。</w:t>
      </w:r>
    </w:p>
    <w:p w14:paraId="0B11826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8.2.3</w:t>
      </w:r>
      <w:r>
        <w:rPr>
          <w:rFonts w:hint="eastAsia" w:ascii="宋体" w:hAnsi="宋体" w:cs="宋体"/>
          <w:color w:val="000000"/>
          <w:szCs w:val="21"/>
          <w:lang w:val="zh-TW" w:eastAsia="zh-TW" w:bidi="zh-TW"/>
        </w:rPr>
        <w:t>承包人应在某项竣工试验开始</w:t>
      </w:r>
      <w:r>
        <w:rPr>
          <w:rFonts w:hint="eastAsia" w:ascii="宋体" w:hAnsi="宋体" w:cs="宋体"/>
          <w:b/>
          <w:bCs/>
          <w:color w:val="000000"/>
          <w:szCs w:val="21"/>
          <w:lang w:val="zh-TW" w:eastAsia="zh-TW" w:bidi="zh-TW"/>
        </w:rPr>
        <w:t>36</w:t>
      </w:r>
      <w:r>
        <w:rPr>
          <w:rFonts w:hint="eastAsia" w:ascii="宋体" w:hAnsi="宋体" w:cs="宋体"/>
          <w:color w:val="000000"/>
          <w:szCs w:val="21"/>
          <w:lang w:val="zh-TW" w:eastAsia="zh-TW" w:bidi="zh-TW"/>
        </w:rPr>
        <w:t>小时前，向发包人和（或）监理人 发出通知，通知应包括试验的项目、内容、地点和验收时间。发包人和（或）监 理人应在接到通知后的</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小时内，以书面形式作出回复，试验合格后，双方应 在试验记录及验收表格上签字。</w:t>
      </w:r>
    </w:p>
    <w:p w14:paraId="03B8567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发包人和（或）监理人在验收合格的</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小时后，不在试验记录和验收表格 上签字，视为发包人和（或）监理人已经认可此项验收，承包人可进行隐蔽和（或） 紧后作业。</w:t>
      </w:r>
    </w:p>
    <w:p w14:paraId="1FC0FA4A">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验收不合格的，承包人应在发包人和（或）监理人指定的时间内修正，并通 知发包人和（或）监理人重新验收。</w:t>
      </w:r>
    </w:p>
    <w:p w14:paraId="449E5E5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8.2.4</w:t>
      </w:r>
      <w:r>
        <w:rPr>
          <w:rFonts w:hint="eastAsia" w:ascii="宋体" w:hAnsi="宋体" w:cs="宋体"/>
          <w:color w:val="000000"/>
          <w:szCs w:val="21"/>
          <w:lang w:val="zh-TW" w:eastAsia="zh-TW" w:bidi="zh-TW"/>
        </w:rPr>
        <w:t>发包人和（或）监理人不能按时参加试验和验收时，应在接到通知后 的</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小时内以书面形式向承包人提出延期要求，延期不能超过</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小时。未能按 以上时间提出延期试验，又未能参加试验和验收的，承包人可按通知的试验项目 内容自行组织试验，试验结果视为经发包人和（或）监理人认可。</w:t>
      </w:r>
    </w:p>
    <w:p w14:paraId="2A2BEB1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8.2.5</w:t>
      </w:r>
      <w:r>
        <w:rPr>
          <w:rFonts w:hint="eastAsia" w:ascii="宋体" w:hAnsi="宋体" w:cs="宋体"/>
          <w:color w:val="000000"/>
          <w:szCs w:val="21"/>
          <w:lang w:val="zh-TW" w:eastAsia="zh-TW" w:bidi="zh-TW"/>
        </w:rPr>
        <w:t>不论发包人和（或）监理人是否参加竣工试验和验收，发包人均有权 责令重新试验。如因承包人的原因重新试验不合格，承包人应承担由此所增加的 费用，造成竣工试验进度延误时，竣工日期不予延长；如重新试验合格，承包人 增加的费用，和（或）竣工日期的延长，按照</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条变更和合同价格调整的约定， 作为变更处理。</w:t>
      </w:r>
    </w:p>
    <w:p w14:paraId="3847830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8.2.6</w:t>
      </w:r>
      <w:r>
        <w:rPr>
          <w:rFonts w:hint="eastAsia" w:ascii="宋体" w:hAnsi="宋体" w:cs="宋体"/>
          <w:color w:val="000000"/>
          <w:szCs w:val="21"/>
          <w:lang w:val="zh-TW" w:eastAsia="zh-TW" w:bidi="zh-TW"/>
        </w:rPr>
        <w:t>竣工试验验收日期的约定</w:t>
      </w:r>
    </w:p>
    <w:p w14:paraId="71F53F5D">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w:t>
      </w: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某项竣工试验的验收日期和时间：按该项竣工试验通过的日期和时间， 作为该项竣工试验验收的日期和时间；</w:t>
      </w:r>
    </w:p>
    <w:p w14:paraId="1F61240F">
      <w:pPr>
        <w:tabs>
          <w:tab w:val="left" w:pos="59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单项工程竣工试验的验收日期和时间：按其中最后一项竣工试验通过 的日期和时间，作为该单项工程竣工试验验收的日期和时间；</w:t>
      </w:r>
    </w:p>
    <w:p w14:paraId="14E3740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工程的竣工试验日期和时间：按最后一个单项工程通过竣工试验的日 期和时间，作为整个工程竣工试验验收的日期和时间。</w:t>
      </w:r>
    </w:p>
    <w:p w14:paraId="7D637D7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8.3</w:t>
      </w:r>
      <w:r>
        <w:rPr>
          <w:rFonts w:hint="eastAsia" w:ascii="宋体" w:hAnsi="宋体" w:cs="宋体"/>
          <w:color w:val="000000"/>
          <w:szCs w:val="21"/>
          <w:lang w:val="zh-TW" w:eastAsia="zh-TW" w:bidi="zh-TW"/>
        </w:rPr>
        <w:t>竣工试验的安全和检査</w:t>
      </w:r>
    </w:p>
    <w:p w14:paraId="7EDBB63D">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b/>
          <w:bCs/>
          <w:color w:val="000000"/>
          <w:szCs w:val="21"/>
          <w:lang w:bidi="en-US"/>
        </w:rPr>
        <w:t>8.3.1</w:t>
      </w:r>
      <w:r>
        <w:rPr>
          <w:rFonts w:hint="eastAsia" w:ascii="宋体" w:hAnsi="宋体" w:cs="宋体"/>
          <w:color w:val="000000"/>
          <w:szCs w:val="21"/>
          <w:lang w:val="zh-TW" w:eastAsia="zh-TW" w:bidi="zh-TW"/>
        </w:rPr>
        <w:t>承包人应按</w:t>
      </w:r>
      <w:r>
        <w:rPr>
          <w:rFonts w:hint="eastAsia" w:ascii="宋体" w:hAnsi="宋体" w:cs="宋体"/>
          <w:b/>
          <w:bCs/>
          <w:color w:val="000000"/>
          <w:szCs w:val="21"/>
          <w:lang w:bidi="en-US"/>
        </w:rPr>
        <w:t>7.8</w:t>
      </w:r>
      <w:r>
        <w:rPr>
          <w:rFonts w:hint="eastAsia" w:ascii="宋体" w:hAnsi="宋体" w:cs="宋体"/>
          <w:color w:val="000000"/>
          <w:szCs w:val="21"/>
          <w:lang w:val="zh-TW" w:eastAsia="zh-TW" w:bidi="zh-TW"/>
        </w:rPr>
        <w:t>款职业健康、安全和环境保护的约定，并结合竣工试 验的通电、通水、通气、试压、试漏、吹扫、转动等特点，对触电危险、易燃易 爆、高温高压、压力试验、机械设备运转等制定竣工试验的安全程序、安全制度、 防火措施、事故报告制度及事故处理方案在内的安全操作方案，并将该方案提交 给发包人确认，承包人应按照发包人提出的合理建议、意见和要求，自费对方案 修正，并经发包人确认后实施。发包人的确认并不能减轻或免除承包人的合同责 任。承包人为竣工试验提供安全防护措施和防护用品的费用已包含在合同价格中。</w:t>
      </w:r>
    </w:p>
    <w:p w14:paraId="5797B4B2">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8.3.2</w:t>
      </w:r>
      <w:r>
        <w:rPr>
          <w:rFonts w:hint="eastAsia" w:ascii="宋体" w:hAnsi="宋体" w:cs="宋体"/>
          <w:color w:val="000000"/>
          <w:szCs w:val="21"/>
          <w:lang w:val="zh-TW" w:eastAsia="zh-TW" w:bidi="zh-TW"/>
        </w:rPr>
        <w:t>承包人应对其人员进行竣工试验的安全培训，并对竣工试验的安全操 作程序、场地环境、操作制度、应急处理措施等进行交底。</w:t>
      </w:r>
    </w:p>
    <w:p w14:paraId="23289C0D">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8.3.3</w:t>
      </w:r>
      <w:r>
        <w:rPr>
          <w:rFonts w:hint="eastAsia" w:ascii="宋体" w:hAnsi="宋体" w:cs="宋体"/>
          <w:color w:val="000000"/>
          <w:szCs w:val="21"/>
          <w:lang w:val="zh-TW" w:eastAsia="zh-TW" w:bidi="zh-TW"/>
        </w:rPr>
        <w:t>发包人和（或）监理人有义务按照经确认的竣工试验安全方案中的安 全规程、安全制度、安全措施等，对其管理人员和操作维修人员进行竣工试验的 安全教育，自费提供参加监督、检査人员的防护设施。</w:t>
      </w:r>
    </w:p>
    <w:p w14:paraId="4C40A27C">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 xml:space="preserve">8.3.4 </w:t>
      </w:r>
      <w:r>
        <w:rPr>
          <w:rFonts w:hint="eastAsia" w:ascii="宋体" w:hAnsi="宋体" w:cs="宋体"/>
          <w:color w:val="000000"/>
          <w:szCs w:val="21"/>
          <w:lang w:val="zh-TW" w:eastAsia="zh-TW" w:bidi="zh-TW"/>
        </w:rPr>
        <w:t>发包人和（或）监理人有权监督、检査承包人在竣工试验安全方案 中列出的工作及落实情况，有权提出安全整改及发出整顿指令。承包人有义务按 照指令进行整改、整顿，所增加的费用由承包人承担。因此造成工程竣工试验进 度计划延误时，承包人应遵照4</w:t>
      </w:r>
      <w:r>
        <w:rPr>
          <w:rFonts w:hint="eastAsia" w:ascii="宋体" w:hAnsi="宋体" w:cs="宋体"/>
          <w:color w:val="000000"/>
          <w:szCs w:val="21"/>
          <w:lang w:bidi="zh-TW"/>
        </w:rPr>
        <w:t>.1.</w:t>
      </w:r>
      <w:r>
        <w:rPr>
          <w:rFonts w:hint="eastAsia" w:ascii="宋体" w:hAnsi="宋体" w:cs="宋体"/>
          <w:color w:val="000000"/>
          <w:szCs w:val="21"/>
          <w:lang w:val="zh-TW" w:eastAsia="zh-TW" w:bidi="zh-TW"/>
        </w:rPr>
        <w:t>2款的约定自费赶上。</w:t>
      </w:r>
    </w:p>
    <w:p w14:paraId="41C4EEA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bidi="zh-TW"/>
        </w:rPr>
        <w:t>8.3.5</w:t>
      </w:r>
      <w:r>
        <w:rPr>
          <w:rFonts w:hint="eastAsia" w:ascii="宋体" w:hAnsi="宋体" w:cs="宋体"/>
          <w:color w:val="000000"/>
          <w:szCs w:val="21"/>
          <w:lang w:val="zh-TW" w:eastAsia="zh-TW" w:bidi="zh-TW"/>
        </w:rPr>
        <w:t>按8</w:t>
      </w:r>
      <w:r>
        <w:rPr>
          <w:rFonts w:hint="eastAsia" w:ascii="宋体" w:hAnsi="宋体" w:cs="宋体"/>
          <w:color w:val="000000"/>
          <w:szCs w:val="21"/>
          <w:lang w:bidi="zh-TW"/>
        </w:rPr>
        <w:t>.1.</w:t>
      </w:r>
      <w:r>
        <w:rPr>
          <w:rFonts w:hint="eastAsia" w:ascii="宋体" w:hAnsi="宋体" w:cs="宋体"/>
          <w:color w:val="000000"/>
          <w:szCs w:val="21"/>
          <w:lang w:val="zh-TW" w:eastAsia="zh-TW" w:bidi="zh-TW"/>
        </w:rPr>
        <w:t>3款竣工试验领导机构的决定，双方密切配合开展竣工试验的 组织、协调和实施工作，防止人身伤害和事故发生。</w:t>
      </w:r>
    </w:p>
    <w:p w14:paraId="0BD2EF4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因发包人的原因造成的事故，由发包人承担相应责任、费用和赔偿。造成工 程竣工试验进度计划延误时，竣工日期相应顺延。</w:t>
      </w:r>
    </w:p>
    <w:p w14:paraId="743E4540">
      <w:pPr>
        <w:tabs>
          <w:tab w:val="left" w:pos="596"/>
        </w:tabs>
        <w:spacing w:line="360" w:lineRule="auto"/>
        <w:ind w:firstLine="30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因承包人的原因造成的事故，由承包人承担相应责任、费用和赔偿。造成工 程竣工试验进度计划延误时，承包人应按</w:t>
      </w:r>
      <w:r>
        <w:rPr>
          <w:rFonts w:hint="eastAsia" w:ascii="宋体" w:hAnsi="宋体" w:cs="宋体"/>
          <w:color w:val="000000"/>
          <w:szCs w:val="21"/>
          <w:lang w:bidi="zh-TW"/>
        </w:rPr>
        <w:t>4.1.2</w:t>
      </w:r>
      <w:r>
        <w:rPr>
          <w:rFonts w:hint="eastAsia" w:ascii="宋体" w:hAnsi="宋体" w:cs="宋体"/>
          <w:color w:val="000000"/>
          <w:szCs w:val="21"/>
          <w:lang w:val="zh-TW" w:eastAsia="zh-TW" w:bidi="zh-TW"/>
        </w:rPr>
        <w:t>款的约定自费赶上。</w:t>
      </w:r>
    </w:p>
    <w:p w14:paraId="1A049537">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8.4</w:t>
      </w:r>
      <w:r>
        <w:rPr>
          <w:rFonts w:hint="eastAsia" w:ascii="宋体" w:hAnsi="宋体" w:cs="宋体"/>
          <w:color w:val="000000"/>
          <w:szCs w:val="21"/>
          <w:lang w:val="zh-TW" w:eastAsia="zh-TW" w:bidi="zh-TW"/>
        </w:rPr>
        <w:t>延误的竣工试验</w:t>
      </w:r>
    </w:p>
    <w:p w14:paraId="65726A7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8.4.1</w:t>
      </w:r>
      <w:r>
        <w:rPr>
          <w:rFonts w:hint="eastAsia" w:ascii="宋体" w:hAnsi="宋体" w:cs="宋体"/>
          <w:color w:val="000000"/>
          <w:szCs w:val="21"/>
          <w:lang w:val="zh-TW" w:eastAsia="zh-TW" w:bidi="zh-TW"/>
        </w:rPr>
        <w:t>因承包人的原因使某项、某单项工程落后于竣工试验进度计划的，承 包人应按</w:t>
      </w:r>
      <w:r>
        <w:rPr>
          <w:rFonts w:hint="eastAsia" w:ascii="宋体" w:hAnsi="宋体" w:cs="宋体"/>
          <w:b/>
          <w:bCs/>
          <w:color w:val="000000"/>
          <w:szCs w:val="21"/>
          <w:lang w:val="zh-TW" w:eastAsia="zh-TW" w:bidi="zh-TW"/>
        </w:rPr>
        <w:t>4</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款的约定自费釆取措施，赶上竣工试验进度计划。</w:t>
      </w:r>
    </w:p>
    <w:p w14:paraId="4A1C8D7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8.4.2</w:t>
      </w:r>
      <w:r>
        <w:rPr>
          <w:rFonts w:hint="eastAsia" w:ascii="宋体" w:hAnsi="宋体" w:cs="宋体"/>
          <w:color w:val="000000"/>
          <w:szCs w:val="21"/>
          <w:lang w:val="zh-TW" w:eastAsia="zh-TW" w:bidi="zh-TW"/>
        </w:rPr>
        <w:t>因承包人的原因造成竣工试验延误，致使合同约定的工程竣工日期延 误时，承包人应根据</w:t>
      </w:r>
      <w:r>
        <w:rPr>
          <w:rFonts w:hint="eastAsia" w:ascii="宋体" w:hAnsi="宋体" w:cs="宋体"/>
          <w:b/>
          <w:bCs/>
          <w:color w:val="000000"/>
          <w:szCs w:val="21"/>
          <w:lang w:bidi="en-US"/>
        </w:rPr>
        <w:t>4.5</w:t>
      </w:r>
      <w:r>
        <w:rPr>
          <w:rFonts w:hint="eastAsia" w:ascii="宋体" w:hAnsi="宋体" w:cs="宋体"/>
          <w:color w:val="000000"/>
          <w:szCs w:val="21"/>
          <w:lang w:val="zh-TW" w:eastAsia="zh-TW" w:bidi="zh-TW"/>
        </w:rPr>
        <w:t>款误期损害赔偿的约定，承担误期赔偿责任。</w:t>
      </w:r>
    </w:p>
    <w:p w14:paraId="4361C3C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8.4.3</w:t>
      </w:r>
      <w:r>
        <w:rPr>
          <w:rFonts w:hint="eastAsia" w:ascii="宋体" w:hAnsi="宋体" w:cs="宋体"/>
          <w:color w:val="000000"/>
          <w:szCs w:val="21"/>
          <w:lang w:val="zh-TW" w:eastAsia="zh-TW" w:bidi="zh-TW"/>
        </w:rPr>
        <w:t>承包人无正当理由，未能按竣工试验领导机构决定的竣工试验进度计 划进行某项竣工试验，且在收到试验领导机构发出的通知后的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日内仍未进行 该项竣工试验时，造成竣工日期延误时，由承包人承担误期赔偿责任。且发包人 有权自行组织该项竣工试验，由此产生的费用由承包人承担。</w:t>
      </w:r>
    </w:p>
    <w:p w14:paraId="4784441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8.4.4</w:t>
      </w:r>
      <w:r>
        <w:rPr>
          <w:rFonts w:hint="eastAsia" w:ascii="宋体" w:hAnsi="宋体" w:cs="宋体"/>
          <w:color w:val="000000"/>
          <w:szCs w:val="21"/>
          <w:lang w:val="zh-TW" w:eastAsia="zh-TW" w:bidi="zh-TW"/>
        </w:rPr>
        <w:t>发包人未能根据</w:t>
      </w:r>
      <w:r>
        <w:rPr>
          <w:rFonts w:hint="eastAsia" w:ascii="宋体" w:hAnsi="宋体" w:cs="宋体"/>
          <w:b/>
          <w:bCs/>
          <w:color w:val="000000"/>
          <w:szCs w:val="21"/>
          <w:lang w:bidi="en-US"/>
        </w:rPr>
        <w:t>8.1.2</w:t>
      </w:r>
      <w:r>
        <w:rPr>
          <w:rFonts w:hint="eastAsia" w:ascii="宋体" w:hAnsi="宋体" w:cs="宋体"/>
          <w:color w:val="000000"/>
          <w:szCs w:val="21"/>
          <w:lang w:val="zh-TW" w:eastAsia="zh-TW" w:bidi="zh-TW"/>
        </w:rPr>
        <w:t>款的约定履行其义务，导致承包人竣工试验延 误，发包人应承担承包人因此发生的合理费用，竣工试验进度计划延误时，竣工 日期相应顺延。</w:t>
      </w:r>
    </w:p>
    <w:p w14:paraId="362FCD7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8.5</w:t>
      </w:r>
      <w:r>
        <w:rPr>
          <w:rFonts w:hint="eastAsia" w:ascii="宋体" w:hAnsi="宋体" w:cs="宋体"/>
          <w:color w:val="000000"/>
          <w:szCs w:val="21"/>
          <w:lang w:val="zh-TW" w:eastAsia="zh-TW" w:bidi="zh-TW"/>
        </w:rPr>
        <w:t>重新试验和验收</w:t>
      </w:r>
    </w:p>
    <w:p w14:paraId="5F20D52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8.5.1</w:t>
      </w:r>
      <w:r>
        <w:rPr>
          <w:rFonts w:hint="eastAsia" w:ascii="宋体" w:hAnsi="宋体" w:cs="宋体"/>
          <w:color w:val="000000"/>
          <w:szCs w:val="21"/>
          <w:lang w:val="zh-TW" w:eastAsia="zh-TW" w:bidi="zh-TW"/>
        </w:rPr>
        <w:t>承包人未能通过相关的竣工试验的，可依据</w:t>
      </w:r>
      <w:r>
        <w:rPr>
          <w:rFonts w:hint="eastAsia" w:ascii="宋体" w:hAnsi="宋体" w:cs="宋体"/>
          <w:b/>
          <w:bCs/>
          <w:color w:val="000000"/>
          <w:szCs w:val="21"/>
          <w:lang w:bidi="en-US"/>
        </w:rPr>
        <w:t>8.1.1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（6）</w:t>
      </w:r>
      <w:r>
        <w:rPr>
          <w:rFonts w:hint="eastAsia" w:ascii="宋体" w:hAnsi="宋体" w:cs="宋体"/>
          <w:color w:val="000000"/>
          <w:szCs w:val="21"/>
          <w:lang w:val="zh-TW" w:eastAsia="zh-TW" w:bidi="zh-TW"/>
        </w:rPr>
        <w:t>项的约定 重新进行此项试验，并按</w:t>
      </w:r>
      <w:r>
        <w:rPr>
          <w:rFonts w:hint="eastAsia" w:ascii="宋体" w:hAnsi="宋体" w:cs="宋体"/>
          <w:b/>
          <w:bCs/>
          <w:color w:val="000000"/>
          <w:szCs w:val="21"/>
          <w:lang w:bidi="en-US"/>
        </w:rPr>
        <w:t>8.2</w:t>
      </w:r>
      <w:r>
        <w:rPr>
          <w:rFonts w:hint="eastAsia" w:ascii="宋体" w:hAnsi="宋体" w:cs="宋体"/>
          <w:color w:val="000000"/>
          <w:szCs w:val="21"/>
          <w:lang w:val="zh-TW" w:eastAsia="zh-TW" w:bidi="zh-TW"/>
        </w:rPr>
        <w:t>款的约定进行检验和验收。</w:t>
      </w:r>
    </w:p>
    <w:p w14:paraId="370B1FC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8.5.2</w:t>
      </w:r>
      <w:r>
        <w:rPr>
          <w:rFonts w:hint="eastAsia" w:ascii="宋体" w:hAnsi="宋体" w:cs="宋体"/>
          <w:color w:val="000000"/>
          <w:szCs w:val="21"/>
          <w:lang w:val="zh-TW" w:eastAsia="zh-TW" w:bidi="zh-TW"/>
        </w:rPr>
        <w:t>不论发包人和（或）监理人是否参加竣工试验和验收，承包人未能通 过竣工试验时，发包人均有权通知承包人再次按</w:t>
      </w:r>
      <w:r>
        <w:rPr>
          <w:rFonts w:hint="eastAsia" w:ascii="宋体" w:hAnsi="宋体" w:cs="宋体"/>
          <w:b/>
          <w:bCs/>
          <w:color w:val="000000"/>
          <w:szCs w:val="21"/>
          <w:lang w:val="zh-TW" w:eastAsia="zh-TW" w:bidi="zh-TW"/>
        </w:rPr>
        <w:t>8</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（6）</w:t>
      </w:r>
      <w:r>
        <w:rPr>
          <w:rFonts w:hint="eastAsia" w:ascii="宋体" w:hAnsi="宋体" w:cs="宋体"/>
          <w:color w:val="000000"/>
          <w:szCs w:val="21"/>
          <w:lang w:val="zh-TW" w:eastAsia="zh-TW" w:bidi="zh-TW"/>
        </w:rPr>
        <w:t>项的约定进行此 项竣工试验，并按</w:t>
      </w:r>
      <w:r>
        <w:rPr>
          <w:rFonts w:hint="eastAsia" w:ascii="宋体" w:hAnsi="宋体" w:cs="宋体"/>
          <w:b/>
          <w:bCs/>
          <w:color w:val="000000"/>
          <w:szCs w:val="21"/>
          <w:lang w:bidi="en-US"/>
        </w:rPr>
        <w:t>8.2</w:t>
      </w:r>
      <w:r>
        <w:rPr>
          <w:rFonts w:hint="eastAsia" w:ascii="宋体" w:hAnsi="宋体" w:cs="宋体"/>
          <w:color w:val="000000"/>
          <w:szCs w:val="21"/>
          <w:lang w:val="zh-TW" w:eastAsia="zh-TW" w:bidi="zh-TW"/>
        </w:rPr>
        <w:t>款的约定进行检验和验收。</w:t>
      </w:r>
    </w:p>
    <w:p w14:paraId="3EB4C0D7">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8.6</w:t>
      </w:r>
      <w:r>
        <w:rPr>
          <w:rFonts w:hint="eastAsia" w:ascii="宋体" w:hAnsi="宋体" w:cs="宋体"/>
          <w:color w:val="000000"/>
          <w:szCs w:val="21"/>
          <w:lang w:val="zh-TW" w:eastAsia="zh-TW" w:bidi="zh-TW"/>
        </w:rPr>
        <w:t>未能通过竣工试验</w:t>
      </w:r>
    </w:p>
    <w:p w14:paraId="73AE32B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8.6.1</w:t>
      </w:r>
      <w:r>
        <w:rPr>
          <w:rFonts w:hint="eastAsia" w:ascii="宋体" w:hAnsi="宋体" w:cs="宋体"/>
          <w:color w:val="000000"/>
          <w:szCs w:val="21"/>
          <w:lang w:val="zh-TW" w:eastAsia="zh-TW" w:bidi="zh-TW"/>
        </w:rPr>
        <w:t>因发包人的下述原因导致竣工试验未能通过的，承包人进行竣工试验 的费用由发包人承担，竣工试验进度计划延误的，竣工日期相应延长：</w:t>
      </w:r>
    </w:p>
    <w:p w14:paraId="7E64D674">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发包人未能按确认的竣工试验方案中的技术参数、时间及数量提供电 力、动力、水等试验条件，导致竣工试验未能通过；</w:t>
      </w:r>
    </w:p>
    <w:p w14:paraId="7EF14A17">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发包人指令承包人按发包人的竣工试验条件、试验程序和试验方法进 行试验和竣工试验，导致该项竣工试验未能通过；</w:t>
      </w:r>
    </w:p>
    <w:p w14:paraId="68B2614F">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发包人对承包人竣工试验的干扰，导致竣工试验未能通过；</w:t>
      </w:r>
    </w:p>
    <w:p w14:paraId="7CDA63AE">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因发包人的其它原因，导致竣工试验未能通过。</w:t>
      </w:r>
    </w:p>
    <w:p w14:paraId="55FDBA2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8.6.2</w:t>
      </w:r>
      <w:r>
        <w:rPr>
          <w:rFonts w:hint="eastAsia" w:ascii="宋体" w:hAnsi="宋体" w:cs="宋体"/>
          <w:color w:val="000000"/>
          <w:szCs w:val="21"/>
          <w:lang w:val="zh-TW" w:eastAsia="zh-TW" w:bidi="zh-TW"/>
        </w:rPr>
        <w:t>因承包人原因未能通过竣工试验，该项竣工试验允许再进行，但再进 行最多为两次，两次试验后仍不符合验收条件的，相关费用、竣工日期及相关事 项，按下述约定处理：</w:t>
      </w:r>
    </w:p>
    <w:p w14:paraId="69B347FC">
      <w:pPr>
        <w:tabs>
          <w:tab w:val="left" w:pos="577"/>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该项竣工试验未能通过，对该项操作或使用不存在实质影响，承包人 自费修复。无法修复时，发包人有权扣减该部分的相应付款，视为通过。</w:t>
      </w:r>
    </w:p>
    <w:p w14:paraId="14661E4F">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该项竣工试验未能通过，对该单项工程未产生实质性操作和使用影响， 发包人相应扣减该单项工程的合同价款的，可视为通过；若使竣工日期延误的， 承包人承担误期损害赔偿责任。</w:t>
      </w:r>
    </w:p>
    <w:p w14:paraId="0FEF33E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CN" w:bidi="zh-CN"/>
        </w:rPr>
        <w:t>（3）</w:t>
      </w:r>
      <w:r>
        <w:rPr>
          <w:rFonts w:hint="eastAsia" w:ascii="宋体" w:hAnsi="宋体" w:cs="宋体"/>
          <w:b/>
          <w:bCs/>
          <w:color w:val="000000"/>
          <w:szCs w:val="21"/>
          <w:lang w:val="zh-CN" w:bidi="zh-CN"/>
        </w:rPr>
        <w:tab/>
      </w:r>
      <w:r>
        <w:rPr>
          <w:rFonts w:hint="eastAsia" w:ascii="宋体" w:hAnsi="宋体" w:cs="宋体"/>
          <w:color w:val="000000"/>
          <w:szCs w:val="21"/>
          <w:lang w:val="zh-TW" w:eastAsia="zh-TW" w:bidi="zh-TW"/>
        </w:rPr>
        <w:t>该项竣工试验未能通过，对操作或使用有实质性影响，发包人有权指 令承包人更换相关部分，并进行竣工试验。发包人因此增加的费用，由承包人承 担。使竣工日期延误的，承包人承担误期损害赔偿责任。</w:t>
      </w:r>
    </w:p>
    <w:p w14:paraId="306D1A3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未能通过竣工试验，使单项工程的任何主要部分丧失了生产、使用功 能时，发包人有权指令承包人更换相关部分，承包人自行承担因此增加的费用； 竣工日期延误的，并应承担误期损害赔偿责任。发包人因此增加费用的，由承包 人负责赔偿。</w:t>
      </w:r>
    </w:p>
    <w:p w14:paraId="619CEB4C">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未能通过竣工试验，使整个工程丧失了生产和（或）使用功能时，发 包人有权指令承包人重新设计、重置相关部分，承包人承担因此增加的费用（包 括发包人的费用）；竣工日期延误的，并应承担误期损害赔偿责任。发包人有权 根据</w:t>
      </w:r>
      <w:r>
        <w:rPr>
          <w:rFonts w:hint="eastAsia" w:ascii="宋体" w:hAnsi="宋体" w:cs="宋体"/>
          <w:b/>
          <w:bCs/>
          <w:color w:val="000000"/>
          <w:szCs w:val="21"/>
          <w:lang w:bidi="en-US"/>
        </w:rPr>
        <w:t>16.2.1</w:t>
      </w:r>
      <w:r>
        <w:rPr>
          <w:rFonts w:hint="eastAsia" w:ascii="宋体" w:hAnsi="宋体" w:cs="宋体"/>
          <w:color w:val="000000"/>
          <w:szCs w:val="21"/>
          <w:lang w:val="zh-TW" w:eastAsia="zh-TW" w:bidi="zh-TW"/>
        </w:rPr>
        <w:t>款发包人的索赔约定，向承包人提出索赔，或根据</w:t>
      </w:r>
      <w:r>
        <w:rPr>
          <w:rFonts w:hint="eastAsia" w:ascii="宋体" w:hAnsi="宋体" w:cs="宋体"/>
          <w:b/>
          <w:bCs/>
          <w:color w:val="000000"/>
          <w:szCs w:val="21"/>
          <w:lang w:val="zh-TW" w:eastAsia="zh-TW" w:bidi="zh-TW"/>
        </w:rPr>
        <w:t>18</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 xml:space="preserve">（7） </w:t>
      </w:r>
      <w:r>
        <w:rPr>
          <w:rFonts w:hint="eastAsia" w:ascii="宋体" w:hAnsi="宋体" w:cs="宋体"/>
          <w:color w:val="000000"/>
          <w:szCs w:val="21"/>
          <w:lang w:val="zh-TW" w:eastAsia="zh-TW" w:bidi="zh-TW"/>
        </w:rPr>
        <w:t>项的约定，解除合同。</w:t>
      </w:r>
    </w:p>
    <w:p w14:paraId="011FF18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8.7</w:t>
      </w:r>
      <w:r>
        <w:rPr>
          <w:rFonts w:hint="eastAsia" w:ascii="宋体" w:hAnsi="宋体" w:cs="宋体"/>
          <w:color w:val="000000"/>
          <w:szCs w:val="21"/>
          <w:lang w:val="zh-TW" w:eastAsia="zh-TW" w:bidi="zh-TW"/>
        </w:rPr>
        <w:t>竣工试验结果的争议</w:t>
      </w:r>
    </w:p>
    <w:p w14:paraId="6912284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8.7.1</w:t>
      </w:r>
      <w:r>
        <w:rPr>
          <w:rFonts w:hint="eastAsia" w:ascii="宋体" w:hAnsi="宋体" w:cs="宋体"/>
          <w:color w:val="000000"/>
          <w:szCs w:val="21"/>
          <w:lang w:val="zh-TW" w:eastAsia="zh-TW" w:bidi="zh-TW"/>
        </w:rPr>
        <w:t>协商解决。双方对竣工试验结果有争议的，应首先通过协商解决。</w:t>
      </w:r>
    </w:p>
    <w:p w14:paraId="2C64B07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8.7.2</w:t>
      </w:r>
      <w:r>
        <w:rPr>
          <w:rFonts w:hint="eastAsia" w:ascii="宋体" w:hAnsi="宋体" w:cs="宋体"/>
          <w:color w:val="000000"/>
          <w:szCs w:val="21"/>
          <w:lang w:val="zh-TW" w:eastAsia="zh-TW" w:bidi="zh-TW"/>
        </w:rPr>
        <w:t>委托鉴定机构。双方经协商，对竣工试验结果仍有争议的，共同委托 一个具有相应资质的检测机构进行检测。经检测鉴定后，按下述约定处理：</w:t>
      </w:r>
    </w:p>
    <w:p w14:paraId="10B2CAC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责任方为承包人时，所需的鉴定费用及因此造成发包人增加的合理费 用由承包人承担，竣工日期不予延长；</w:t>
      </w:r>
    </w:p>
    <w:p w14:paraId="168AA6DF">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责任方为发包人时，所需的鉴定费用及因此造成承包人增加的合理费 用由发包人承担，竣工日期相应顺延。</w:t>
      </w:r>
    </w:p>
    <w:p w14:paraId="0A7BDC2F">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双方均有责任时，根据责任大小协商分担费用，并按竣工试验计划的 延误情况协商竣工日期的延长时间。</w:t>
      </w:r>
    </w:p>
    <w:p w14:paraId="7DE6CF3E">
      <w:pPr>
        <w:spacing w:after="1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8.7.3</w:t>
      </w:r>
      <w:r>
        <w:rPr>
          <w:rFonts w:hint="eastAsia" w:ascii="宋体" w:hAnsi="宋体" w:cs="宋体"/>
          <w:color w:val="000000"/>
          <w:szCs w:val="21"/>
          <w:lang w:val="zh-TW" w:eastAsia="zh-TW" w:bidi="zh-TW"/>
        </w:rPr>
        <w:t>如双方对检测机构的鉴定结果有争议，依据</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款争议和裁决的约 定解决。</w:t>
      </w:r>
    </w:p>
    <w:p w14:paraId="76744CA1">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第9条工程接收</w:t>
      </w:r>
    </w:p>
    <w:p w14:paraId="00C3696A">
      <w:pPr>
        <w:spacing w:after="60" w:line="360" w:lineRule="auto"/>
        <w:ind w:firstLine="200"/>
        <w:rPr>
          <w:rFonts w:hint="eastAsia" w:ascii="宋体" w:hAnsi="宋体" w:cs="宋体"/>
          <w:szCs w:val="21"/>
          <w:lang w:val="zh-TW" w:eastAsia="zh-TW" w:bidi="zh-TW"/>
        </w:rPr>
      </w:pPr>
      <w:r>
        <w:rPr>
          <w:rFonts w:hint="eastAsia" w:ascii="宋体" w:hAnsi="宋体" w:cs="宋体"/>
          <w:b/>
          <w:bCs/>
          <w:color w:val="000000"/>
          <w:szCs w:val="21"/>
          <w:lang w:bidi="en-US"/>
        </w:rPr>
        <w:t>9.1</w:t>
      </w:r>
      <w:r>
        <w:rPr>
          <w:rFonts w:hint="eastAsia" w:ascii="宋体" w:hAnsi="宋体" w:cs="宋体"/>
          <w:color w:val="000000"/>
          <w:szCs w:val="21"/>
          <w:lang w:val="zh-TW" w:eastAsia="zh-TW" w:bidi="zh-TW"/>
        </w:rPr>
        <w:t>工程接收</w:t>
      </w:r>
    </w:p>
    <w:p w14:paraId="0173A3A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9.1.1</w:t>
      </w:r>
      <w:r>
        <w:rPr>
          <w:rFonts w:hint="eastAsia" w:ascii="宋体" w:hAnsi="宋体" w:cs="宋体"/>
          <w:color w:val="000000"/>
          <w:szCs w:val="21"/>
          <w:lang w:val="zh-TW" w:eastAsia="zh-TW" w:bidi="zh-TW"/>
        </w:rPr>
        <w:t>按单项工程和（或）按工程接收。根据工程项目的具体情况和特点， 在专用条款约定按单项工程和（或）按工程进行接收。</w:t>
      </w:r>
    </w:p>
    <w:p w14:paraId="759F0944">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根据第</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条竣工后试验的约定，由承包人负责指导发包人进行单项工 程和（或）工程竣工后试验，并承担试运行考核责任的，在专用条款中约定接收 单项工程的先后顺序及时间安排，或接收工程的时间安排。</w:t>
      </w:r>
    </w:p>
    <w:p w14:paraId="7986C9CA">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由发包人负责单项工程和（或）工程竣工后试验及其试运行考核责任的，在 专用条款中约定接收工程的日期或接收单项工程的先后顺序及时间安排。</w:t>
      </w:r>
    </w:p>
    <w:p w14:paraId="6B13B22F">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CN" w:bidi="zh-CN"/>
        </w:rPr>
        <w:t>（2）</w:t>
      </w:r>
      <w:r>
        <w:rPr>
          <w:rFonts w:hint="eastAsia" w:ascii="宋体" w:hAnsi="宋体" w:cs="宋体"/>
          <w:color w:val="000000"/>
          <w:szCs w:val="21"/>
          <w:lang w:val="zh-TW" w:eastAsia="zh-TW" w:bidi="zh-TW"/>
        </w:rPr>
        <w:t>对不存在竣工试验或竣工后试验的单项工程和（或）工程，承包人完 成扫尾工程和缺陷修复，并符合合同约定的验收标准的，根据合同约定按单项工 程和（或）工程办理工程接收和竣工验收。</w:t>
      </w:r>
    </w:p>
    <w:p w14:paraId="52EBCBC0">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9.1.2</w:t>
      </w:r>
      <w:r>
        <w:rPr>
          <w:rFonts w:hint="eastAsia" w:ascii="宋体" w:hAnsi="宋体" w:cs="宋体"/>
          <w:color w:val="000000"/>
          <w:szCs w:val="21"/>
          <w:lang w:val="zh-TW" w:eastAsia="zh-TW" w:bidi="zh-TW"/>
        </w:rPr>
        <w:t>接收工程时承包人提交的资料。除按</w:t>
      </w:r>
      <w:r>
        <w:rPr>
          <w:rFonts w:hint="eastAsia" w:ascii="宋体" w:hAnsi="宋体" w:cs="宋体"/>
          <w:b/>
          <w:bCs/>
          <w:color w:val="000000"/>
          <w:szCs w:val="21"/>
          <w:lang w:val="zh-TW" w:eastAsia="zh-TW" w:bidi="zh-TW"/>
        </w:rPr>
        <w:t>8</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款</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至</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项约定已 经提交的资料外，需提交竣工试验完成的验收资料的类别、内容、份数和提交时 间，在专用条款中约定。</w:t>
      </w:r>
    </w:p>
    <w:p w14:paraId="13F8AD8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9.2</w:t>
      </w:r>
      <w:r>
        <w:rPr>
          <w:rFonts w:hint="eastAsia" w:ascii="宋体" w:hAnsi="宋体" w:cs="宋体"/>
          <w:color w:val="000000"/>
          <w:szCs w:val="21"/>
          <w:lang w:val="zh-TW" w:eastAsia="zh-TW" w:bidi="zh-TW"/>
        </w:rPr>
        <w:t>接收证书</w:t>
      </w:r>
    </w:p>
    <w:p w14:paraId="7B8F38D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9.2.1</w:t>
      </w:r>
      <w:r>
        <w:rPr>
          <w:rFonts w:hint="eastAsia" w:ascii="宋体" w:hAnsi="宋体" w:cs="宋体"/>
          <w:color w:val="000000"/>
          <w:szCs w:val="21"/>
          <w:lang w:val="zh-TW" w:eastAsia="zh-TW" w:bidi="zh-TW"/>
        </w:rPr>
        <w:t>承包人应在工程和（或）单项工程具备接收条件后的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日内，向发 包人提交接收证书申请，发包人应在接到申请后的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日内组织接收，并签发工 程和（或）单项工程接收证书。</w:t>
      </w:r>
    </w:p>
    <w:p w14:paraId="106EBF02">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单项工程的接收以</w:t>
      </w:r>
      <w:r>
        <w:rPr>
          <w:rFonts w:hint="eastAsia" w:ascii="宋体" w:hAnsi="宋体" w:cs="宋体"/>
          <w:b/>
          <w:bCs/>
          <w:color w:val="000000"/>
          <w:szCs w:val="21"/>
          <w:lang w:bidi="en-US"/>
        </w:rPr>
        <w:t>8.2.6</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项约定的日期，作为接收日期。</w:t>
      </w:r>
    </w:p>
    <w:p w14:paraId="70FC6BA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工程的接收以</w:t>
      </w:r>
      <w:r>
        <w:rPr>
          <w:rFonts w:hint="eastAsia" w:ascii="宋体" w:hAnsi="宋体" w:cs="宋体"/>
          <w:b/>
          <w:bCs/>
          <w:color w:val="000000"/>
          <w:szCs w:val="21"/>
          <w:lang w:bidi="en-US"/>
        </w:rPr>
        <w:t>8.2.6</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项约定的日期，作为接收日期。</w:t>
      </w:r>
    </w:p>
    <w:p w14:paraId="4F2AEC6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9.2.2</w:t>
      </w:r>
      <w:r>
        <w:rPr>
          <w:rFonts w:hint="eastAsia" w:ascii="宋体" w:hAnsi="宋体" w:cs="宋体"/>
          <w:color w:val="000000"/>
          <w:szCs w:val="21"/>
          <w:lang w:val="zh-TW" w:eastAsia="zh-TW" w:bidi="zh-TW"/>
        </w:rPr>
        <w:t>扫尾工程和缺陷修复。对工程或（和）单项工程的操作、使用没有实 质影响的扫尾工程和缺陷修复，不能作为发包人不接收工程的理由。经发包人与 承包人协商确定的承包人完成该扫尾工程和缺陷修复的合理时间，作为接收证书 的附件。</w:t>
      </w:r>
    </w:p>
    <w:p w14:paraId="79A255E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9.3</w:t>
      </w:r>
      <w:r>
        <w:rPr>
          <w:rFonts w:hint="eastAsia" w:ascii="宋体" w:hAnsi="宋体" w:cs="宋体"/>
          <w:color w:val="000000"/>
          <w:szCs w:val="21"/>
          <w:lang w:val="zh-TW" w:eastAsia="zh-TW" w:bidi="zh-TW"/>
        </w:rPr>
        <w:t>接收工程的责任</w:t>
      </w:r>
    </w:p>
    <w:p w14:paraId="7343A76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9.3.1</w:t>
      </w:r>
      <w:r>
        <w:rPr>
          <w:rFonts w:hint="eastAsia" w:ascii="宋体" w:hAnsi="宋体" w:cs="宋体"/>
          <w:color w:val="000000"/>
          <w:szCs w:val="21"/>
          <w:lang w:val="zh-TW" w:eastAsia="zh-TW" w:bidi="zh-TW"/>
        </w:rPr>
        <w:t>保安责任。自单项工程和（或）工程接收之日起，发包人承担其保安 责任。</w:t>
      </w:r>
    </w:p>
    <w:p w14:paraId="497B353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9.3.2</w:t>
      </w:r>
      <w:r>
        <w:rPr>
          <w:rFonts w:hint="eastAsia" w:ascii="宋体" w:hAnsi="宋体" w:cs="宋体"/>
          <w:color w:val="000000"/>
          <w:szCs w:val="21"/>
          <w:lang w:val="zh-TW" w:eastAsia="zh-TW" w:bidi="zh-TW"/>
        </w:rPr>
        <w:t>照管责任。自单项工程和（或）工程接收之日起，发包人承担其照管 责任。发包人负责单项工程和（或）工程的维护、保养、维修，但不包括需由承 包人完成的缺陷修复和零星扫尾的工程部位及其区域。</w:t>
      </w:r>
    </w:p>
    <w:p w14:paraId="28461CB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9.3.3</w:t>
      </w:r>
      <w:r>
        <w:rPr>
          <w:rFonts w:hint="eastAsia" w:ascii="宋体" w:hAnsi="宋体" w:cs="宋体"/>
          <w:color w:val="000000"/>
          <w:szCs w:val="21"/>
          <w:lang w:val="zh-TW" w:eastAsia="zh-TW" w:bidi="zh-TW"/>
        </w:rPr>
        <w:t>投保责任。如合同约定施工期间工程的应投保方是承包人时，承包人 应负责对工程进行投保并将保险期限保持到</w:t>
      </w:r>
      <w:r>
        <w:rPr>
          <w:rFonts w:hint="eastAsia" w:ascii="宋体" w:hAnsi="宋体" w:cs="宋体"/>
          <w:b/>
          <w:bCs/>
          <w:color w:val="000000"/>
          <w:szCs w:val="21"/>
          <w:lang w:bidi="en-US"/>
        </w:rPr>
        <w:t>9.2.1</w:t>
      </w:r>
      <w:r>
        <w:rPr>
          <w:rFonts w:hint="eastAsia" w:ascii="宋体" w:hAnsi="宋体" w:cs="宋体"/>
          <w:color w:val="000000"/>
          <w:szCs w:val="21"/>
          <w:lang w:val="zh-TW" w:eastAsia="zh-TW" w:bidi="zh-TW"/>
        </w:rPr>
        <w:t>款约定的发包人接收工程的日 期。该日期之后由发包人负责对工程投保。</w:t>
      </w:r>
    </w:p>
    <w:p w14:paraId="2CFC7C0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9.4</w:t>
      </w:r>
      <w:r>
        <w:rPr>
          <w:rFonts w:hint="eastAsia" w:ascii="宋体" w:hAnsi="宋体" w:cs="宋体"/>
          <w:color w:val="000000"/>
          <w:szCs w:val="21"/>
          <w:lang w:val="zh-TW" w:eastAsia="zh-TW" w:bidi="zh-TW"/>
        </w:rPr>
        <w:t>未能接收工程</w:t>
      </w:r>
    </w:p>
    <w:p w14:paraId="0D10A94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9.4.1</w:t>
      </w:r>
      <w:r>
        <w:rPr>
          <w:rFonts w:hint="eastAsia" w:ascii="宋体" w:hAnsi="宋体" w:cs="宋体"/>
          <w:color w:val="000000"/>
          <w:szCs w:val="21"/>
          <w:lang w:val="zh-TW" w:eastAsia="zh-TW" w:bidi="zh-TW"/>
        </w:rPr>
        <w:t>不接收工程。如发包人收到承包人送交的单项工程和（或）工程接收 证书申请后的</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日内不组织接收，视为单项工程、和（或）工程的接收证书申 请已被发包人认可。从第</w:t>
      </w:r>
      <w:r>
        <w:rPr>
          <w:rFonts w:hint="eastAsia" w:ascii="宋体" w:hAnsi="宋体" w:cs="宋体"/>
          <w:b/>
          <w:bCs/>
          <w:color w:val="000000"/>
          <w:szCs w:val="21"/>
          <w:lang w:val="zh-TW" w:eastAsia="zh-TW" w:bidi="zh-TW"/>
        </w:rPr>
        <w:t>16</w:t>
      </w:r>
      <w:r>
        <w:rPr>
          <w:rFonts w:hint="eastAsia" w:ascii="宋体" w:hAnsi="宋体" w:cs="宋体"/>
          <w:color w:val="000000"/>
          <w:szCs w:val="21"/>
          <w:lang w:val="zh-TW" w:eastAsia="zh-TW" w:bidi="zh-TW"/>
        </w:rPr>
        <w:t>日起，发包人应根据</w:t>
      </w:r>
      <w:r>
        <w:rPr>
          <w:rFonts w:hint="eastAsia" w:ascii="宋体" w:hAnsi="宋体" w:cs="宋体"/>
          <w:b/>
          <w:bCs/>
          <w:color w:val="000000"/>
          <w:szCs w:val="21"/>
          <w:lang w:bidi="en-US"/>
        </w:rPr>
        <w:t>9.3</w:t>
      </w:r>
      <w:r>
        <w:rPr>
          <w:rFonts w:hint="eastAsia" w:ascii="宋体" w:hAnsi="宋体" w:cs="宋体"/>
          <w:color w:val="000000"/>
          <w:szCs w:val="21"/>
          <w:lang w:val="zh-TW" w:eastAsia="zh-TW" w:bidi="zh-TW"/>
        </w:rPr>
        <w:t>款的约定承担相关责任。</w:t>
      </w:r>
    </w:p>
    <w:p w14:paraId="4AEEA6C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9.4.2</w:t>
      </w:r>
      <w:r>
        <w:rPr>
          <w:rFonts w:hint="eastAsia" w:ascii="宋体" w:hAnsi="宋体" w:cs="宋体"/>
          <w:color w:val="000000"/>
          <w:szCs w:val="21"/>
          <w:lang w:val="zh-TW" w:eastAsia="zh-TW" w:bidi="zh-TW"/>
        </w:rPr>
        <w:t>未按约定接收工程。承包人未按约定提交单项工程和（或）工程接收 证书申请的、或未符合单项工程或工程接收条件的，发包人有权拒绝接收单项工 程和（或）工程。</w:t>
      </w:r>
    </w:p>
    <w:p w14:paraId="79CFC2C0">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发包人未能遵守本款约定，使用或强令接收不符合接收条件的单项工程和 （或）工程的，将承担</w:t>
      </w:r>
      <w:r>
        <w:rPr>
          <w:rFonts w:hint="eastAsia" w:ascii="宋体" w:hAnsi="宋体" w:cs="宋体"/>
          <w:b/>
          <w:bCs/>
          <w:color w:val="000000"/>
          <w:szCs w:val="21"/>
          <w:lang w:bidi="en-US"/>
        </w:rPr>
        <w:t>9.3</w:t>
      </w:r>
      <w:r>
        <w:rPr>
          <w:rFonts w:hint="eastAsia" w:ascii="宋体" w:hAnsi="宋体" w:cs="宋体"/>
          <w:color w:val="000000"/>
          <w:szCs w:val="21"/>
          <w:lang w:val="zh-TW" w:eastAsia="zh-TW" w:bidi="zh-TW"/>
        </w:rPr>
        <w:t>款接收工程约定的相关责任，以及已被使用或强令接 收的单项工程和（或）工程后进行操作、使用等所造成的损失、损坏、损害和（或） 赔偿责任。</w:t>
      </w:r>
    </w:p>
    <w:p w14:paraId="5771BD3D">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第10条竣工后试验</w:t>
      </w:r>
    </w:p>
    <w:p w14:paraId="47DA5265">
      <w:pPr>
        <w:spacing w:after="12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本合同工程包含竣工后试验的，遵守本条约定。</w:t>
      </w:r>
    </w:p>
    <w:p w14:paraId="28DFE8D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10.1</w:t>
      </w:r>
      <w:r>
        <w:rPr>
          <w:rFonts w:hint="eastAsia" w:ascii="宋体" w:hAnsi="宋体" w:cs="宋体"/>
          <w:color w:val="000000"/>
          <w:szCs w:val="21"/>
          <w:lang w:val="zh-TW" w:eastAsia="zh-TW" w:bidi="zh-TW"/>
        </w:rPr>
        <w:t>权利与义务</w:t>
      </w:r>
    </w:p>
    <w:p w14:paraId="1FBE973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10.1.1</w:t>
      </w:r>
      <w:r>
        <w:rPr>
          <w:rFonts w:hint="eastAsia" w:ascii="宋体" w:hAnsi="宋体" w:cs="宋体"/>
          <w:color w:val="000000"/>
          <w:szCs w:val="21"/>
          <w:lang w:val="zh-TW" w:eastAsia="zh-TW" w:bidi="zh-TW"/>
        </w:rPr>
        <w:t>发包人的权利与义务</w:t>
      </w:r>
    </w:p>
    <w:p w14:paraId="288F1AC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发包人有权对第</w:t>
      </w:r>
      <w:r>
        <w:rPr>
          <w:rFonts w:hint="eastAsia" w:ascii="宋体" w:hAnsi="宋体" w:cs="宋体"/>
          <w:b/>
          <w:bCs/>
          <w:color w:val="000000"/>
          <w:szCs w:val="21"/>
          <w:lang w:val="zh-TW" w:eastAsia="zh-TW" w:bidi="zh-TW"/>
        </w:rPr>
        <w:t>10</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项约定的由承包人协助发包人编制的 竣工后试验方案进行审査并批准，发包人的批准并不能减轻或免除承包人的合同 责任。</w:t>
      </w:r>
    </w:p>
    <w:p w14:paraId="2A454A2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竣工后试验联合协调领导机构由发包人组建，在发包人的组织领导下， 由承包人指导，依据批准的竣工后试验方案进行分工、组织完成竣工后试验的各 项准备工作、进行竣工后试验和试运行考核。联合协调领导机构的设置方案及其 分工职责等作为本合同的组成部分。</w:t>
      </w:r>
    </w:p>
    <w:p w14:paraId="26553F00">
      <w:pPr>
        <w:tabs>
          <w:tab w:val="left" w:pos="58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发包人对承包人根据</w:t>
      </w:r>
      <w:r>
        <w:rPr>
          <w:rFonts w:hint="eastAsia" w:ascii="宋体" w:hAnsi="宋体" w:cs="宋体"/>
          <w:b/>
          <w:bCs/>
          <w:color w:val="000000"/>
          <w:szCs w:val="21"/>
          <w:lang w:val="zh-TW" w:eastAsia="zh-TW" w:bidi="zh-TW"/>
        </w:rPr>
        <w:t>10</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项提出的建议，有权向承包人发 出不接受或接受的通知。</w:t>
      </w:r>
    </w:p>
    <w:p w14:paraId="2B63189B">
      <w:pPr>
        <w:spacing w:line="360" w:lineRule="auto"/>
        <w:ind w:firstLine="26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发包人未能接受承包人的上述建议，承包人有义务仍按本款第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项的组 织安排执行。承包人因执行发包人的此项安排而发生事故、人身伤害和工程损害 时，由发包人承担其责任。</w:t>
      </w:r>
    </w:p>
    <w:p w14:paraId="01E0864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发包人在竣工后试验阶段向承包人发出的组织安排、指令和通知，应 以书面形式送达承包人的项目经理，由项目经理在回执上签署收到日期、时间和 签名。</w:t>
      </w:r>
    </w:p>
    <w:p w14:paraId="4633AF9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发包人有权在紧急情况下，以口头、或书面形式向承包人发出紧急指 令，承包人应立即执行。如承包人未能按发包人的指令执行，因此造成的事故责 任、人身伤害和工程损害，由承包人承担。发包人应在发出口头指令后</w:t>
      </w:r>
      <w:r>
        <w:rPr>
          <w:rFonts w:hint="eastAsia" w:ascii="宋体" w:hAnsi="宋体" w:cs="宋体"/>
          <w:b/>
          <w:bCs/>
          <w:color w:val="000000"/>
          <w:szCs w:val="21"/>
          <w:lang w:val="zh-TW" w:eastAsia="zh-TW" w:bidi="zh-TW"/>
        </w:rPr>
        <w:t>12</w:t>
      </w:r>
      <w:r>
        <w:rPr>
          <w:rFonts w:hint="eastAsia" w:ascii="宋体" w:hAnsi="宋体" w:cs="宋体"/>
          <w:color w:val="000000"/>
          <w:szCs w:val="21"/>
          <w:lang w:val="zh-TW" w:eastAsia="zh-TW" w:bidi="zh-TW"/>
        </w:rPr>
        <w:t>小时 内，将该口头指令再以书面形式送达承包人的项目经理。</w:t>
      </w:r>
    </w:p>
    <w:p w14:paraId="21BD3012">
      <w:pPr>
        <w:tabs>
          <w:tab w:val="left" w:pos="596"/>
        </w:tabs>
        <w:spacing w:line="360" w:lineRule="auto"/>
        <w:ind w:left="240" w:firstLine="60"/>
        <w:rPr>
          <w:rFonts w:hint="eastAsia" w:ascii="宋体" w:hAnsi="宋体" w:cs="宋体"/>
          <w:szCs w:val="21"/>
          <w:lang w:val="zh-TW" w:eastAsia="zh-TW" w:bidi="zh-TW"/>
        </w:rPr>
      </w:pPr>
      <w:r>
        <w:rPr>
          <w:rFonts w:hint="eastAsia" w:ascii="宋体" w:hAnsi="宋体" w:cs="宋体"/>
          <w:b/>
          <w:bCs/>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 xml:space="preserve">发包人在竣工后试验阶段的其它义务和工作，在专用条款中约定。 </w:t>
      </w:r>
      <w:r>
        <w:rPr>
          <w:rFonts w:hint="eastAsia" w:ascii="宋体" w:hAnsi="宋体" w:cs="宋体"/>
          <w:b/>
          <w:bCs/>
          <w:color w:val="000000"/>
          <w:szCs w:val="21"/>
          <w:lang w:bidi="en-US"/>
        </w:rPr>
        <w:t>10.1.2</w:t>
      </w:r>
      <w:r>
        <w:rPr>
          <w:rFonts w:hint="eastAsia" w:ascii="宋体" w:hAnsi="宋体" w:cs="宋体"/>
          <w:color w:val="000000"/>
          <w:szCs w:val="21"/>
          <w:lang w:val="zh-TW" w:eastAsia="zh-TW" w:bidi="zh-TW"/>
        </w:rPr>
        <w:t>承包人的责任和义务</w:t>
      </w:r>
    </w:p>
    <w:p w14:paraId="1278EFCA">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承包人应在发包人组建的竣工后试验联合协调领导机构的统一安排下， 派出具有相应资格和经验的人员指导竣工后试验。承包人派出的开车经理或指导 人员在竣工后试验期间离开现场，必须事先得到发包人批准。</w:t>
      </w:r>
    </w:p>
    <w:p w14:paraId="4F8F596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承包人应根据合同约定和工程竣工后试验的特点，协助发包人编制竣 工后试验方案，并在竣工试验开始前编制完成。竣工后试验方案应包括：工程、 单项工程及其相关部位的操作试验程序、资源条件、试验条件、操作规程、安全 规程、事故处理程序及进度计划等。竣工后试验方案经发包人审查批准后实施。 竣工后试验方案的份数和时间在专用条款约定。</w:t>
      </w:r>
    </w:p>
    <w:p w14:paraId="34EB2C26">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因承包人未能执行发包人的安排、指令和通知，而发生的事故、人身 伤害和工程损害，由承包人承担其责任。</w:t>
      </w:r>
    </w:p>
    <w:p w14:paraId="03B2B38C">
      <w:pPr>
        <w:tabs>
          <w:tab w:val="left" w:pos="582"/>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承包人有义务对发包人的组织安排、指令和通知提出建议，并说明因 由</w:t>
      </w:r>
      <w:r>
        <w:rPr>
          <w:rFonts w:hint="eastAsia" w:ascii="宋体" w:hAnsi="宋体" w:cs="宋体"/>
          <w:color w:val="000000"/>
          <w:szCs w:val="21"/>
          <w:lang w:bidi="en-US"/>
        </w:rPr>
        <w:t>。</w:t>
      </w:r>
    </w:p>
    <w:p w14:paraId="31B87737">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在紧急情况下，发包人有权口头指令承包人进行操作、工作及作业， 承包人应立即执行。承包人应对此项指令做好记录，并做好实施的记录。发包人 应在</w:t>
      </w:r>
      <w:r>
        <w:rPr>
          <w:rFonts w:hint="eastAsia" w:ascii="宋体" w:hAnsi="宋体" w:cs="宋体"/>
          <w:b/>
          <w:bCs/>
          <w:color w:val="000000"/>
          <w:szCs w:val="21"/>
          <w:lang w:val="zh-TW" w:eastAsia="zh-TW" w:bidi="zh-TW"/>
        </w:rPr>
        <w:t>12</w:t>
      </w:r>
      <w:r>
        <w:rPr>
          <w:rFonts w:hint="eastAsia" w:ascii="宋体" w:hAnsi="宋体" w:cs="宋体"/>
          <w:color w:val="000000"/>
          <w:szCs w:val="21"/>
          <w:lang w:val="zh-TW" w:eastAsia="zh-TW" w:bidi="zh-TW"/>
        </w:rPr>
        <w:t>小时内，将上述口头指令再以书面形式送达承包人。</w:t>
      </w:r>
    </w:p>
    <w:p w14:paraId="48F1CE3A">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发包人未能在</w:t>
      </w:r>
      <w:r>
        <w:rPr>
          <w:rFonts w:hint="eastAsia" w:ascii="宋体" w:hAnsi="宋体" w:cs="宋体"/>
          <w:b/>
          <w:bCs/>
          <w:color w:val="000000"/>
          <w:szCs w:val="21"/>
          <w:lang w:val="zh-TW" w:eastAsia="zh-TW" w:bidi="zh-TW"/>
        </w:rPr>
        <w:t>12</w:t>
      </w:r>
      <w:r>
        <w:rPr>
          <w:rFonts w:hint="eastAsia" w:ascii="宋体" w:hAnsi="宋体" w:cs="宋体"/>
          <w:color w:val="000000"/>
          <w:szCs w:val="21"/>
          <w:lang w:val="zh-TW" w:eastAsia="zh-TW" w:bidi="zh-TW"/>
        </w:rPr>
        <w:t>小时内将此项口头指令以书面形式送达承包人时，承包人 及其项目经理有权在接到口头指令后的</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小时内，以书面形式将该口头指令交 发包人，发包人须在回执上签字确认，并签署接到的日期和时间。当发包人未能 在</w:t>
      </w:r>
      <w:r>
        <w:rPr>
          <w:rFonts w:hint="eastAsia" w:ascii="宋体" w:hAnsi="宋体" w:cs="宋体"/>
          <w:b/>
          <w:bCs/>
          <w:color w:val="000000"/>
          <w:szCs w:val="21"/>
          <w:lang w:val="zh-TW" w:eastAsia="zh-TW" w:bidi="zh-TW"/>
        </w:rPr>
        <w:t>24</w:t>
      </w:r>
      <w:r>
        <w:rPr>
          <w:rFonts w:hint="eastAsia" w:ascii="宋体" w:hAnsi="宋体" w:cs="宋体"/>
          <w:color w:val="000000"/>
          <w:szCs w:val="21"/>
          <w:lang w:val="zh-TW" w:eastAsia="zh-TW" w:bidi="zh-TW"/>
        </w:rPr>
        <w:t>小时内在回执上签字确认，视为已被发包人确认。</w:t>
      </w:r>
    </w:p>
    <w:p w14:paraId="5109851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承包人因执行发包人的口头指令而发生事故责任、人身伤害、工程损害和费 用增加时，由发包人承担。但承包人错误执行上述口头指令而发生事故责任、人 身伤害、工程损害和费用增加时，由承包人负责。</w:t>
      </w:r>
    </w:p>
    <w:p w14:paraId="1FF412A2">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操作维修手册的缺陷责任。因承包人负责编制的操作维修手册存在缺 陷所造成的事故责任、人身伤害和工程损害，由承包人承担；因发包人（包括其 专利商）提供的操作指南存在缺陷，造成承包人操作手册的缺陷，因此发生事故 责任、人身伤害、工程损害和承包人费用增加时，由发包人负责。</w:t>
      </w:r>
    </w:p>
    <w:p w14:paraId="6C4C236E">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（7）</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承包人根据合同约定和（或）行业规定，在竣工后试验阶段的其它义 务和工作，在专用条款中约定。</w:t>
      </w:r>
    </w:p>
    <w:p w14:paraId="48C0209E">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w:t>
      </w:r>
      <w:r>
        <w:rPr>
          <w:rFonts w:hint="eastAsia" w:ascii="宋体" w:hAnsi="宋体" w:cs="宋体"/>
          <w:color w:val="000000"/>
          <w:szCs w:val="21"/>
          <w:lang w:val="zh-TW" w:eastAsia="zh-TW" w:bidi="zh-TW"/>
        </w:rPr>
        <w:t>竣工后试验程序</w:t>
      </w:r>
    </w:p>
    <w:p w14:paraId="70E8A6C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10.2.1</w:t>
      </w:r>
      <w:r>
        <w:rPr>
          <w:rFonts w:hint="eastAsia" w:ascii="宋体" w:hAnsi="宋体" w:cs="宋体"/>
          <w:color w:val="000000"/>
          <w:szCs w:val="21"/>
          <w:lang w:val="zh-TW" w:eastAsia="zh-TW" w:bidi="zh-TW"/>
        </w:rPr>
        <w:t>发包人应根据联合协调领导机构批准的竣工后试验方案，提供全部 电力、水、燃料、动力、原材料、辅助材料、消耗材料以及其它试验条件，并组 织安排其管理人员、操作维修人员和其它各项准备工作。</w:t>
      </w:r>
    </w:p>
    <w:p w14:paraId="3892609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10.2.2</w:t>
      </w:r>
      <w:r>
        <w:rPr>
          <w:rFonts w:hint="eastAsia" w:ascii="宋体" w:hAnsi="宋体" w:cs="宋体"/>
          <w:color w:val="000000"/>
          <w:szCs w:val="21"/>
          <w:lang w:val="zh-TW" w:eastAsia="zh-TW" w:bidi="zh-TW"/>
        </w:rPr>
        <w:t>承包人应根据经批准的竣工后试验方案，提供竣工后试验所需要的 其它临时辅助设备、设施、工具和器具，及应由承包人完成的其它准备工作。</w:t>
      </w:r>
    </w:p>
    <w:p w14:paraId="027BCD6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10.2.3</w:t>
      </w:r>
      <w:r>
        <w:rPr>
          <w:rFonts w:hint="eastAsia" w:ascii="宋体" w:hAnsi="宋体" w:cs="宋体"/>
          <w:color w:val="000000"/>
          <w:szCs w:val="21"/>
          <w:lang w:val="zh-TW" w:eastAsia="zh-TW" w:bidi="zh-TW"/>
        </w:rPr>
        <w:t>发包人应根据批准的竣工后试验方案，按照单项工程内的任何部分、 单项工程、单项工程之间、或（和）工程的竣工后试验程序和试验条件，组织竣 工后试验。</w:t>
      </w:r>
    </w:p>
    <w:p w14:paraId="18C8B0B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10.2.4</w:t>
      </w:r>
      <w:r>
        <w:rPr>
          <w:rFonts w:hint="eastAsia" w:ascii="宋体" w:hAnsi="宋体" w:cs="宋体"/>
          <w:color w:val="000000"/>
          <w:szCs w:val="21"/>
          <w:lang w:val="zh-TW" w:eastAsia="zh-TW" w:bidi="zh-TW"/>
        </w:rPr>
        <w:t>联合协调领导机构组织全面检査并落实工程、单项工程及工程的任 何部分竣工后试验所需要的资源条件、试验条件、安全设施条件、消防设施条件、 紧急事故处理设施条件和（或）相关措施，保证记录仪器、专用记录表格的齐全 和数量的充分。</w:t>
      </w:r>
    </w:p>
    <w:p w14:paraId="6B43535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10.2.5</w:t>
      </w:r>
      <w:r>
        <w:rPr>
          <w:rFonts w:hint="eastAsia" w:ascii="宋体" w:hAnsi="宋体" w:cs="宋体"/>
          <w:color w:val="000000"/>
          <w:szCs w:val="21"/>
          <w:lang w:val="zh-TW" w:eastAsia="zh-TW" w:bidi="zh-TW"/>
        </w:rPr>
        <w:t>竣工后试验日期的通知。发包人应在接收单项工程或（和）接收工 程日期后的</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日内通知承包人开始竣工后试验的日期，专用条款另有约定时除 外。</w:t>
      </w:r>
    </w:p>
    <w:p w14:paraId="708798BB">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因发包人原因未能在接收单项工程和（或）工程的</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日内，或在专用条款 中约定的日期内进行竣工后试验，发包人应自第</w:t>
      </w:r>
      <w:r>
        <w:rPr>
          <w:rFonts w:hint="eastAsia" w:ascii="宋体" w:hAnsi="宋体" w:cs="宋体"/>
          <w:b/>
          <w:bCs/>
          <w:color w:val="000000"/>
          <w:szCs w:val="21"/>
          <w:lang w:val="zh-TW" w:eastAsia="zh-TW" w:bidi="zh-TW"/>
        </w:rPr>
        <w:t>21</w:t>
      </w:r>
      <w:r>
        <w:rPr>
          <w:rFonts w:hint="eastAsia" w:ascii="宋体" w:hAnsi="宋体" w:cs="宋体"/>
          <w:color w:val="000000"/>
          <w:szCs w:val="21"/>
          <w:lang w:val="zh-TW" w:eastAsia="zh-TW" w:bidi="zh-TW"/>
        </w:rPr>
        <w:t>日开始或自专用条款中约定 的开始日期后的第二日开始，承担承包人由此发生的相关窝工费用，包括人工费、 临时辅助设备、设施的闲置费、管理费及其合理利润。</w:t>
      </w:r>
    </w:p>
    <w:p w14:paraId="32DC6DC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10.3</w:t>
      </w:r>
      <w:r>
        <w:rPr>
          <w:rFonts w:hint="eastAsia" w:ascii="宋体" w:hAnsi="宋体" w:cs="宋体"/>
          <w:color w:val="000000"/>
          <w:szCs w:val="21"/>
          <w:lang w:val="zh-TW" w:eastAsia="zh-TW" w:bidi="zh-TW"/>
        </w:rPr>
        <w:t>竣工后试验及试运行考核</w:t>
      </w:r>
    </w:p>
    <w:p w14:paraId="146E35F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10.3.1</w:t>
      </w:r>
      <w:r>
        <w:rPr>
          <w:rFonts w:hint="eastAsia" w:ascii="宋体" w:hAnsi="宋体" w:cs="宋体"/>
          <w:color w:val="000000"/>
          <w:szCs w:val="21"/>
          <w:lang w:val="zh-TW" w:eastAsia="zh-TW" w:bidi="zh-TW"/>
        </w:rPr>
        <w:t>按照批准的竣工后试验方案的试验程序、试验条件、操作程序进行 试验，达到合同约定的工程和（或）单项工程的生产功能和（或）使用功能。</w:t>
      </w:r>
    </w:p>
    <w:p w14:paraId="2402B14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10.3.2</w:t>
      </w:r>
      <w:r>
        <w:rPr>
          <w:rFonts w:hint="eastAsia" w:ascii="宋体" w:hAnsi="宋体" w:cs="宋体"/>
          <w:color w:val="000000"/>
          <w:szCs w:val="21"/>
          <w:lang w:val="zh-TW" w:eastAsia="zh-TW" w:bidi="zh-TW"/>
        </w:rPr>
        <w:t>发包人的操作人员和承包人的指导人员，在竣工后试验过程中的同 一个岗位上的试验条件记录、试验记录及表格上，应如实填写数据、条件、情况、 时间、姓名及约定的其它内容。</w:t>
      </w:r>
    </w:p>
    <w:p w14:paraId="2B79939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试运行考核</w:t>
      </w:r>
    </w:p>
    <w:p w14:paraId="6A410B7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5.1.1</w:t>
      </w:r>
      <w:r>
        <w:rPr>
          <w:rFonts w:hint="eastAsia" w:ascii="宋体" w:hAnsi="宋体" w:cs="宋体"/>
          <w:color w:val="000000"/>
          <w:szCs w:val="21"/>
          <w:lang w:val="zh-TW" w:eastAsia="zh-TW" w:bidi="zh-TW"/>
        </w:rPr>
        <w:t>款约定，由承包人提供生产工艺技术和（或）建筑设计方案 的，承包人应保证工程在试运行考核周期内，达到</w:t>
      </w:r>
      <w:r>
        <w:rPr>
          <w:rFonts w:hint="eastAsia" w:ascii="宋体" w:hAnsi="宋体" w:cs="宋体"/>
          <w:b/>
          <w:bCs/>
          <w:color w:val="000000"/>
          <w:szCs w:val="21"/>
          <w:lang w:val="zh-TW" w:eastAsia="zh-TW" w:bidi="zh-TW"/>
        </w:rPr>
        <w:t>5</w:t>
      </w:r>
      <w:r>
        <w:rPr>
          <w:rFonts w:hint="eastAsia" w:ascii="宋体" w:hAnsi="宋体" w:cs="宋体"/>
          <w:b/>
          <w:bCs/>
          <w:color w:val="000000"/>
          <w:szCs w:val="21"/>
          <w:lang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款专用条款中约定的考 核保证值和（或）使用功能。</w:t>
      </w:r>
    </w:p>
    <w:p w14:paraId="32073E7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款约定，由发包人提供生产工艺技术和（或）建筑设计方案 的，承包人应保证在试运行考核周期内达到</w:t>
      </w: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款专用条款中约定的，应由承 包人承担的工程相关部分的考核保证值和（或）使用功能。</w:t>
      </w:r>
    </w:p>
    <w:p w14:paraId="5ACC6CBF">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试运行考核的时间周期由双方根据相关行业对试运行考核周期的规定， 在专用条款中约定。</w:t>
      </w:r>
    </w:p>
    <w:p w14:paraId="01FE5D4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试运行考核通过后或使用功能通过后，双方应共同整理竣工后试验及其试运行考核结果，并编写评价报告。报告一式两份，经合同双方签字或盖章后 各持一份，作为本合同组成部分。发包人并应根据</w:t>
      </w:r>
      <w:r>
        <w:rPr>
          <w:rFonts w:hint="eastAsia" w:ascii="宋体" w:hAnsi="宋体" w:cs="宋体"/>
          <w:b/>
          <w:bCs/>
          <w:color w:val="000000"/>
          <w:szCs w:val="21"/>
          <w:lang w:bidi="en-US"/>
        </w:rPr>
        <w:t>10.7</w:t>
      </w:r>
      <w:r>
        <w:rPr>
          <w:rFonts w:hint="eastAsia" w:ascii="宋体" w:hAnsi="宋体" w:cs="宋体"/>
          <w:color w:val="000000"/>
          <w:szCs w:val="21"/>
          <w:lang w:val="zh-TW" w:eastAsia="zh-TW" w:bidi="zh-TW"/>
        </w:rPr>
        <w:t>款的约定颁发考核验收 证书。</w:t>
      </w:r>
    </w:p>
    <w:p w14:paraId="74638D0F">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10.3.4</w:t>
      </w:r>
      <w:r>
        <w:rPr>
          <w:rFonts w:hint="eastAsia" w:ascii="宋体" w:hAnsi="宋体" w:cs="宋体"/>
          <w:color w:val="000000"/>
          <w:szCs w:val="21"/>
          <w:lang w:val="zh-TW" w:eastAsia="zh-TW" w:bidi="zh-TW"/>
        </w:rPr>
        <w:t>产品和（或）服务收益的所有权。单项工程和（或）工程竣工后试 验及试运行考核期间的任何产品收益和（或）服务收益，均属发包人所有。</w:t>
      </w:r>
    </w:p>
    <w:p w14:paraId="542A052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10.4</w:t>
      </w:r>
      <w:r>
        <w:rPr>
          <w:rFonts w:hint="eastAsia" w:ascii="宋体" w:hAnsi="宋体" w:cs="宋体"/>
          <w:color w:val="000000"/>
          <w:szCs w:val="21"/>
          <w:lang w:val="zh-TW" w:eastAsia="zh-TW" w:bidi="zh-TW"/>
        </w:rPr>
        <w:t>竣工后试验的延误</w:t>
      </w:r>
    </w:p>
    <w:p w14:paraId="10A627E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10.4.1</w:t>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10.2.5</w:t>
      </w:r>
      <w:r>
        <w:rPr>
          <w:rFonts w:hint="eastAsia" w:ascii="宋体" w:hAnsi="宋体" w:cs="宋体"/>
          <w:color w:val="000000"/>
          <w:szCs w:val="21"/>
          <w:lang w:val="zh-TW" w:eastAsia="zh-TW" w:bidi="zh-TW"/>
        </w:rPr>
        <w:t>款竣工后试验日期通知的约定，非因承包人原因，发包 人未能在发出竣工后试验通知后的</w:t>
      </w:r>
      <w:r>
        <w:rPr>
          <w:rFonts w:hint="eastAsia" w:ascii="宋体" w:hAnsi="宋体" w:cs="宋体"/>
          <w:b/>
          <w:bCs/>
          <w:color w:val="000000"/>
          <w:szCs w:val="21"/>
          <w:lang w:val="zh-TW" w:eastAsia="zh-TW" w:bidi="zh-TW"/>
        </w:rPr>
        <w:t>90</w:t>
      </w:r>
      <w:r>
        <w:rPr>
          <w:rFonts w:hint="eastAsia" w:ascii="宋体" w:hAnsi="宋体" w:cs="宋体"/>
          <w:color w:val="000000"/>
          <w:szCs w:val="21"/>
          <w:lang w:val="zh-TW" w:eastAsia="zh-TW" w:bidi="zh-TW"/>
        </w:rPr>
        <w:t>日内开始竣工后试验的，工程和（或）单 项工程视为通过了竣工后试验和试运行考核。除非专用条款另有约定。</w:t>
      </w:r>
    </w:p>
    <w:p w14:paraId="2273E9B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10.4.2</w:t>
      </w:r>
      <w:r>
        <w:rPr>
          <w:rFonts w:hint="eastAsia" w:ascii="宋体" w:hAnsi="宋体" w:cs="宋体"/>
          <w:color w:val="000000"/>
          <w:szCs w:val="21"/>
          <w:lang w:val="zh-TW" w:eastAsia="zh-TW" w:bidi="zh-TW"/>
        </w:rPr>
        <w:t>因承包人的原因造成竣工后试验延误时，承包人应釆取措施，尽快 组织，配合发包人开始并通过竣工后试验。当延误造成发包人的费用增加时，发 包人有权根据</w:t>
      </w:r>
      <w:r>
        <w:rPr>
          <w:rFonts w:hint="eastAsia" w:ascii="宋体" w:hAnsi="宋体" w:cs="宋体"/>
          <w:b/>
          <w:bCs/>
          <w:color w:val="000000"/>
          <w:szCs w:val="21"/>
          <w:lang w:bidi="en-US"/>
        </w:rPr>
        <w:t>16.2.1</w:t>
      </w:r>
      <w:r>
        <w:rPr>
          <w:rFonts w:hint="eastAsia" w:ascii="宋体" w:hAnsi="宋体" w:cs="宋体"/>
          <w:color w:val="000000"/>
          <w:szCs w:val="21"/>
          <w:lang w:val="zh-TW" w:eastAsia="zh-TW" w:bidi="zh-TW"/>
        </w:rPr>
        <w:t>款的约定向承包人提出索赔。</w:t>
      </w:r>
    </w:p>
    <w:p w14:paraId="7D1F2F5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10.4.3</w:t>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项试运行考核时间周期的约定，在试运行考核期 间，因发包人原因导致考核中断或停止，且中断或停止的累计天数超过第</w:t>
      </w:r>
      <w:r>
        <w:rPr>
          <w:rFonts w:hint="eastAsia" w:ascii="宋体" w:hAnsi="宋体" w:cs="宋体"/>
          <w:b/>
          <w:bCs/>
          <w:color w:val="000000"/>
          <w:szCs w:val="21"/>
          <w:lang w:bidi="en-US"/>
        </w:rPr>
        <w:t xml:space="preserve">10.3.3 </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项专用条款中约定的试运行考核周期时，试运行考核应在中断或停止 后的</w:t>
      </w:r>
      <w:r>
        <w:rPr>
          <w:rFonts w:hint="eastAsia" w:ascii="宋体" w:hAnsi="宋体" w:cs="宋体"/>
          <w:b/>
          <w:bCs/>
          <w:color w:val="000000"/>
          <w:szCs w:val="21"/>
          <w:lang w:val="zh-TW" w:eastAsia="zh-TW" w:bidi="zh-TW"/>
        </w:rPr>
        <w:t>60</w:t>
      </w:r>
      <w:r>
        <w:rPr>
          <w:rFonts w:hint="eastAsia" w:ascii="宋体" w:hAnsi="宋体" w:cs="宋体"/>
          <w:color w:val="000000"/>
          <w:szCs w:val="21"/>
          <w:lang w:val="zh-TW" w:eastAsia="zh-TW" w:bidi="zh-TW"/>
        </w:rPr>
        <w:t>日内重新开始，超过此期限视为单项工程和（或）工程已通过了试运行 考核。</w:t>
      </w:r>
    </w:p>
    <w:p w14:paraId="30185F5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10.5</w:t>
      </w:r>
      <w:r>
        <w:rPr>
          <w:rFonts w:hint="eastAsia" w:ascii="宋体" w:hAnsi="宋体" w:cs="宋体"/>
          <w:color w:val="000000"/>
          <w:szCs w:val="21"/>
          <w:lang w:val="zh-TW" w:eastAsia="zh-TW" w:bidi="zh-TW"/>
        </w:rPr>
        <w:t>重新进行竣工后试验</w:t>
      </w:r>
    </w:p>
    <w:p w14:paraId="73FB313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10.5.1</w:t>
      </w:r>
      <w:r>
        <w:rPr>
          <w:rFonts w:hint="eastAsia" w:ascii="宋体" w:hAnsi="宋体" w:cs="宋体"/>
          <w:color w:val="000000"/>
          <w:szCs w:val="21"/>
          <w:lang w:val="zh-TW" w:eastAsia="zh-TW" w:bidi="zh-TW"/>
        </w:rPr>
        <w:t>根据</w:t>
      </w:r>
      <w:r>
        <w:rPr>
          <w:rFonts w:hint="eastAsia" w:ascii="宋体" w:hAnsi="宋体" w:cs="宋体"/>
          <w:b/>
          <w:bCs/>
          <w:color w:val="000000"/>
          <w:szCs w:val="21"/>
          <w:lang w:val="zh-TW" w:eastAsia="zh-TW" w:bidi="zh-TW"/>
        </w:rPr>
        <w:t>5</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款或</w:t>
      </w:r>
      <w:r>
        <w:rPr>
          <w:rFonts w:hint="eastAsia" w:ascii="宋体" w:hAnsi="宋体" w:cs="宋体"/>
          <w:b/>
          <w:bCs/>
          <w:color w:val="000000"/>
          <w:szCs w:val="21"/>
          <w:lang w:bidi="en-US"/>
        </w:rPr>
        <w:t>5.1.2</w:t>
      </w:r>
      <w:r>
        <w:rPr>
          <w:rFonts w:hint="eastAsia" w:ascii="宋体" w:hAnsi="宋体" w:cs="宋体"/>
          <w:color w:val="000000"/>
          <w:szCs w:val="21"/>
          <w:lang w:val="zh-TW" w:eastAsia="zh-TW" w:bidi="zh-TW"/>
        </w:rPr>
        <w:t>款及其专用条款中的约定，因承包人原因导致 工程、单项工程或工程的任何部分未能通过竣工后试验，承包人应自费修补其缺 陷，由发包人依据第</w:t>
      </w:r>
      <w:r>
        <w:rPr>
          <w:rFonts w:hint="eastAsia" w:ascii="宋体" w:hAnsi="宋体" w:cs="宋体"/>
          <w:b/>
          <w:bCs/>
          <w:color w:val="000000"/>
          <w:szCs w:val="21"/>
          <w:lang w:bidi="en-US"/>
        </w:rPr>
        <w:t>10.2.3</w:t>
      </w:r>
      <w:r>
        <w:rPr>
          <w:rFonts w:hint="eastAsia" w:ascii="宋体" w:hAnsi="宋体" w:cs="宋体"/>
          <w:color w:val="000000"/>
          <w:szCs w:val="21"/>
          <w:lang w:val="zh-TW" w:eastAsia="zh-TW" w:bidi="zh-TW"/>
        </w:rPr>
        <w:t>款约定的试验程序、试验条件，重新组织进行此项试 验。</w:t>
      </w:r>
    </w:p>
    <w:p w14:paraId="4AB82B1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10.5.2</w:t>
      </w:r>
      <w:r>
        <w:rPr>
          <w:rFonts w:hint="eastAsia" w:ascii="宋体" w:hAnsi="宋体" w:cs="宋体"/>
          <w:color w:val="000000"/>
          <w:szCs w:val="21"/>
          <w:lang w:val="zh-TW" w:eastAsia="zh-TW" w:bidi="zh-TW"/>
        </w:rPr>
        <w:t>承包人根据</w:t>
      </w:r>
      <w:r>
        <w:rPr>
          <w:rFonts w:hint="eastAsia" w:ascii="宋体" w:hAnsi="宋体" w:cs="宋体"/>
          <w:b/>
          <w:bCs/>
          <w:color w:val="000000"/>
          <w:szCs w:val="21"/>
          <w:lang w:bidi="en-US"/>
        </w:rPr>
        <w:t>10.5.1</w:t>
      </w:r>
      <w:r>
        <w:rPr>
          <w:rFonts w:hint="eastAsia" w:ascii="宋体" w:hAnsi="宋体" w:cs="宋体"/>
          <w:color w:val="000000"/>
          <w:szCs w:val="21"/>
          <w:lang w:val="zh-TW" w:eastAsia="zh-TW" w:bidi="zh-TW"/>
        </w:rPr>
        <w:t>款重新进行试验，仍未能通过该项试验时，承包 人应自费继续修补缺陷，并在发包人的组织领导下，按</w:t>
      </w:r>
      <w:r>
        <w:rPr>
          <w:rFonts w:hint="eastAsia" w:ascii="宋体" w:hAnsi="宋体" w:cs="宋体"/>
          <w:b/>
          <w:bCs/>
          <w:color w:val="000000"/>
          <w:szCs w:val="21"/>
          <w:lang w:bidi="en-US"/>
        </w:rPr>
        <w:t>10.2.3</w:t>
      </w:r>
      <w:r>
        <w:rPr>
          <w:rFonts w:hint="eastAsia" w:ascii="宋体" w:hAnsi="宋体" w:cs="宋体"/>
          <w:color w:val="000000"/>
          <w:szCs w:val="21"/>
          <w:lang w:val="zh-TW" w:eastAsia="zh-TW" w:bidi="zh-TW"/>
        </w:rPr>
        <w:t>款约定的试验程序、 试验条件，再次指导发包人进行此项试验。</w:t>
      </w:r>
    </w:p>
    <w:p w14:paraId="17C3FF3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10.5.3</w:t>
      </w:r>
      <w:r>
        <w:rPr>
          <w:rFonts w:hint="eastAsia" w:ascii="宋体" w:hAnsi="宋体" w:cs="宋体"/>
          <w:color w:val="000000"/>
          <w:szCs w:val="21"/>
          <w:lang w:val="zh-TW" w:eastAsia="zh-TW" w:bidi="zh-TW"/>
        </w:rPr>
        <w:t>因承包人原因，重新进行竣工后试验，给发包人增加了额外费用时， 发包人有权根据</w:t>
      </w:r>
      <w:r>
        <w:rPr>
          <w:rFonts w:hint="eastAsia" w:ascii="宋体" w:hAnsi="宋体" w:cs="宋体"/>
          <w:b/>
          <w:bCs/>
          <w:color w:val="000000"/>
          <w:szCs w:val="21"/>
          <w:lang w:bidi="en-US"/>
        </w:rPr>
        <w:t>16.2.1</w:t>
      </w:r>
      <w:r>
        <w:rPr>
          <w:rFonts w:hint="eastAsia" w:ascii="宋体" w:hAnsi="宋体" w:cs="宋体"/>
          <w:color w:val="000000"/>
          <w:szCs w:val="21"/>
          <w:lang w:val="zh-TW" w:eastAsia="zh-TW" w:bidi="zh-TW"/>
        </w:rPr>
        <w:t>款的约定向承包人提出索赔。</w:t>
      </w:r>
    </w:p>
    <w:p w14:paraId="7F9FBC2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10.6</w:t>
      </w:r>
      <w:r>
        <w:rPr>
          <w:rFonts w:hint="eastAsia" w:ascii="宋体" w:hAnsi="宋体" w:cs="宋体"/>
          <w:color w:val="000000"/>
          <w:szCs w:val="21"/>
          <w:lang w:val="zh-TW" w:eastAsia="zh-TW" w:bidi="zh-TW"/>
        </w:rPr>
        <w:t>未能通过考核</w:t>
      </w:r>
    </w:p>
    <w:p w14:paraId="32061E95">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因承包人原因使工程和（或）单项工程未能通过考核，但尚具有生产功能、 使用功能时，按以下约定处理：</w:t>
      </w:r>
    </w:p>
    <w:p w14:paraId="6817E3E5">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未能通过试运行考核的赔偿</w:t>
      </w:r>
    </w:p>
    <w:p w14:paraId="7231C1CA">
      <w:pPr>
        <w:tabs>
          <w:tab w:val="left" w:pos="370"/>
        </w:tabs>
        <w:spacing w:line="360" w:lineRule="auto"/>
        <w:ind w:firstLine="422" w:firstLineChars="2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承包人提供的生产工艺技术或建筑设计方案未能通过试运行考核</w:t>
      </w:r>
      <w:r>
        <w:rPr>
          <w:rFonts w:hint="eastAsia" w:ascii="宋体" w:hAnsi="宋体" w:cs="宋体"/>
          <w:color w:val="000000"/>
          <w:szCs w:val="21"/>
          <w:lang w:val="zh-TW" w:eastAsia="zh-TW" w:bidi="zh-TW"/>
        </w:rPr>
        <w:br w:type="textWrapping"/>
      </w:r>
      <w:r>
        <w:rPr>
          <w:rFonts w:hint="eastAsia" w:ascii="宋体" w:hAnsi="宋体" w:cs="宋体"/>
          <w:color w:val="000000"/>
          <w:szCs w:val="21"/>
          <w:lang w:val="zh-TW" w:eastAsia="zh-TW" w:bidi="zh-TW"/>
        </w:rPr>
        <w:t>承包人提供的生产工艺技术和（或）建筑设计方案未能通过试运行考核时，</w:t>
      </w:r>
    </w:p>
    <w:p w14:paraId="687D3522">
      <w:pPr>
        <w:spacing w:line="360" w:lineRule="auto"/>
        <w:rPr>
          <w:rFonts w:hint="eastAsia" w:ascii="宋体" w:hAnsi="宋体" w:cs="宋体"/>
          <w:szCs w:val="21"/>
          <w:lang w:val="zh-TW" w:eastAsia="zh-TW" w:bidi="zh-TW"/>
        </w:rPr>
      </w:pPr>
      <w:r>
        <w:rPr>
          <w:rFonts w:hint="eastAsia" w:ascii="宋体" w:hAnsi="宋体" w:cs="宋体"/>
          <w:color w:val="000000"/>
          <w:szCs w:val="21"/>
          <w:lang w:val="zh-TW" w:eastAsia="zh-TW" w:bidi="zh-TW"/>
        </w:rPr>
        <w:t>承包人在根据</w:t>
      </w:r>
      <w:r>
        <w:rPr>
          <w:rFonts w:hint="eastAsia" w:ascii="宋体" w:hAnsi="宋体" w:cs="宋体"/>
          <w:b/>
          <w:bCs/>
          <w:color w:val="000000"/>
          <w:szCs w:val="21"/>
          <w:lang w:bidi="en-US"/>
        </w:rPr>
        <w:t>5.1.1</w:t>
      </w:r>
      <w:r>
        <w:rPr>
          <w:rFonts w:hint="eastAsia" w:ascii="宋体" w:hAnsi="宋体" w:cs="宋体"/>
          <w:color w:val="000000"/>
          <w:szCs w:val="21"/>
          <w:lang w:val="zh-TW" w:eastAsia="zh-TW" w:bidi="zh-TW"/>
        </w:rPr>
        <w:t>款专用条款约定的工程和（或）单项工程试运行考核保证值 和（或）使用功能保证的说明书，并按照在本项专用条款中约定的未能通过试运 行考核的赔偿金额、或赔偿计算公式计算的金额，向发包人支付相应赔偿金额后， 视为承包人通过了试运行考核。</w:t>
      </w:r>
    </w:p>
    <w:p w14:paraId="37C2AE8E">
      <w:pPr>
        <w:tabs>
          <w:tab w:val="left" w:pos="686"/>
        </w:tabs>
        <w:spacing w:line="360" w:lineRule="auto"/>
        <w:ind w:firstLine="44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发包人提供的生产工艺技术或建筑设计方案未能通过试运行考核</w:t>
      </w:r>
    </w:p>
    <w:p w14:paraId="20A14F7A">
      <w:pPr>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发包人提供的生产工艺技术和（或）建筑设计方案未能通过试运行考核时， 承包人根据</w:t>
      </w:r>
      <w:r>
        <w:rPr>
          <w:rFonts w:hint="eastAsia" w:ascii="宋体" w:hAnsi="宋体" w:cs="宋体"/>
          <w:b/>
          <w:bCs/>
          <w:color w:val="000000"/>
          <w:szCs w:val="21"/>
          <w:lang w:bidi="en-US"/>
        </w:rPr>
        <w:t>5.1.2</w:t>
      </w:r>
      <w:r>
        <w:rPr>
          <w:rFonts w:hint="eastAsia" w:ascii="宋体" w:hAnsi="宋体" w:cs="宋体"/>
          <w:color w:val="000000"/>
          <w:szCs w:val="21"/>
          <w:lang w:val="zh-TW" w:eastAsia="zh-TW" w:bidi="zh-TW"/>
        </w:rPr>
        <w:t>款专用条款约定的工程和（或）单项工程试运行考核中应由承 包人承担的相关责任，并按照在本项专用条款对相关责任约定的赔偿金额、或赔 偿公式计算的金额，向发包人支付相应赔偿金额后，视为承包人通过了试运行考 核。</w:t>
      </w:r>
    </w:p>
    <w:p w14:paraId="53FF614B">
      <w:pPr>
        <w:tabs>
          <w:tab w:val="left" w:pos="3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承包人对未能通过试运行考核的工程和（或）单项工程，若提出自费 调査、调整和修正并被发包人接受时，双方可商定相应的调查、修正和试验期限， 发包人应为此提供方便。在通过该项考核之前，发包人可暂不按</w:t>
      </w:r>
      <w:r>
        <w:rPr>
          <w:rFonts w:hint="eastAsia" w:ascii="宋体" w:hAnsi="宋体" w:cs="宋体"/>
          <w:b/>
          <w:bCs/>
          <w:color w:val="000000"/>
          <w:szCs w:val="21"/>
          <w:lang w:bidi="en-US"/>
        </w:rPr>
        <w:t>10.6</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 xml:space="preserve">（1） </w:t>
      </w:r>
      <w:r>
        <w:rPr>
          <w:rFonts w:hint="eastAsia" w:ascii="宋体" w:hAnsi="宋体" w:cs="宋体"/>
          <w:color w:val="000000"/>
          <w:szCs w:val="21"/>
          <w:lang w:val="zh-TW" w:eastAsia="zh-TW" w:bidi="zh-TW"/>
        </w:rPr>
        <w:t>项约定提出赔偿。</w:t>
      </w:r>
    </w:p>
    <w:p w14:paraId="5F8A4A18">
      <w:pPr>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发包人接受了本款第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项约定，但在商定的期限内发包人未能给承 包人提供方便，致使承包人无法在约定期限内进行调査、调整和修正的，视为该 项试运行考核已被通过。</w:t>
      </w:r>
    </w:p>
    <w:p w14:paraId="3716E65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10.7</w:t>
      </w:r>
      <w:r>
        <w:rPr>
          <w:rFonts w:hint="eastAsia" w:ascii="宋体" w:hAnsi="宋体" w:cs="宋体"/>
          <w:color w:val="000000"/>
          <w:szCs w:val="21"/>
          <w:lang w:val="zh-TW" w:eastAsia="zh-TW" w:bidi="zh-TW"/>
        </w:rPr>
        <w:t>竣工后试验及考核验收证书</w:t>
      </w:r>
    </w:p>
    <w:p w14:paraId="1A14622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10.7.1</w:t>
      </w:r>
      <w:r>
        <w:rPr>
          <w:rFonts w:hint="eastAsia" w:ascii="宋体" w:hAnsi="宋体" w:cs="宋体"/>
          <w:color w:val="000000"/>
          <w:szCs w:val="21"/>
          <w:lang w:val="zh-TW" w:eastAsia="zh-TW" w:bidi="zh-TW"/>
        </w:rPr>
        <w:t>在专用条款中约定按工程和（或）按单项工程颁发竣工后试验及考 核验收证书。</w:t>
      </w:r>
    </w:p>
    <w:p w14:paraId="0BB4FFF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10.7.2</w:t>
      </w:r>
      <w:r>
        <w:rPr>
          <w:rFonts w:hint="eastAsia" w:ascii="宋体" w:hAnsi="宋体" w:cs="宋体"/>
          <w:color w:val="000000"/>
          <w:szCs w:val="21"/>
          <w:lang w:val="zh-TW" w:eastAsia="zh-TW" w:bidi="zh-TW"/>
        </w:rPr>
        <w:t>发包人根据</w:t>
      </w:r>
      <w:r>
        <w:rPr>
          <w:rFonts w:hint="eastAsia" w:ascii="宋体" w:hAnsi="宋体" w:cs="宋体"/>
          <w:b/>
          <w:bCs/>
          <w:color w:val="000000"/>
          <w:szCs w:val="21"/>
          <w:lang w:bidi="en-US"/>
        </w:rPr>
        <w:t>10.3</w:t>
      </w:r>
      <w:r>
        <w:rPr>
          <w:rFonts w:hint="eastAsia" w:ascii="宋体" w:hAnsi="宋体" w:cs="宋体"/>
          <w:color w:val="000000"/>
          <w:szCs w:val="21"/>
          <w:lang w:val="zh-TW" w:eastAsia="zh-TW" w:bidi="zh-TW"/>
        </w:rPr>
        <w:t>款、</w:t>
      </w:r>
      <w:r>
        <w:rPr>
          <w:rFonts w:hint="eastAsia" w:ascii="宋体" w:hAnsi="宋体" w:cs="宋体"/>
          <w:b/>
          <w:bCs/>
          <w:color w:val="000000"/>
          <w:szCs w:val="21"/>
          <w:lang w:bidi="en-US"/>
        </w:rPr>
        <w:t>10.4</w:t>
      </w:r>
      <w:r>
        <w:rPr>
          <w:rFonts w:hint="eastAsia" w:ascii="宋体" w:hAnsi="宋体" w:cs="宋体"/>
          <w:color w:val="000000"/>
          <w:szCs w:val="21"/>
          <w:lang w:val="zh-TW" w:eastAsia="zh-TW" w:bidi="zh-TW"/>
        </w:rPr>
        <w:t>款、</w:t>
      </w:r>
      <w:r>
        <w:rPr>
          <w:rFonts w:hint="eastAsia" w:ascii="宋体" w:hAnsi="宋体" w:cs="宋体"/>
          <w:b/>
          <w:bCs/>
          <w:color w:val="000000"/>
          <w:szCs w:val="21"/>
          <w:lang w:bidi="en-US"/>
        </w:rPr>
        <w:t>10.5.1</w:t>
      </w:r>
      <w:r>
        <w:rPr>
          <w:rFonts w:hint="eastAsia" w:ascii="宋体" w:hAnsi="宋体" w:cs="宋体"/>
          <w:color w:val="000000"/>
          <w:szCs w:val="21"/>
          <w:lang w:val="zh-TW" w:eastAsia="zh-TW" w:bidi="zh-TW"/>
        </w:rPr>
        <w:t>款、</w:t>
      </w:r>
      <w:r>
        <w:rPr>
          <w:rFonts w:hint="eastAsia" w:ascii="宋体" w:hAnsi="宋体" w:cs="宋体"/>
          <w:b/>
          <w:bCs/>
          <w:color w:val="000000"/>
          <w:szCs w:val="21"/>
          <w:lang w:bidi="en-US"/>
        </w:rPr>
        <w:t>10.5.2</w:t>
      </w:r>
      <w:r>
        <w:rPr>
          <w:rFonts w:hint="eastAsia" w:ascii="宋体" w:hAnsi="宋体" w:cs="宋体"/>
          <w:color w:val="000000"/>
          <w:szCs w:val="21"/>
          <w:lang w:val="zh-TW" w:eastAsia="zh-TW" w:bidi="zh-TW"/>
        </w:rPr>
        <w:t>款及</w:t>
      </w:r>
      <w:r>
        <w:rPr>
          <w:rFonts w:hint="eastAsia" w:ascii="宋体" w:hAnsi="宋体" w:cs="宋体"/>
          <w:b/>
          <w:bCs/>
          <w:color w:val="000000"/>
          <w:szCs w:val="21"/>
          <w:lang w:bidi="en-US"/>
        </w:rPr>
        <w:t>10.6</w:t>
      </w:r>
      <w:r>
        <w:rPr>
          <w:rFonts w:hint="eastAsia" w:ascii="宋体" w:hAnsi="宋体" w:cs="宋体"/>
          <w:color w:val="000000"/>
          <w:szCs w:val="21"/>
          <w:lang w:val="zh-TW" w:eastAsia="zh-TW" w:bidi="zh-TW"/>
        </w:rPr>
        <w:t>款的约定 对通过或视为通过竣工后试验和（或）试运行考核的，应按</w:t>
      </w:r>
      <w:r>
        <w:rPr>
          <w:rFonts w:hint="eastAsia" w:ascii="宋体" w:hAnsi="宋体" w:cs="宋体"/>
          <w:b/>
          <w:bCs/>
          <w:color w:val="000000"/>
          <w:szCs w:val="21"/>
          <w:lang w:bidi="en-US"/>
        </w:rPr>
        <w:t>10.7.1</w:t>
      </w:r>
      <w:r>
        <w:rPr>
          <w:rFonts w:hint="eastAsia" w:ascii="宋体" w:hAnsi="宋体" w:cs="宋体"/>
          <w:color w:val="000000"/>
          <w:szCs w:val="21"/>
          <w:lang w:val="zh-TW" w:eastAsia="zh-TW" w:bidi="zh-TW"/>
        </w:rPr>
        <w:t>款颁发竣工后 试验及考核验收证书。该证书中写明的试运行考核通过的日期和时间，为实际完 成考核或视为通过试运行考核的日期和时间。</w:t>
      </w:r>
    </w:p>
    <w:p w14:paraId="4A6433E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10.8</w:t>
      </w:r>
      <w:r>
        <w:rPr>
          <w:rFonts w:hint="eastAsia" w:ascii="宋体" w:hAnsi="宋体" w:cs="宋体"/>
          <w:color w:val="000000"/>
          <w:szCs w:val="21"/>
          <w:lang w:val="zh-TW" w:eastAsia="zh-TW" w:bidi="zh-TW"/>
        </w:rPr>
        <w:t>丧失了生产价值和使用价值</w:t>
      </w:r>
    </w:p>
    <w:p w14:paraId="7F0A541B">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因承包人的原因，工程和（或）单项工程未能通过竣工后试验，并使整个工 程丧失了生产价值或使用价值时，发包人有权提出未能履约的索赔，并扣罚已提 交的履约保函。但发包人不得将本合同以外的连带合同损失包括在未履约索赔之 中。</w:t>
      </w:r>
    </w:p>
    <w:p w14:paraId="2CCBAFC1">
      <w:pPr>
        <w:spacing w:after="18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连带合同损失指市场销售合同损失、市场预计盈利、生产流动资金贷款利息、 竣工后试验及试运行考核周期以外所签订的原材料、辅助材料、电力、水、燃料 等供应合同损失，以及运输合同等损失，适用法律另有规定时除外。</w:t>
      </w:r>
    </w:p>
    <w:p w14:paraId="0D285605">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第11条质量保修责任</w:t>
      </w:r>
    </w:p>
    <w:p w14:paraId="43619C3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w:t>
      </w:r>
      <w:r>
        <w:rPr>
          <w:rFonts w:hint="eastAsia" w:ascii="宋体" w:hAnsi="宋体" w:cs="宋体"/>
          <w:color w:val="000000"/>
          <w:szCs w:val="21"/>
          <w:lang w:val="zh-TW" w:eastAsia="zh-TW" w:bidi="zh-TW"/>
        </w:rPr>
        <w:t>质量保修责任书</w:t>
      </w:r>
    </w:p>
    <w:p w14:paraId="6FC73A6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11.1.1</w:t>
      </w:r>
      <w:r>
        <w:rPr>
          <w:rFonts w:hint="eastAsia" w:ascii="宋体" w:hAnsi="宋体" w:cs="宋体"/>
          <w:color w:val="000000"/>
          <w:szCs w:val="21"/>
          <w:lang w:val="zh-TW" w:eastAsia="zh-TW" w:bidi="zh-TW"/>
        </w:rPr>
        <w:t>质量保修责任书</w:t>
      </w:r>
    </w:p>
    <w:p w14:paraId="44B069DB">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按照相关法律规定签订质量保修责任书是竣工验收的条件之一。双方应按法 律规定的保修内容、范围、期限和责任，签订质量保修责任书，作为本合同附件。 </w:t>
      </w:r>
      <w:r>
        <w:rPr>
          <w:rFonts w:hint="eastAsia" w:ascii="宋体" w:hAnsi="宋体" w:cs="宋体"/>
          <w:b/>
          <w:bCs/>
          <w:color w:val="000000"/>
          <w:szCs w:val="21"/>
          <w:lang w:bidi="en-US"/>
        </w:rPr>
        <w:t>9.2.1</w:t>
      </w:r>
      <w:r>
        <w:rPr>
          <w:rFonts w:hint="eastAsia" w:ascii="宋体" w:hAnsi="宋体" w:cs="宋体"/>
          <w:color w:val="000000"/>
          <w:szCs w:val="21"/>
          <w:lang w:val="zh-TW" w:eastAsia="zh-TW" w:bidi="zh-TW"/>
        </w:rPr>
        <w:t>款接收证书中写明的单项工程和（或）工程的接收日期，或单项工程和（或） 工程视为被接收的日期，是承包人保修责任开始的日期，也是缺陷责任期的开始 日期。</w:t>
      </w:r>
    </w:p>
    <w:p w14:paraId="50734CE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11.1.2</w:t>
      </w:r>
      <w:r>
        <w:rPr>
          <w:rFonts w:hint="eastAsia" w:ascii="宋体" w:hAnsi="宋体" w:cs="宋体"/>
          <w:color w:val="000000"/>
          <w:szCs w:val="21"/>
          <w:lang w:val="zh-TW" w:eastAsia="zh-TW" w:bidi="zh-TW"/>
        </w:rPr>
        <w:t>未提交质量保修责任书</w:t>
      </w:r>
    </w:p>
    <w:p w14:paraId="6A484B5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承包人未能提交质量保修责任书、无正当理由不与发包人签订质量保修责任 书，发包人可不与承包人办理竣工结算，不承担尚未支付的竣工结算款项的相应 利息，即使合同已约定延期支付利息。</w:t>
      </w:r>
    </w:p>
    <w:p w14:paraId="65BC5966">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如承包人提交了质量保修责任书，提请与发包人签订该责任书并在合同中约 定了延期付款利息，但因发包人原因未能及时签署质量保修责任书，发包人应从 接到该责任书的第</w:t>
      </w:r>
      <w:r>
        <w:rPr>
          <w:rFonts w:hint="eastAsia" w:ascii="宋体" w:hAnsi="宋体" w:cs="宋体"/>
          <w:b/>
          <w:bCs/>
          <w:color w:val="000000"/>
          <w:szCs w:val="21"/>
          <w:lang w:val="zh-TW" w:eastAsia="zh-TW" w:bidi="zh-TW"/>
        </w:rPr>
        <w:t>11</w:t>
      </w:r>
      <w:r>
        <w:rPr>
          <w:rFonts w:hint="eastAsia" w:ascii="宋体" w:hAnsi="宋体" w:cs="宋体"/>
          <w:color w:val="000000"/>
          <w:szCs w:val="21"/>
          <w:lang w:val="zh-TW" w:eastAsia="zh-TW" w:bidi="zh-TW"/>
        </w:rPr>
        <w:t>日起承担竣工结算款项延期支付的利息。</w:t>
      </w:r>
    </w:p>
    <w:p w14:paraId="4A98971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w:t>
      </w:r>
      <w:r>
        <w:rPr>
          <w:rFonts w:hint="eastAsia" w:ascii="宋体" w:hAnsi="宋体" w:cs="宋体"/>
          <w:color w:val="000000"/>
          <w:szCs w:val="21"/>
          <w:lang w:val="zh-TW" w:eastAsia="zh-TW" w:bidi="zh-TW"/>
        </w:rPr>
        <w:t>缺陷责任保修金</w:t>
      </w:r>
    </w:p>
    <w:p w14:paraId="13203C0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11.2.1</w:t>
      </w:r>
      <w:r>
        <w:rPr>
          <w:rFonts w:hint="eastAsia" w:ascii="宋体" w:hAnsi="宋体" w:cs="宋体"/>
          <w:color w:val="000000"/>
          <w:szCs w:val="21"/>
          <w:lang w:val="zh-TW" w:eastAsia="zh-TW" w:bidi="zh-TW"/>
        </w:rPr>
        <w:t>缺陷责任保修金金额</w:t>
      </w:r>
    </w:p>
    <w:p w14:paraId="55038A6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缺陷责任保修金的金额，在专用条款中约定。</w:t>
      </w:r>
    </w:p>
    <w:p w14:paraId="4815B97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11.2.2</w:t>
      </w:r>
      <w:r>
        <w:rPr>
          <w:rFonts w:hint="eastAsia" w:ascii="宋体" w:hAnsi="宋体" w:cs="宋体"/>
          <w:color w:val="000000"/>
          <w:szCs w:val="21"/>
          <w:lang w:val="zh-TW" w:eastAsia="zh-TW" w:bidi="zh-TW"/>
        </w:rPr>
        <w:t>缺陷责任保修金的暂扣</w:t>
      </w:r>
    </w:p>
    <w:p w14:paraId="67AF167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缺陷责任保修金的暂扣方式，在专用条款中约定。</w:t>
      </w:r>
    </w:p>
    <w:p w14:paraId="4FA5053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11.2.3</w:t>
      </w:r>
      <w:r>
        <w:rPr>
          <w:rFonts w:hint="eastAsia" w:ascii="宋体" w:hAnsi="宋体" w:cs="宋体"/>
          <w:color w:val="000000"/>
          <w:szCs w:val="21"/>
          <w:lang w:val="zh-TW" w:eastAsia="zh-TW" w:bidi="zh-TW"/>
        </w:rPr>
        <w:t>缺陷责任保修金的支付</w:t>
      </w:r>
    </w:p>
    <w:p w14:paraId="187FA4DE">
      <w:pPr>
        <w:spacing w:after="1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发包人应依据第</w:t>
      </w:r>
      <w:r>
        <w:rPr>
          <w:rFonts w:hint="eastAsia" w:ascii="宋体" w:hAnsi="宋体" w:cs="宋体"/>
          <w:b/>
          <w:bCs/>
          <w:color w:val="000000"/>
          <w:szCs w:val="21"/>
          <w:lang w:bidi="en-US"/>
        </w:rPr>
        <w:t>14.5.2</w:t>
      </w:r>
      <w:r>
        <w:rPr>
          <w:rFonts w:hint="eastAsia" w:ascii="宋体" w:hAnsi="宋体" w:cs="宋体"/>
          <w:color w:val="000000"/>
          <w:szCs w:val="21"/>
          <w:lang w:val="zh-TW" w:eastAsia="zh-TW" w:bidi="zh-TW"/>
        </w:rPr>
        <w:t>款缺陷责任保修金支付的约定，支付被暂扣的缺陷责 任保修金。</w:t>
      </w:r>
    </w:p>
    <w:p w14:paraId="16BCAB90">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第12条工程竣工验收</w:t>
      </w:r>
    </w:p>
    <w:p w14:paraId="78BA7A1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12.1</w:t>
      </w:r>
      <w:r>
        <w:rPr>
          <w:rFonts w:hint="eastAsia" w:ascii="宋体" w:hAnsi="宋体" w:cs="宋体"/>
          <w:color w:val="000000"/>
          <w:szCs w:val="21"/>
          <w:lang w:val="zh-TW" w:eastAsia="zh-TW" w:bidi="zh-TW"/>
        </w:rPr>
        <w:t>竣工验收报告及完整的竣工资料</w:t>
      </w:r>
    </w:p>
    <w:p w14:paraId="60EB7F41">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12.1.1</w:t>
      </w:r>
      <w:r>
        <w:rPr>
          <w:rFonts w:hint="eastAsia" w:ascii="宋体" w:hAnsi="宋体" w:cs="宋体"/>
          <w:color w:val="000000"/>
          <w:szCs w:val="21"/>
          <w:lang w:val="zh-TW" w:eastAsia="zh-TW" w:bidi="zh-TW"/>
        </w:rPr>
        <w:t>工程符合</w:t>
      </w:r>
      <w:r>
        <w:rPr>
          <w:rFonts w:hint="eastAsia" w:ascii="宋体" w:hAnsi="宋体" w:cs="宋体"/>
          <w:b/>
          <w:bCs/>
          <w:color w:val="000000"/>
          <w:szCs w:val="21"/>
          <w:lang w:bidi="en-US"/>
        </w:rPr>
        <w:t>9.1</w:t>
      </w:r>
      <w:r>
        <w:rPr>
          <w:rFonts w:hint="eastAsia" w:ascii="宋体" w:hAnsi="宋体" w:cs="宋体"/>
          <w:color w:val="000000"/>
          <w:szCs w:val="21"/>
          <w:lang w:val="zh-TW" w:eastAsia="zh-TW" w:bidi="zh-TW"/>
        </w:rPr>
        <w:t>款工程接收的相关约定，和（或）发包人已按</w:t>
      </w:r>
      <w:r>
        <w:rPr>
          <w:rFonts w:hint="eastAsia" w:ascii="宋体" w:hAnsi="宋体" w:cs="宋体"/>
          <w:b/>
          <w:bCs/>
          <w:color w:val="000000"/>
          <w:szCs w:val="21"/>
          <w:lang w:bidi="en-US"/>
        </w:rPr>
        <w:t>10.7</w:t>
      </w:r>
      <w:r>
        <w:rPr>
          <w:rFonts w:hint="eastAsia" w:ascii="宋体" w:hAnsi="宋体" w:cs="宋体"/>
          <w:color w:val="000000"/>
          <w:szCs w:val="21"/>
          <w:lang w:val="zh-TW" w:eastAsia="zh-TW" w:bidi="zh-TW"/>
        </w:rPr>
        <w:t xml:space="preserve">款 的约定颁发了竣工后试验及考核验收证书，且承包人完成了 </w:t>
      </w:r>
      <w:r>
        <w:rPr>
          <w:rFonts w:hint="eastAsia" w:ascii="宋体" w:hAnsi="宋体" w:cs="宋体"/>
          <w:b/>
          <w:bCs/>
          <w:color w:val="000000"/>
          <w:szCs w:val="21"/>
          <w:lang w:bidi="en-US"/>
        </w:rPr>
        <w:t>9.2.2</w:t>
      </w:r>
      <w:r>
        <w:rPr>
          <w:rFonts w:hint="eastAsia" w:ascii="宋体" w:hAnsi="宋体" w:cs="宋体"/>
          <w:color w:val="000000"/>
          <w:szCs w:val="21"/>
          <w:lang w:val="zh-TW" w:eastAsia="zh-TW" w:bidi="zh-TW"/>
        </w:rPr>
        <w:t>款约定的扫尾 工程和缺陷修复，经发包人或监理人验收后，承包人应依据</w:t>
      </w:r>
      <w:r>
        <w:rPr>
          <w:rFonts w:hint="eastAsia" w:ascii="宋体" w:hAnsi="宋体" w:cs="宋体"/>
          <w:b/>
          <w:bCs/>
          <w:color w:val="000000"/>
          <w:szCs w:val="21"/>
          <w:lang w:val="zh-TW" w:eastAsia="zh-TW" w:bidi="zh-TW"/>
        </w:rPr>
        <w:t>8</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款</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w:t>
      </w:r>
      <w:r>
        <w:rPr>
          <w:rFonts w:hint="eastAsia" w:ascii="宋体" w:hAnsi="宋体" w:cs="宋体"/>
          <w:b/>
          <w:bCs/>
          <w:color w:val="000000"/>
          <w:szCs w:val="21"/>
          <w:lang w:bidi="en-US"/>
        </w:rPr>
        <w:t>8.2</w:t>
      </w:r>
      <w:r>
        <w:rPr>
          <w:rFonts w:hint="eastAsia" w:ascii="宋体" w:hAnsi="宋体" w:cs="宋体"/>
          <w:color w:val="000000"/>
          <w:szCs w:val="21"/>
          <w:lang w:val="zh-TW" w:eastAsia="zh-TW" w:bidi="zh-TW"/>
        </w:rPr>
        <w:t>款竣工试验的检验与验收、</w:t>
      </w: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项竣工后试验及其试 运行考核结果等资料，向发包人提交竣工验收报告和完整的工程竣工资料。竣工 验收报告和完整的竣工资料的格式、内容和份数在专用条款约定。</w:t>
      </w:r>
    </w:p>
    <w:p w14:paraId="0FBE93B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12.1.2</w:t>
      </w:r>
      <w:r>
        <w:rPr>
          <w:rFonts w:hint="eastAsia" w:ascii="宋体" w:hAnsi="宋体" w:cs="宋体"/>
          <w:color w:val="000000"/>
          <w:szCs w:val="21"/>
          <w:lang w:val="zh-TW" w:eastAsia="zh-TW" w:bidi="zh-TW"/>
        </w:rPr>
        <w:t>发包人应在接到竣工验收报告和完整的竣工资料后</w:t>
      </w:r>
      <w:r>
        <w:rPr>
          <w:rFonts w:hint="eastAsia" w:ascii="宋体" w:hAnsi="宋体" w:cs="宋体"/>
          <w:b/>
          <w:bCs/>
          <w:color w:val="000000"/>
          <w:szCs w:val="21"/>
          <w:lang w:val="zh-TW" w:eastAsia="zh-TW" w:bidi="zh-TW"/>
        </w:rPr>
        <w:t>25</w:t>
      </w:r>
      <w:r>
        <w:rPr>
          <w:rFonts w:hint="eastAsia" w:ascii="宋体" w:hAnsi="宋体" w:cs="宋体"/>
          <w:color w:val="000000"/>
          <w:szCs w:val="21"/>
          <w:lang w:val="zh-TW" w:eastAsia="zh-TW" w:bidi="zh-TW"/>
        </w:rPr>
        <w:t>日内提出修 改意见或予以确认，承包人应按照发包人的意见自费对竣工验收报告和竣工资料 进行修改。</w:t>
      </w:r>
      <w:r>
        <w:rPr>
          <w:rFonts w:hint="eastAsia" w:ascii="宋体" w:hAnsi="宋体" w:cs="宋体"/>
          <w:b/>
          <w:bCs/>
          <w:color w:val="000000"/>
          <w:szCs w:val="21"/>
          <w:lang w:val="zh-TW" w:eastAsia="zh-TW" w:bidi="zh-TW"/>
        </w:rPr>
        <w:t>25</w:t>
      </w:r>
      <w:r>
        <w:rPr>
          <w:rFonts w:hint="eastAsia" w:ascii="宋体" w:hAnsi="宋体" w:cs="宋体"/>
          <w:color w:val="000000"/>
          <w:szCs w:val="21"/>
          <w:lang w:val="zh-TW" w:eastAsia="zh-TW" w:bidi="zh-TW"/>
        </w:rPr>
        <w:t>日内发包人未提出修改意见，视为竣工资料和竣工验收报告已被 确认。</w:t>
      </w:r>
    </w:p>
    <w:p w14:paraId="6D6BB5A3">
      <w:pPr>
        <w:spacing w:after="10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12.1.3</w:t>
      </w:r>
      <w:r>
        <w:rPr>
          <w:rFonts w:hint="eastAsia" w:ascii="宋体" w:hAnsi="宋体" w:cs="宋体"/>
          <w:color w:val="000000"/>
          <w:szCs w:val="21"/>
          <w:lang w:val="zh-TW" w:eastAsia="zh-TW" w:bidi="zh-TW"/>
        </w:rPr>
        <w:t>分期建设、分期投产或分期使用的工程，按</w:t>
      </w:r>
      <w:r>
        <w:rPr>
          <w:rFonts w:hint="eastAsia" w:ascii="宋体" w:hAnsi="宋体" w:cs="宋体"/>
          <w:b/>
          <w:bCs/>
          <w:color w:val="000000"/>
          <w:szCs w:val="21"/>
          <w:lang w:bidi="en-US"/>
        </w:rPr>
        <w:t>12.1.1</w:t>
      </w:r>
      <w:r>
        <w:rPr>
          <w:rFonts w:hint="eastAsia" w:ascii="宋体" w:hAnsi="宋体" w:cs="宋体"/>
          <w:color w:val="000000"/>
          <w:szCs w:val="21"/>
          <w:lang w:val="zh-TW" w:eastAsia="zh-TW" w:bidi="zh-TW"/>
        </w:rPr>
        <w:t>款及</w:t>
      </w:r>
      <w:r>
        <w:rPr>
          <w:rFonts w:hint="eastAsia" w:ascii="宋体" w:hAnsi="宋体" w:cs="宋体"/>
          <w:b/>
          <w:bCs/>
          <w:color w:val="000000"/>
          <w:szCs w:val="21"/>
          <w:lang w:bidi="en-US"/>
        </w:rPr>
        <w:t>12.1.2</w:t>
      </w:r>
      <w:r>
        <w:rPr>
          <w:rFonts w:hint="eastAsia" w:ascii="宋体" w:hAnsi="宋体" w:cs="宋体"/>
          <w:color w:val="000000"/>
          <w:szCs w:val="21"/>
          <w:lang w:val="zh-TW" w:eastAsia="zh-TW" w:bidi="zh-TW"/>
        </w:rPr>
        <w:t>款的 约定办理。</w:t>
      </w:r>
    </w:p>
    <w:p w14:paraId="1A7C60A0">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12.2竣工验收</w:t>
      </w:r>
    </w:p>
    <w:p w14:paraId="1CF83FC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12.2.1</w:t>
      </w:r>
      <w:r>
        <w:rPr>
          <w:rFonts w:hint="eastAsia" w:ascii="宋体" w:hAnsi="宋体" w:cs="宋体"/>
          <w:color w:val="000000"/>
          <w:szCs w:val="21"/>
          <w:lang w:val="zh-TW" w:eastAsia="zh-TW" w:bidi="zh-TW"/>
        </w:rPr>
        <w:t>组织竣工验收</w:t>
      </w:r>
    </w:p>
    <w:p w14:paraId="2FA4B3F5">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发包人应在接到竣工验收报告和完整的竣工资料，并根据</w:t>
      </w:r>
      <w:r>
        <w:rPr>
          <w:rFonts w:hint="eastAsia" w:ascii="宋体" w:hAnsi="宋体" w:cs="宋体"/>
          <w:b/>
          <w:bCs/>
          <w:color w:val="000000"/>
          <w:szCs w:val="21"/>
          <w:lang w:val="zh-TW" w:eastAsia="zh-TW" w:bidi="zh-TW"/>
        </w:rPr>
        <w:t>12</w:t>
      </w:r>
      <w:r>
        <w:rPr>
          <w:rFonts w:hint="eastAsia" w:ascii="宋体" w:hAnsi="宋体" w:cs="宋体"/>
          <w:b/>
          <w:bCs/>
          <w:color w:val="000000"/>
          <w:szCs w:val="21"/>
          <w:lang w:bidi="zh-TW"/>
        </w:rPr>
        <w:t>.</w:t>
      </w:r>
      <w:r>
        <w:rPr>
          <w:rFonts w:hint="eastAsia" w:ascii="宋体" w:hAnsi="宋体" w:cs="宋体"/>
          <w:b/>
          <w:bCs/>
          <w:color w:val="000000"/>
          <w:szCs w:val="21"/>
          <w:lang w:bidi="en-US"/>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款的约定被 确认后的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日内，组织竣工验收。</w:t>
      </w:r>
    </w:p>
    <w:p w14:paraId="4957F45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12.2.2</w:t>
      </w:r>
      <w:r>
        <w:rPr>
          <w:rFonts w:hint="eastAsia" w:ascii="宋体" w:hAnsi="宋体" w:cs="宋体"/>
          <w:color w:val="000000"/>
          <w:szCs w:val="21"/>
          <w:lang w:val="zh-TW" w:eastAsia="zh-TW" w:bidi="zh-TW"/>
        </w:rPr>
        <w:t>延后组织的竣工验收</w:t>
      </w:r>
    </w:p>
    <w:p w14:paraId="45DFEF54">
      <w:pPr>
        <w:spacing w:line="360" w:lineRule="auto"/>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发包人未能根据</w:t>
      </w:r>
      <w:r>
        <w:rPr>
          <w:rFonts w:hint="eastAsia" w:ascii="宋体" w:hAnsi="宋体" w:cs="宋体"/>
          <w:b/>
          <w:bCs/>
          <w:color w:val="000000"/>
          <w:szCs w:val="21"/>
          <w:lang w:val="zh-TW" w:eastAsia="zh-TW" w:bidi="zh-TW"/>
        </w:rPr>
        <w:t>1221</w:t>
      </w:r>
      <w:r>
        <w:rPr>
          <w:rFonts w:hint="eastAsia" w:ascii="宋体" w:hAnsi="宋体" w:cs="宋体"/>
          <w:color w:val="000000"/>
          <w:szCs w:val="21"/>
          <w:lang w:val="zh-TW" w:eastAsia="zh-TW" w:bidi="zh-TW"/>
        </w:rPr>
        <w:t>款的约定，在</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日内组织竣工验收时，应按照</w:t>
      </w:r>
      <w:r>
        <w:rPr>
          <w:rFonts w:hint="eastAsia" w:ascii="宋体" w:hAnsi="宋体" w:cs="宋体"/>
          <w:b/>
          <w:bCs/>
          <w:color w:val="000000"/>
          <w:szCs w:val="21"/>
          <w:lang w:bidi="en-US"/>
        </w:rPr>
        <w:t>14.12.1</w:t>
      </w:r>
      <w:r>
        <w:rPr>
          <w:rFonts w:hint="eastAsia" w:ascii="宋体" w:hAnsi="宋体" w:cs="宋体"/>
          <w:color w:val="000000"/>
          <w:szCs w:val="21"/>
          <w:lang w:val="zh-TW" w:eastAsia="zh-TW" w:bidi="zh-TW"/>
        </w:rPr>
        <w:t>至</w:t>
      </w:r>
      <w:r>
        <w:rPr>
          <w:rFonts w:hint="eastAsia" w:ascii="宋体" w:hAnsi="宋体" w:cs="宋体"/>
          <w:b/>
          <w:bCs/>
          <w:color w:val="000000"/>
          <w:szCs w:val="21"/>
          <w:lang w:bidi="en-US"/>
        </w:rPr>
        <w:t>14.12.3</w:t>
      </w:r>
      <w:r>
        <w:rPr>
          <w:rFonts w:hint="eastAsia" w:ascii="宋体" w:hAnsi="宋体" w:cs="宋体"/>
          <w:color w:val="000000"/>
          <w:szCs w:val="21"/>
          <w:lang w:val="zh-TW" w:eastAsia="zh-TW" w:bidi="zh-TW"/>
        </w:rPr>
        <w:t>款的约定，结清竣工结算的款项。</w:t>
      </w:r>
    </w:p>
    <w:p w14:paraId="40B1980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w:t>
      </w:r>
      <w:r>
        <w:rPr>
          <w:rFonts w:hint="eastAsia" w:ascii="宋体" w:hAnsi="宋体" w:cs="宋体"/>
          <w:b/>
          <w:bCs/>
          <w:color w:val="000000"/>
          <w:szCs w:val="21"/>
          <w:lang w:bidi="en-US"/>
        </w:rPr>
        <w:t>12.2.1</w:t>
      </w:r>
      <w:r>
        <w:rPr>
          <w:rFonts w:hint="eastAsia" w:ascii="宋体" w:hAnsi="宋体" w:cs="宋体"/>
          <w:color w:val="000000"/>
          <w:szCs w:val="21"/>
          <w:lang w:val="zh-TW" w:eastAsia="zh-TW" w:bidi="zh-TW"/>
        </w:rPr>
        <w:t>款约定的时间之后，发包人进行竣工验收时，承包人有义务参加。 发包人在验收后的</w:t>
      </w:r>
      <w:r>
        <w:rPr>
          <w:rFonts w:hint="eastAsia" w:ascii="宋体" w:hAnsi="宋体" w:cs="宋体"/>
          <w:b/>
          <w:bCs/>
          <w:color w:val="000000"/>
          <w:szCs w:val="21"/>
          <w:lang w:val="zh-TW" w:eastAsia="zh-TW" w:bidi="zh-TW"/>
        </w:rPr>
        <w:t>25</w:t>
      </w:r>
      <w:r>
        <w:rPr>
          <w:rFonts w:hint="eastAsia" w:ascii="宋体" w:hAnsi="宋体" w:cs="宋体"/>
          <w:color w:val="000000"/>
          <w:szCs w:val="21"/>
          <w:lang w:val="zh-TW" w:eastAsia="zh-TW" w:bidi="zh-TW"/>
        </w:rPr>
        <w:t>日内，对承包人的竣工验收报告或竣工资料提出的进一步 修改意见的，承包人应按照发包人的意见自费修改。</w:t>
      </w:r>
    </w:p>
    <w:p w14:paraId="2B1BFF2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12.2.3</w:t>
      </w:r>
      <w:r>
        <w:rPr>
          <w:rFonts w:hint="eastAsia" w:ascii="宋体" w:hAnsi="宋体" w:cs="宋体"/>
          <w:color w:val="000000"/>
          <w:szCs w:val="21"/>
          <w:lang w:val="zh-TW" w:eastAsia="zh-TW" w:bidi="zh-TW"/>
        </w:rPr>
        <w:t>分期竣工验收</w:t>
      </w:r>
    </w:p>
    <w:p w14:paraId="530FAF34">
      <w:pPr>
        <w:spacing w:after="1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分期建设、分期投产或分期使用的合同工程的竣工验收，按</w:t>
      </w:r>
      <w:r>
        <w:rPr>
          <w:rFonts w:hint="eastAsia" w:ascii="宋体" w:hAnsi="宋体" w:cs="宋体"/>
          <w:b/>
          <w:bCs/>
          <w:color w:val="000000"/>
          <w:szCs w:val="21"/>
          <w:lang w:bidi="en-US"/>
        </w:rPr>
        <w:t>12.1.3</w:t>
      </w:r>
      <w:r>
        <w:rPr>
          <w:rFonts w:hint="eastAsia" w:ascii="宋体" w:hAnsi="宋体" w:cs="宋体"/>
          <w:color w:val="000000"/>
          <w:szCs w:val="21"/>
          <w:lang w:val="zh-TW" w:eastAsia="zh-TW" w:bidi="zh-TW"/>
        </w:rPr>
        <w:t>款、</w:t>
      </w:r>
      <w:r>
        <w:rPr>
          <w:rFonts w:hint="eastAsia" w:ascii="宋体" w:hAnsi="宋体" w:cs="宋体"/>
          <w:b/>
          <w:bCs/>
          <w:color w:val="000000"/>
          <w:szCs w:val="21"/>
          <w:lang w:bidi="en-US"/>
        </w:rPr>
        <w:t xml:space="preserve">12.2.1 </w:t>
      </w:r>
      <w:r>
        <w:rPr>
          <w:rFonts w:hint="eastAsia" w:ascii="宋体" w:hAnsi="宋体" w:cs="宋体"/>
          <w:color w:val="000000"/>
          <w:szCs w:val="21"/>
          <w:lang w:val="zh-TW" w:eastAsia="zh-TW" w:bidi="zh-TW"/>
        </w:rPr>
        <w:t>款的约定，分期组织竣工验收。</w:t>
      </w:r>
    </w:p>
    <w:p w14:paraId="696A1EC3">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第13条变更和合同价格调整</w:t>
      </w:r>
    </w:p>
    <w:p w14:paraId="68393F89">
      <w:pPr>
        <w:keepNext/>
        <w:keepLines/>
        <w:spacing w:after="120" w:line="360" w:lineRule="auto"/>
        <w:ind w:firstLine="200"/>
        <w:outlineLvl w:val="1"/>
        <w:rPr>
          <w:rFonts w:hint="eastAsia" w:ascii="宋体" w:hAnsi="宋体" w:cs="宋体"/>
          <w:szCs w:val="21"/>
          <w:lang w:val="zh-TW" w:eastAsia="zh-TW" w:bidi="zh-TW"/>
        </w:rPr>
      </w:pPr>
      <w:r>
        <w:rPr>
          <w:rFonts w:hint="eastAsia" w:ascii="宋体" w:hAnsi="宋体" w:cs="宋体"/>
          <w:b/>
          <w:bCs/>
          <w:color w:val="000000"/>
          <w:szCs w:val="21"/>
          <w:lang w:bidi="en-US"/>
        </w:rPr>
        <w:t>13.1</w:t>
      </w:r>
      <w:r>
        <w:rPr>
          <w:rFonts w:hint="eastAsia" w:ascii="宋体" w:hAnsi="宋体" w:cs="宋体"/>
          <w:color w:val="000000"/>
          <w:szCs w:val="21"/>
          <w:lang w:val="zh-TW" w:eastAsia="zh-TW" w:bidi="zh-TW"/>
        </w:rPr>
        <w:t>变更权</w:t>
      </w:r>
    </w:p>
    <w:p w14:paraId="294138CB">
      <w:pPr>
        <w:spacing w:line="360" w:lineRule="auto"/>
        <w:ind w:firstLine="200"/>
        <w:rPr>
          <w:rFonts w:hint="eastAsia" w:ascii="宋体" w:hAnsi="宋体" w:cs="宋体"/>
          <w:b/>
          <w:bCs/>
          <w:szCs w:val="21"/>
        </w:rPr>
      </w:pPr>
      <w:r>
        <w:rPr>
          <w:rFonts w:hint="eastAsia" w:ascii="宋体" w:hAnsi="宋体" w:cs="宋体"/>
          <w:b/>
          <w:bCs/>
          <w:color w:val="000000"/>
          <w:szCs w:val="21"/>
          <w:lang w:bidi="en-US"/>
        </w:rPr>
        <w:t>13.1.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变更权</w:t>
      </w:r>
    </w:p>
    <w:p w14:paraId="38C88209">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发包人拥有批准变更的权限。自合同生效后至工程竣工验收前的任何时间 内，发包人有权依据监理人的建议、承包人的建议，及</w:t>
      </w:r>
      <w:r>
        <w:rPr>
          <w:rFonts w:hint="eastAsia" w:ascii="宋体" w:hAnsi="宋体" w:cs="宋体"/>
          <w:b/>
          <w:bCs/>
          <w:color w:val="000000"/>
          <w:szCs w:val="21"/>
          <w:lang w:bidi="en-US"/>
        </w:rPr>
        <w:t xml:space="preserve">13. </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款约定的变更范围， 下达变更指令。变更指令以书面形式发出。</w:t>
      </w:r>
    </w:p>
    <w:p w14:paraId="4056F1AC">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13.1.2</w:t>
      </w:r>
      <w:r>
        <w:rPr>
          <w:rFonts w:hint="eastAsia" w:ascii="宋体" w:hAnsi="宋体" w:cs="宋体"/>
          <w:color w:val="000000"/>
          <w:szCs w:val="21"/>
          <w:lang w:val="zh-TW" w:eastAsia="zh-TW" w:bidi="zh-TW"/>
        </w:rPr>
        <w:t>变更</w:t>
      </w:r>
    </w:p>
    <w:p w14:paraId="3BD9DF8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由发包人批准并发出的书面变更指令，属于变更。包括发包人直接下达的变 更指令、或经发包人批准的由监理人下达的变更指令。</w:t>
      </w:r>
    </w:p>
    <w:p w14:paraId="68DBA9F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承包人对自身的设计、釆购、施工、竣工试验、竣工后试验存在的缺陷，应 自费修正、调整和完善，不属于变更。</w:t>
      </w:r>
    </w:p>
    <w:p w14:paraId="053B95E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13.1.3</w:t>
      </w:r>
      <w:r>
        <w:rPr>
          <w:rFonts w:hint="eastAsia" w:ascii="宋体" w:hAnsi="宋体" w:cs="宋体"/>
          <w:color w:val="000000"/>
          <w:szCs w:val="21"/>
          <w:lang w:val="zh-TW" w:eastAsia="zh-TW" w:bidi="zh-TW"/>
        </w:rPr>
        <w:t>变更建议权</w:t>
      </w:r>
    </w:p>
    <w:p w14:paraId="6D1C7CAB">
      <w:pPr>
        <w:spacing w:after="12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承包人有义务随时向发包人提交书面变更建议，包括缩短工期，降低发包人 的工程、施工、维护、营运的费用，提高竣工工程的效率或价值，给发包人带来 的长远利益和其它利益。发包人接到此类建议后，应发出不釆纳、釆纳或补充进 一步资料的书面通知。</w:t>
      </w:r>
    </w:p>
    <w:p w14:paraId="34041877">
      <w:pPr>
        <w:keepNext/>
        <w:keepLines/>
        <w:spacing w:after="60" w:line="360" w:lineRule="auto"/>
        <w:ind w:firstLine="240"/>
        <w:outlineLvl w:val="1"/>
        <w:rPr>
          <w:rFonts w:hint="eastAsia" w:ascii="宋体" w:hAnsi="宋体" w:cs="宋体"/>
          <w:szCs w:val="21"/>
          <w:lang w:val="zh-TW" w:eastAsia="zh-TW" w:bidi="zh-TW"/>
        </w:rPr>
      </w:pPr>
      <w:r>
        <w:rPr>
          <w:rFonts w:hint="eastAsia" w:ascii="宋体" w:hAnsi="宋体" w:cs="宋体"/>
          <w:b/>
          <w:bCs/>
          <w:color w:val="000000"/>
          <w:szCs w:val="21"/>
          <w:lang w:bidi="en-US"/>
        </w:rPr>
        <w:t>13.2</w:t>
      </w:r>
      <w:r>
        <w:rPr>
          <w:rFonts w:hint="eastAsia" w:ascii="宋体" w:hAnsi="宋体" w:cs="宋体"/>
          <w:color w:val="000000"/>
          <w:szCs w:val="21"/>
          <w:lang w:val="zh-TW" w:eastAsia="zh-TW" w:bidi="zh-TW"/>
        </w:rPr>
        <w:t>变更范围</w:t>
      </w:r>
    </w:p>
    <w:p w14:paraId="3574BB1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13.2.1</w:t>
      </w:r>
      <w:r>
        <w:rPr>
          <w:rFonts w:hint="eastAsia" w:ascii="宋体" w:hAnsi="宋体" w:cs="宋体"/>
          <w:color w:val="000000"/>
          <w:szCs w:val="21"/>
          <w:lang w:val="zh-TW" w:eastAsia="zh-TW" w:bidi="zh-TW"/>
        </w:rPr>
        <w:t>设计变更范围</w:t>
      </w:r>
    </w:p>
    <w:p w14:paraId="34F7435B">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bidi="zh-TW"/>
        </w:rPr>
        <w:t>（1）</w:t>
      </w:r>
      <w:r>
        <w:rPr>
          <w:rFonts w:hint="eastAsia" w:ascii="宋体" w:hAnsi="宋体" w:cs="宋体"/>
          <w:color w:val="000000"/>
          <w:szCs w:val="21"/>
          <w:lang w:val="zh-TW" w:eastAsia="zh-TW" w:bidi="zh-TW"/>
        </w:rPr>
        <w:t>对生产工艺流程的调整，但未扩大或缩小初步设计批准的生产路线和 规模、或未扩大或缩小合同约定的生产路线和规模；</w:t>
      </w:r>
    </w:p>
    <w:p w14:paraId="12B254C6">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对平面布置、竖面布置、局部使用功能的调整，但未扩大初步设计批 准的建筑规模，未改变初步设计批准的使用功能;或未扩大合同约定的建设规模， 未改变合同约定的使用功能；</w:t>
      </w:r>
    </w:p>
    <w:p w14:paraId="762E5A10">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对配套工程系统的工艺调整、使用功能调整；</w:t>
      </w:r>
    </w:p>
    <w:p w14:paraId="23218B23">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对区域内基准控制点、基准标高和基准线的调整；</w:t>
      </w:r>
    </w:p>
    <w:p w14:paraId="0235A800">
      <w:pPr>
        <w:tabs>
          <w:tab w:val="left" w:pos="603"/>
        </w:tabs>
        <w:spacing w:after="60"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对设备、材料、部件的性能、规格和数量的调整；</w:t>
      </w:r>
    </w:p>
    <w:p w14:paraId="48169A74">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因执行基准日期之后新颁布的法律、标准、规范引起的变更；</w:t>
      </w:r>
    </w:p>
    <w:p w14:paraId="60E23D70">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7</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其它超出合同约定的设计事项；</w:t>
      </w:r>
    </w:p>
    <w:p w14:paraId="5F8CB0F2">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8</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上述变更所需的附加工作。</w:t>
      </w:r>
    </w:p>
    <w:p w14:paraId="0F3B0B0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13.2.2</w:t>
      </w:r>
      <w:r>
        <w:rPr>
          <w:rFonts w:hint="eastAsia" w:ascii="宋体" w:hAnsi="宋体" w:cs="宋体"/>
          <w:color w:val="000000"/>
          <w:szCs w:val="21"/>
          <w:lang w:val="zh-TW" w:eastAsia="zh-TW" w:bidi="zh-TW"/>
        </w:rPr>
        <w:t>釆购变更范围</w:t>
      </w:r>
    </w:p>
    <w:p w14:paraId="5B0EA82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承包人已按合同约定的程序，与相关供货商签订釆购合同或已开始加 工制造、供货、运输等，发包人通知承包人选择另一家供货商；</w:t>
      </w:r>
    </w:p>
    <w:p w14:paraId="02902052">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因执行基准日期之后新颁布的法律、标准、规范引起的变更；</w:t>
      </w:r>
    </w:p>
    <w:p w14:paraId="6327D94F">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发包人要求改变检査、检验、检测、试验的地点和增加的附加试验；</w:t>
      </w:r>
    </w:p>
    <w:p w14:paraId="0CDB72B3">
      <w:pPr>
        <w:tabs>
          <w:tab w:val="left" w:pos="591"/>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发包人要求增减合同中约定的备品备件、专用工具、竣工后试验物资 的釆购数量。</w:t>
      </w:r>
    </w:p>
    <w:p w14:paraId="1217A276">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上述变更所需的附加工作。</w:t>
      </w:r>
    </w:p>
    <w:p w14:paraId="24DA768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13.2.3</w:t>
      </w:r>
      <w:r>
        <w:rPr>
          <w:rFonts w:hint="eastAsia" w:ascii="宋体" w:hAnsi="宋体" w:cs="宋体"/>
          <w:color w:val="000000"/>
          <w:szCs w:val="21"/>
          <w:lang w:val="zh-TW" w:eastAsia="zh-TW" w:bidi="zh-TW"/>
        </w:rPr>
        <w:t>施工变更范围</w:t>
      </w:r>
    </w:p>
    <w:p w14:paraId="05715635">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13.2.1</w:t>
      </w:r>
      <w:r>
        <w:rPr>
          <w:rFonts w:hint="eastAsia" w:ascii="宋体" w:hAnsi="宋体" w:cs="宋体"/>
          <w:color w:val="000000"/>
          <w:szCs w:val="21"/>
          <w:lang w:val="zh-TW" w:eastAsia="zh-TW" w:bidi="zh-TW"/>
        </w:rPr>
        <w:t>款的设计变更，造成施工方法改变、设备、材料、部件、 人工和工程量的增减；</w:t>
      </w:r>
    </w:p>
    <w:p w14:paraId="7A8EA160">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发包人要求增加的附加试验、改变试验地点；</w:t>
      </w:r>
    </w:p>
    <w:p w14:paraId="229C8F91">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除</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项之外，新增加的施工障碍处理；</w:t>
      </w:r>
    </w:p>
    <w:p w14:paraId="4F4B0610">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发包人对竣工试验经验收或视为验收合格的项目，通知重新进行竣工 试验；</w:t>
      </w:r>
    </w:p>
    <w:p w14:paraId="7FE2C6E0">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因执行基准日期之后新颁布的法律、标准、规范引起的变更；</w:t>
      </w:r>
    </w:p>
    <w:p w14:paraId="1404422D">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现场其它签证；</w:t>
      </w:r>
    </w:p>
    <w:p w14:paraId="31C8FF07">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7</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上述变更所需的附加工作。</w:t>
      </w:r>
    </w:p>
    <w:p w14:paraId="05026A5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13.2.4</w:t>
      </w:r>
      <w:r>
        <w:rPr>
          <w:rFonts w:hint="eastAsia" w:ascii="宋体" w:hAnsi="宋体" w:cs="宋体"/>
          <w:color w:val="000000"/>
          <w:szCs w:val="21"/>
          <w:lang w:val="zh-TW" w:eastAsia="zh-TW" w:bidi="zh-TW"/>
        </w:rPr>
        <w:t>发包人的赶工指令。承包人接受了发包人的书面指示，以发包人认 为必要的方式加快设计、施工或其它任何部分的进度时，承包人为实施该赶工指 令需对项目进度计划进行调整，并对所增加的措施和资源提出估算，经发包人批 准后，作为一项变更。发包人未能批准此项变更的，承包人有权按合同约定的相 关阶段的进度计划执行。</w:t>
      </w:r>
    </w:p>
    <w:p w14:paraId="5892E07C">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因承包人原因，实际进度明显落后于上述批准的项目进度计划时，承包人应 按</w:t>
      </w: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款的约定，自费赶上；竣工日期延误时，按</w:t>
      </w:r>
      <w:r>
        <w:rPr>
          <w:rFonts w:hint="eastAsia" w:ascii="宋体" w:hAnsi="宋体" w:cs="宋体"/>
          <w:b/>
          <w:bCs/>
          <w:color w:val="000000"/>
          <w:szCs w:val="21"/>
          <w:lang w:bidi="en-US"/>
        </w:rPr>
        <w:t>4.5</w:t>
      </w:r>
      <w:r>
        <w:rPr>
          <w:rFonts w:hint="eastAsia" w:ascii="宋体" w:hAnsi="宋体" w:cs="宋体"/>
          <w:color w:val="000000"/>
          <w:szCs w:val="21"/>
          <w:lang w:val="zh-TW" w:eastAsia="zh-TW" w:bidi="zh-TW"/>
        </w:rPr>
        <w:t>款的约定承担误期赔偿 责任。</w:t>
      </w:r>
    </w:p>
    <w:p w14:paraId="51DBE66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13.2.5</w:t>
      </w:r>
      <w:r>
        <w:rPr>
          <w:rFonts w:hint="eastAsia" w:ascii="宋体" w:hAnsi="宋体" w:cs="宋体"/>
          <w:color w:val="000000"/>
          <w:szCs w:val="21"/>
          <w:lang w:val="zh-TW" w:eastAsia="zh-TW" w:bidi="zh-TW"/>
        </w:rPr>
        <w:t>调减部分工程。发包人的暂停超过</w:t>
      </w:r>
      <w:r>
        <w:rPr>
          <w:rFonts w:hint="eastAsia" w:ascii="宋体" w:hAnsi="宋体" w:cs="宋体"/>
          <w:b/>
          <w:bCs/>
          <w:color w:val="000000"/>
          <w:szCs w:val="21"/>
          <w:lang w:val="zh-TW" w:eastAsia="zh-TW" w:bidi="zh-TW"/>
        </w:rPr>
        <w:t>45</w:t>
      </w:r>
      <w:r>
        <w:rPr>
          <w:rFonts w:hint="eastAsia" w:ascii="宋体" w:hAnsi="宋体" w:cs="宋体"/>
          <w:color w:val="000000"/>
          <w:szCs w:val="21"/>
          <w:lang w:val="zh-TW" w:eastAsia="zh-TW" w:bidi="zh-TW"/>
        </w:rPr>
        <w:t>日，承包人请求复工时仍不能 复工，或因不可抗力持续而无法继续施工的，双方可按合同约定以变更方式调减 受暂停影响的部分工程。</w:t>
      </w:r>
    </w:p>
    <w:p w14:paraId="2605EB0F">
      <w:pPr>
        <w:spacing w:after="12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13.2.6</w:t>
      </w:r>
      <w:r>
        <w:rPr>
          <w:rFonts w:hint="eastAsia" w:ascii="宋体" w:hAnsi="宋体" w:cs="宋体"/>
          <w:color w:val="000000"/>
          <w:szCs w:val="21"/>
          <w:lang w:val="zh-TW" w:eastAsia="zh-TW" w:bidi="zh-TW"/>
        </w:rPr>
        <w:t>其它变更。根据工程的具体特点，在专用条款中约定。</w:t>
      </w:r>
    </w:p>
    <w:p w14:paraId="699BD897">
      <w:pPr>
        <w:keepNext/>
        <w:keepLines/>
        <w:spacing w:after="40" w:line="360" w:lineRule="auto"/>
        <w:ind w:firstLine="240"/>
        <w:outlineLvl w:val="1"/>
        <w:rPr>
          <w:rFonts w:hint="eastAsia" w:ascii="宋体" w:hAnsi="宋体" w:cs="宋体"/>
          <w:szCs w:val="21"/>
          <w:lang w:val="zh-TW" w:eastAsia="zh-TW" w:bidi="zh-TW"/>
        </w:rPr>
      </w:pPr>
      <w:r>
        <w:rPr>
          <w:rFonts w:hint="eastAsia" w:ascii="宋体" w:hAnsi="宋体" w:cs="宋体"/>
          <w:b/>
          <w:bCs/>
          <w:color w:val="000000"/>
          <w:szCs w:val="21"/>
          <w:lang w:bidi="en-US"/>
        </w:rPr>
        <w:t>13.3</w:t>
      </w:r>
      <w:r>
        <w:rPr>
          <w:rFonts w:hint="eastAsia" w:ascii="宋体" w:hAnsi="宋体" w:cs="宋体"/>
          <w:color w:val="000000"/>
          <w:szCs w:val="21"/>
          <w:lang w:val="zh-TW" w:eastAsia="zh-TW" w:bidi="zh-TW"/>
        </w:rPr>
        <w:t>变更程序</w:t>
      </w:r>
    </w:p>
    <w:p w14:paraId="46F262A9">
      <w:pPr>
        <w:spacing w:after="4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13.3.1</w:t>
      </w:r>
      <w:r>
        <w:rPr>
          <w:rFonts w:hint="eastAsia" w:ascii="宋体" w:hAnsi="宋体" w:cs="宋体"/>
          <w:color w:val="000000"/>
          <w:szCs w:val="21"/>
          <w:lang w:val="zh-TW" w:eastAsia="zh-TW" w:bidi="zh-TW"/>
        </w:rPr>
        <w:t>变更通知。发包人的变更应事先以书面形式通知承包人。</w:t>
      </w:r>
    </w:p>
    <w:p w14:paraId="7873DB2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13.3.2</w:t>
      </w:r>
      <w:r>
        <w:rPr>
          <w:rFonts w:hint="eastAsia" w:ascii="宋体" w:hAnsi="宋体" w:cs="宋体"/>
          <w:color w:val="000000"/>
          <w:szCs w:val="21"/>
          <w:lang w:val="zh-TW" w:eastAsia="zh-TW" w:bidi="zh-TW"/>
        </w:rPr>
        <w:t xml:space="preserve">变更通知的建议报告。承包人接到发包人的变更通知后，有义务在 </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日内向发包人提交书面建议报告，</w:t>
      </w:r>
    </w:p>
    <w:p w14:paraId="2914E54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如承包人接受发包人变更通知中的变更时，建议报告中应包括：支持 此项变更的理由、实施此项变更的工作内容、设备、材料、人力、机具、周转材 料、消耗材料等资源消耗，以及相关管理费用和合理利润的估算。相关管理费用 和合理利润的百分比，应在专用条款约定。此项变更引起竣工日期延长时，应在 报告中说明理由，并提交与此项变更相关的进度计划。</w:t>
      </w:r>
    </w:p>
    <w:p w14:paraId="48F667F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承包人未提交增加费用的估算及竣工日期延长，视为该项变更不涉及合同价 格调整和竣工日期延长，发包人不再承担此项变更的任何费用及竣工日期延长的 责任。</w:t>
      </w:r>
    </w:p>
    <w:p w14:paraId="0079858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如承包人不接受发包人变更通知中的变更时，建议报告中应包括不支 持此项变更的理由，理由包括：</w:t>
      </w:r>
    </w:p>
    <w:p w14:paraId="474831E7">
      <w:pPr>
        <w:tabs>
          <w:tab w:val="left" w:pos="696"/>
        </w:tabs>
        <w:spacing w:line="360" w:lineRule="auto"/>
        <w:ind w:firstLine="46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此变更不符合法律、法规等有关规定；</w:t>
      </w:r>
    </w:p>
    <w:p w14:paraId="1548466E">
      <w:pPr>
        <w:tabs>
          <w:tab w:val="left" w:pos="710"/>
        </w:tabs>
        <w:spacing w:line="360" w:lineRule="auto"/>
        <w:ind w:firstLine="46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承包人难以取得变更所需的特殊设备、材料、部件；</w:t>
      </w:r>
    </w:p>
    <w:p w14:paraId="325158D4">
      <w:pPr>
        <w:tabs>
          <w:tab w:val="left" w:pos="710"/>
        </w:tabs>
        <w:spacing w:line="360" w:lineRule="auto"/>
        <w:ind w:firstLine="46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承包人难以取得变更所需的工艺、技术；</w:t>
      </w:r>
    </w:p>
    <w:p w14:paraId="47295F63">
      <w:pPr>
        <w:tabs>
          <w:tab w:val="left" w:pos="710"/>
        </w:tabs>
        <w:spacing w:line="360" w:lineRule="auto"/>
        <w:ind w:firstLine="46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变更将降低工程的安全性、稳定性、适用性；</w:t>
      </w:r>
    </w:p>
    <w:p w14:paraId="5A28B10E">
      <w:pPr>
        <w:tabs>
          <w:tab w:val="left" w:pos="710"/>
        </w:tabs>
        <w:spacing w:line="360" w:lineRule="auto"/>
        <w:ind w:firstLine="46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对生产性能保证值、使用功能保证的实现产生不利影响等。</w:t>
      </w:r>
    </w:p>
    <w:p w14:paraId="589C4D0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13.3.3</w:t>
      </w:r>
      <w:r>
        <w:rPr>
          <w:rFonts w:hint="eastAsia" w:ascii="宋体" w:hAnsi="宋体" w:cs="宋体"/>
          <w:color w:val="000000"/>
          <w:szCs w:val="21"/>
          <w:lang w:val="zh-TW" w:eastAsia="zh-TW" w:bidi="zh-TW"/>
        </w:rPr>
        <w:t>发包人的审査和批准。发包人应在接到承包人根据</w:t>
      </w:r>
      <w:r>
        <w:rPr>
          <w:rFonts w:hint="eastAsia" w:ascii="宋体" w:hAnsi="宋体" w:cs="宋体"/>
          <w:b/>
          <w:bCs/>
          <w:color w:val="000000"/>
          <w:szCs w:val="21"/>
          <w:lang w:bidi="en-US"/>
        </w:rPr>
        <w:t>13.3.2</w:t>
      </w:r>
      <w:r>
        <w:rPr>
          <w:rFonts w:hint="eastAsia" w:ascii="宋体" w:hAnsi="宋体" w:cs="宋体"/>
          <w:color w:val="000000"/>
          <w:szCs w:val="21"/>
          <w:lang w:val="zh-TW" w:eastAsia="zh-TW" w:bidi="zh-TW"/>
        </w:rPr>
        <w:t>款约定提 交的书面建议报告后</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日内对此项建议给予审查，并发出批准、撤销、改变、 提出进一步要求的书面通知。承包人在等待发包人回复的时间内，不能停止或延 误任何工作。</w:t>
      </w:r>
    </w:p>
    <w:p w14:paraId="1D55AA90">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发包人接到承包人根据</w:t>
      </w:r>
      <w:r>
        <w:rPr>
          <w:rFonts w:hint="eastAsia" w:ascii="宋体" w:hAnsi="宋体" w:cs="宋体"/>
          <w:b/>
          <w:bCs/>
          <w:color w:val="000000"/>
          <w:szCs w:val="21"/>
          <w:lang w:bidi="en-US"/>
        </w:rPr>
        <w:t>13.3.2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项的约定提交的建议报告，对 其理由、估算、和（或）竣工日期延长经审查批准后，应以书面形式下达变更指 令。</w:t>
      </w:r>
    </w:p>
    <w:p w14:paraId="7FEC351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发包人在下达的变更指令中，未能确认承包人对此项变更提出的估算和（或） 竣工日期延长亦未提出异议的，自发包人接到此项书面建议报告后的第</w:t>
      </w:r>
      <w:r>
        <w:rPr>
          <w:rFonts w:hint="eastAsia" w:ascii="宋体" w:hAnsi="宋体" w:cs="宋体"/>
          <w:b/>
          <w:bCs/>
          <w:color w:val="000000"/>
          <w:szCs w:val="21"/>
          <w:lang w:val="zh-TW" w:eastAsia="zh-TW" w:bidi="zh-TW"/>
        </w:rPr>
        <w:t>11</w:t>
      </w:r>
      <w:r>
        <w:rPr>
          <w:rFonts w:hint="eastAsia" w:ascii="宋体" w:hAnsi="宋体" w:cs="宋体"/>
          <w:color w:val="000000"/>
          <w:szCs w:val="21"/>
          <w:lang w:val="zh-TW" w:eastAsia="zh-TW" w:bidi="zh-TW"/>
        </w:rPr>
        <w:t>日开 始，视为承包人提交的变更估算、和（或）竣工日期延长，已被发包人批准。</w:t>
      </w:r>
    </w:p>
    <w:p w14:paraId="14DC709D">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发包人对承包人根据</w:t>
      </w:r>
      <w:r>
        <w:rPr>
          <w:rFonts w:hint="eastAsia" w:ascii="宋体" w:hAnsi="宋体" w:cs="宋体"/>
          <w:b/>
          <w:bCs/>
          <w:color w:val="000000"/>
          <w:szCs w:val="21"/>
          <w:lang w:bidi="en-US"/>
        </w:rPr>
        <w:t>13.3.2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项提交的不接受此项变更的理由 进行审查后，发出继续执行、改变、提出进一步补充资料的书面通知，承包人应 予以执行。</w:t>
      </w:r>
    </w:p>
    <w:p w14:paraId="446E3A4D">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13.3.4</w:t>
      </w:r>
      <w:r>
        <w:rPr>
          <w:rFonts w:hint="eastAsia" w:ascii="宋体" w:hAnsi="宋体" w:cs="宋体"/>
          <w:color w:val="000000"/>
          <w:szCs w:val="21"/>
          <w:lang w:val="zh-TW" w:eastAsia="zh-TW" w:bidi="zh-TW"/>
        </w:rPr>
        <w:t>承人根据</w:t>
      </w:r>
      <w:r>
        <w:rPr>
          <w:rFonts w:hint="eastAsia" w:ascii="宋体" w:hAnsi="宋体" w:cs="宋体"/>
          <w:b/>
          <w:bCs/>
          <w:color w:val="000000"/>
          <w:szCs w:val="21"/>
          <w:lang w:bidi="en-US"/>
        </w:rPr>
        <w:t>13.1.3</w:t>
      </w:r>
      <w:r>
        <w:rPr>
          <w:rFonts w:hint="eastAsia" w:ascii="宋体" w:hAnsi="宋体" w:cs="宋体"/>
          <w:color w:val="000000"/>
          <w:szCs w:val="21"/>
          <w:lang w:val="zh-TW" w:eastAsia="zh-TW" w:bidi="zh-TW"/>
        </w:rPr>
        <w:t>款的约定提交变更建议书的，其变更程序按照本变 更程序的约定办理。</w:t>
      </w:r>
    </w:p>
    <w:p w14:paraId="54FBC39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13.4</w:t>
      </w:r>
      <w:r>
        <w:rPr>
          <w:rFonts w:hint="eastAsia" w:ascii="宋体" w:hAnsi="宋体" w:cs="宋体"/>
          <w:color w:val="000000"/>
          <w:szCs w:val="21"/>
          <w:lang w:val="zh-TW" w:eastAsia="zh-TW" w:bidi="zh-TW"/>
        </w:rPr>
        <w:t>紧急性变更程序</w:t>
      </w:r>
    </w:p>
    <w:p w14:paraId="032E907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13.4.1</w:t>
      </w:r>
      <w:r>
        <w:rPr>
          <w:rFonts w:hint="eastAsia" w:ascii="宋体" w:hAnsi="宋体" w:cs="宋体"/>
          <w:color w:val="000000"/>
          <w:szCs w:val="21"/>
          <w:lang w:val="zh-TW" w:eastAsia="zh-TW" w:bidi="zh-TW"/>
        </w:rPr>
        <w:t>发包人有权以书面形式或口头形式发出紧急性变更指令，责令承包 人立即执行此项变更。承包人接到此类指令后，应立即执行。发包人以口头形式 发出紧急性变更指令的，须在</w:t>
      </w:r>
      <w:r>
        <w:rPr>
          <w:rFonts w:hint="eastAsia" w:ascii="宋体" w:hAnsi="宋体" w:cs="宋体"/>
          <w:b/>
          <w:bCs/>
          <w:color w:val="000000"/>
          <w:szCs w:val="21"/>
          <w:lang w:val="zh-CN" w:bidi="zh-CN"/>
        </w:rPr>
        <w:t>48</w:t>
      </w:r>
      <w:r>
        <w:rPr>
          <w:rFonts w:hint="eastAsia" w:ascii="宋体" w:hAnsi="宋体" w:cs="宋体"/>
          <w:color w:val="000000"/>
          <w:szCs w:val="21"/>
          <w:lang w:val="zh-TW" w:eastAsia="zh-TW" w:bidi="zh-TW"/>
        </w:rPr>
        <w:t>小时内以书面方式确认此项变更，并送交承包 人项目经理。</w:t>
      </w:r>
    </w:p>
    <w:p w14:paraId="6939235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13.4.2</w:t>
      </w:r>
      <w:r>
        <w:rPr>
          <w:rFonts w:hint="eastAsia" w:ascii="宋体" w:hAnsi="宋体" w:cs="宋体"/>
          <w:color w:val="000000"/>
          <w:szCs w:val="21"/>
          <w:lang w:val="zh-TW" w:eastAsia="zh-TW" w:bidi="zh-TW"/>
        </w:rPr>
        <w:t>承包人应在紧急性变更指令执行完成后的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日内，向发包人提交实 施此项变更的工作内容，资源消耗和估算。因执行此项变更造成工程关键路径延 误时，可提出竣工日期延长要求，但应说明理由，并提交与此项变更相关的进度 计划。</w:t>
      </w:r>
    </w:p>
    <w:p w14:paraId="4766314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承包人未能在此项变更完成后的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日内提交实际消耗的估算、和（或）延 长竣工日期的书面资料，视为该项变更不涉及合同价格调整和竣工日期延长，发 包人不再承担此项变更的任何责任。</w:t>
      </w:r>
    </w:p>
    <w:p w14:paraId="3216BA4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13.4.3</w:t>
      </w:r>
      <w:r>
        <w:rPr>
          <w:rFonts w:hint="eastAsia" w:ascii="宋体" w:hAnsi="宋体" w:cs="宋体"/>
          <w:color w:val="000000"/>
          <w:szCs w:val="21"/>
          <w:lang w:val="zh-TW" w:eastAsia="zh-TW" w:bidi="zh-TW"/>
        </w:rPr>
        <w:t>发包人应在接到承包人根据</w:t>
      </w:r>
      <w:r>
        <w:rPr>
          <w:rFonts w:hint="eastAsia" w:ascii="宋体" w:hAnsi="宋体" w:cs="宋体"/>
          <w:b/>
          <w:bCs/>
          <w:color w:val="000000"/>
          <w:szCs w:val="21"/>
          <w:lang w:bidi="en-US"/>
        </w:rPr>
        <w:t>13.4.2</w:t>
      </w:r>
      <w:r>
        <w:rPr>
          <w:rFonts w:hint="eastAsia" w:ascii="宋体" w:hAnsi="宋体" w:cs="宋体"/>
          <w:color w:val="000000"/>
          <w:szCs w:val="21"/>
          <w:lang w:val="zh-TW" w:eastAsia="zh-TW" w:bidi="zh-TW"/>
        </w:rPr>
        <w:t>款提交的书面资料后的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 以书面形式通知承包人被批准的合理估算，和（或）给予竣工日期的合理延长。</w:t>
      </w:r>
    </w:p>
    <w:p w14:paraId="29E5C602">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发包人在接到承包人的此项书面报告后的</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日内，未能批准承包人的估算 和（或）竣工日期延长亦未说明理由的，自接到该报告的第</w:t>
      </w:r>
      <w:r>
        <w:rPr>
          <w:rFonts w:hint="eastAsia" w:ascii="宋体" w:hAnsi="宋体" w:cs="宋体"/>
          <w:b/>
          <w:bCs/>
          <w:color w:val="000000"/>
          <w:szCs w:val="21"/>
          <w:lang w:val="zh-TW" w:eastAsia="zh-TW" w:bidi="zh-TW"/>
        </w:rPr>
        <w:t>11</w:t>
      </w:r>
      <w:r>
        <w:rPr>
          <w:rFonts w:hint="eastAsia" w:ascii="宋体" w:hAnsi="宋体" w:cs="宋体"/>
          <w:color w:val="000000"/>
          <w:szCs w:val="21"/>
          <w:lang w:val="zh-TW" w:eastAsia="zh-TW" w:bidi="zh-TW"/>
        </w:rPr>
        <w:t>日后，视为承包 人提交的估算、和（或）竣工日期延长巳被发包人批准。</w:t>
      </w:r>
    </w:p>
    <w:p w14:paraId="6420B8FD">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承包人对发包人批准的变更费用、竣工日期的延长存有争议时，双方应友好 协商解决，协商不成时，依据</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款争议和裁决的程序解决。</w:t>
      </w:r>
    </w:p>
    <w:p w14:paraId="10ADA9C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13.5</w:t>
      </w:r>
      <w:r>
        <w:rPr>
          <w:rFonts w:hint="eastAsia" w:ascii="宋体" w:hAnsi="宋体" w:cs="宋体"/>
          <w:color w:val="000000"/>
          <w:szCs w:val="21"/>
          <w:lang w:val="zh-TW" w:eastAsia="zh-TW" w:bidi="zh-TW"/>
        </w:rPr>
        <w:t>变更价款确定</w:t>
      </w:r>
    </w:p>
    <w:p w14:paraId="47C6AD5D">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变更价款按以下方法确定：</w:t>
      </w:r>
    </w:p>
    <w:p w14:paraId="58CD36C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13.5.1</w:t>
      </w:r>
      <w:r>
        <w:rPr>
          <w:rFonts w:hint="eastAsia" w:ascii="宋体" w:hAnsi="宋体" w:cs="宋体"/>
          <w:color w:val="000000"/>
          <w:szCs w:val="21"/>
          <w:lang w:val="zh-TW" w:eastAsia="zh-TW" w:bidi="zh-TW"/>
        </w:rPr>
        <w:t>合同中已有相应人工、机具、工程量等单价（含取费）的，按合同中 已有的相应人工、机具、工程量等单价（含取费）确定变更价款；</w:t>
      </w:r>
    </w:p>
    <w:p w14:paraId="6F68A252">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13.5.2</w:t>
      </w:r>
      <w:r>
        <w:rPr>
          <w:rFonts w:hint="eastAsia" w:ascii="宋体" w:hAnsi="宋体" w:cs="宋体"/>
          <w:color w:val="000000"/>
          <w:szCs w:val="21"/>
          <w:lang w:val="zh-TW" w:eastAsia="zh-TW" w:bidi="zh-TW"/>
        </w:rPr>
        <w:t>合同中无相应人工、机具、工程量等单价（含取费）的，按类似于变 更工程的价格确定变更价款；</w:t>
      </w:r>
    </w:p>
    <w:p w14:paraId="2DC9D77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13.5.3</w:t>
      </w:r>
      <w:r>
        <w:rPr>
          <w:rFonts w:hint="eastAsia" w:ascii="宋体" w:hAnsi="宋体" w:cs="宋体"/>
          <w:color w:val="000000"/>
          <w:szCs w:val="21"/>
          <w:lang w:val="zh-TW" w:eastAsia="zh-TW" w:bidi="zh-TW"/>
        </w:rPr>
        <w:t>合同中无相应人工、机具、工程量等单价（含取费），亦无类似于变 更工程的价格的，双方通过协商确定变更价款。</w:t>
      </w:r>
    </w:p>
    <w:p w14:paraId="33960B7F">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13.5.4</w:t>
      </w:r>
      <w:r>
        <w:rPr>
          <w:rFonts w:hint="eastAsia" w:ascii="宋体" w:hAnsi="宋体" w:cs="宋体"/>
          <w:color w:val="000000"/>
          <w:szCs w:val="21"/>
          <w:lang w:val="zh-TW" w:eastAsia="zh-TW" w:bidi="zh-TW"/>
        </w:rPr>
        <w:t>专用条款中约定的其它方法。</w:t>
      </w:r>
    </w:p>
    <w:p w14:paraId="269FCD1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13.6</w:t>
      </w:r>
      <w:r>
        <w:rPr>
          <w:rFonts w:hint="eastAsia" w:ascii="宋体" w:hAnsi="宋体" w:cs="宋体"/>
          <w:color w:val="000000"/>
          <w:szCs w:val="21"/>
          <w:lang w:val="zh-TW" w:eastAsia="zh-TW" w:bidi="zh-TW"/>
        </w:rPr>
        <w:t>建议变更的利益分享</w:t>
      </w:r>
    </w:p>
    <w:p w14:paraId="221F7F0C">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因发包人批准采用承包人根据</w:t>
      </w:r>
      <w:r>
        <w:rPr>
          <w:rFonts w:hint="eastAsia" w:ascii="宋体" w:hAnsi="宋体" w:cs="宋体"/>
          <w:b/>
          <w:bCs/>
          <w:color w:val="000000"/>
          <w:szCs w:val="21"/>
          <w:lang w:bidi="en-US"/>
        </w:rPr>
        <w:t>13.1.3</w:t>
      </w:r>
      <w:r>
        <w:rPr>
          <w:rFonts w:hint="eastAsia" w:ascii="宋体" w:hAnsi="宋体" w:cs="宋体"/>
          <w:color w:val="000000"/>
          <w:szCs w:val="21"/>
          <w:lang w:val="zh-TW" w:eastAsia="zh-TW" w:bidi="zh-TW"/>
        </w:rPr>
        <w:t>款提出的变更建议，使工程的投资减 少、工期缩短、发包人获得长期运营效益或其它利益的，双方可按专用条款的约 定进行利益分享，必要时双方可另行签订利益分享补充协议，作为合同附件。</w:t>
      </w:r>
    </w:p>
    <w:p w14:paraId="56B5EDBE">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13.7</w:t>
      </w:r>
      <w:r>
        <w:rPr>
          <w:rFonts w:hint="eastAsia" w:ascii="宋体" w:hAnsi="宋体" w:cs="宋体"/>
          <w:color w:val="000000"/>
          <w:szCs w:val="21"/>
          <w:lang w:val="zh-TW" w:eastAsia="zh-TW" w:bidi="zh-TW"/>
        </w:rPr>
        <w:t>合同价格调整</w:t>
      </w:r>
    </w:p>
    <w:p w14:paraId="6EA0870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在下述情况发生后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日内，合同双方均有权将调整合同价格的原因及调整 金额，以书面形式通知对方或监理人。经发包人确认的合理金额，作为合同价格 的调整金额，并在支付当期工程进度款时支付或扣减调整的金额。一方收到另一 方通知后</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日内不予确认，也未能提出修改意见的，视为已经同意该项价格的调整。合同价格调整包括以下情况：</w:t>
      </w:r>
    </w:p>
    <w:p w14:paraId="7B52ED3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合同签订后，因法律、国家政策和需遵守的行业规定发生变化，影响 到合同价格增减的；</w:t>
      </w:r>
    </w:p>
    <w:p w14:paraId="4363D76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合同执行过程中，工程造价管理部门公布的价格调整，涉及承包人投入成本增减的；</w:t>
      </w:r>
    </w:p>
    <w:p w14:paraId="10E08A0F">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一周内非承包人原因的停水、停电、停气、道路中断等，造成工程现 场停工累计超过8小时的（承包人须提交报告并提供可证实的证明和估算）；</w:t>
      </w:r>
    </w:p>
    <w:p w14:paraId="04C18DE9">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发包人根据</w:t>
      </w:r>
      <w:r>
        <w:rPr>
          <w:rFonts w:hint="eastAsia" w:ascii="宋体" w:hAnsi="宋体" w:cs="宋体"/>
          <w:b/>
          <w:bCs/>
          <w:color w:val="000000"/>
          <w:szCs w:val="21"/>
          <w:lang w:bidi="en-US"/>
        </w:rPr>
        <w:t>13.3</w:t>
      </w:r>
      <w:r>
        <w:rPr>
          <w:rFonts w:hint="eastAsia" w:ascii="宋体" w:hAnsi="宋体" w:cs="宋体"/>
          <w:color w:val="000000"/>
          <w:szCs w:val="21"/>
          <w:lang w:val="zh-TW" w:eastAsia="zh-TW" w:bidi="zh-TW"/>
        </w:rPr>
        <w:t>款至</w:t>
      </w:r>
      <w:r>
        <w:rPr>
          <w:rFonts w:hint="eastAsia" w:ascii="宋体" w:hAnsi="宋体" w:cs="宋体"/>
          <w:b/>
          <w:bCs/>
          <w:color w:val="000000"/>
          <w:szCs w:val="21"/>
          <w:lang w:bidi="en-US"/>
        </w:rPr>
        <w:t>13.5</w:t>
      </w:r>
      <w:r>
        <w:rPr>
          <w:rFonts w:hint="eastAsia" w:ascii="宋体" w:hAnsi="宋体" w:cs="宋体"/>
          <w:color w:val="000000"/>
          <w:szCs w:val="21"/>
          <w:lang w:val="zh-TW" w:eastAsia="zh-TW" w:bidi="zh-TW"/>
        </w:rPr>
        <w:t>款变更程序中批准的变更估算的增减；</w:t>
      </w:r>
    </w:p>
    <w:p w14:paraId="05A06E72">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本合同约定的其它增减的款项调整。</w:t>
      </w:r>
    </w:p>
    <w:p w14:paraId="5BE09367">
      <w:pPr>
        <w:spacing w:after="8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对于合同中未约定的增减款项，发包人不承担调整合同价格的责任，适用法 律另有规定时除外。合同价格的调整不包括合同变更。</w:t>
      </w:r>
    </w:p>
    <w:p w14:paraId="68533991">
      <w:pPr>
        <w:spacing w:after="8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13.8</w:t>
      </w:r>
      <w:r>
        <w:rPr>
          <w:rFonts w:hint="eastAsia" w:ascii="宋体" w:hAnsi="宋体" w:cs="宋体"/>
          <w:color w:val="000000"/>
          <w:szCs w:val="21"/>
          <w:lang w:val="zh-TW" w:eastAsia="zh-TW" w:bidi="zh-TW"/>
        </w:rPr>
        <w:t>合同价格调整的争议</w:t>
      </w:r>
    </w:p>
    <w:p w14:paraId="5E74AE51">
      <w:pPr>
        <w:spacing w:after="18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经协商，双方未能对工程变更的费用、合同价格的调整或竣工日期的延长达成一致时，根据</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款关于争议和裁决的约定解决。</w:t>
      </w:r>
    </w:p>
    <w:p w14:paraId="5E606179">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第14条合同总价和付款</w:t>
      </w:r>
    </w:p>
    <w:p w14:paraId="68F1734C">
      <w:pPr>
        <w:spacing w:after="8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w:t>
      </w:r>
      <w:r>
        <w:rPr>
          <w:rFonts w:hint="eastAsia" w:ascii="宋体" w:hAnsi="宋体" w:cs="宋体"/>
          <w:color w:val="000000"/>
          <w:szCs w:val="21"/>
          <w:lang w:val="zh-TW" w:eastAsia="zh-TW" w:bidi="zh-TW"/>
        </w:rPr>
        <w:t>合同总价和付款</w:t>
      </w:r>
    </w:p>
    <w:p w14:paraId="4AE009F3">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14.1.1</w:t>
      </w:r>
      <w:r>
        <w:rPr>
          <w:rFonts w:hint="eastAsia" w:ascii="宋体" w:hAnsi="宋体" w:cs="宋体"/>
          <w:color w:val="000000"/>
          <w:szCs w:val="21"/>
          <w:lang w:val="zh-TW" w:eastAsia="zh-TW" w:bidi="zh-TW"/>
        </w:rPr>
        <w:t>合同总价</w:t>
      </w:r>
    </w:p>
    <w:p w14:paraId="6AFF1AC0">
      <w:pPr>
        <w:spacing w:after="8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本合同为总价合同，除根据第</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条变更和合同价格的调整，以及合同中其它相关增减金额的约定进行调整外，合同价格不做调整。</w:t>
      </w:r>
    </w:p>
    <w:p w14:paraId="68CFC47F">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14.1.2</w:t>
      </w:r>
      <w:r>
        <w:rPr>
          <w:rFonts w:hint="eastAsia" w:ascii="宋体" w:hAnsi="宋体" w:cs="宋体"/>
          <w:color w:val="000000"/>
          <w:szCs w:val="21"/>
          <w:lang w:val="zh-TW" w:eastAsia="zh-TW" w:bidi="zh-TW"/>
        </w:rPr>
        <w:t>付款</w:t>
      </w:r>
    </w:p>
    <w:p w14:paraId="66827208">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合同价款的货币币种为人民币，由发包人在中国境内支付给承包人。</w:t>
      </w:r>
    </w:p>
    <w:p w14:paraId="0353AAF0">
      <w:pPr>
        <w:tabs>
          <w:tab w:val="left" w:pos="596"/>
        </w:tabs>
        <w:spacing w:after="8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发包人应依据合同约定的应付款类别和付款时间安排，向承包人支付合同价款。承包人指定的银行账户，在专用条款中约定。</w:t>
      </w:r>
    </w:p>
    <w:p w14:paraId="64249D70">
      <w:pPr>
        <w:spacing w:after="80" w:line="360" w:lineRule="auto"/>
        <w:ind w:firstLine="240"/>
        <w:rPr>
          <w:rFonts w:hint="eastAsia" w:ascii="宋体" w:hAnsi="宋体" w:cs="宋体"/>
          <w:b/>
          <w:bCs/>
          <w:szCs w:val="21"/>
        </w:rPr>
      </w:pPr>
      <w:r>
        <w:rPr>
          <w:rFonts w:hint="eastAsia" w:ascii="宋体" w:hAnsi="宋体" w:cs="宋体"/>
          <w:b/>
          <w:bCs/>
          <w:color w:val="000000"/>
          <w:szCs w:val="21"/>
          <w:lang w:bidi="en-US"/>
        </w:rPr>
        <w:t>14.2</w:t>
      </w:r>
      <w:r>
        <w:rPr>
          <w:rFonts w:hint="eastAsia" w:ascii="宋体" w:hAnsi="宋体" w:cs="宋体"/>
          <w:color w:val="000000"/>
          <w:szCs w:val="21"/>
          <w:lang w:val="zh-TW" w:eastAsia="zh-TW" w:bidi="zh-TW"/>
        </w:rPr>
        <w:t>担保</w:t>
      </w:r>
    </w:p>
    <w:p w14:paraId="09265A3E">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履约保函</w:t>
      </w:r>
    </w:p>
    <w:p w14:paraId="4215DAE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合同约定由承包人向发包人提交履约保函时，履约保函的格式、金额和提交时间，在专用条款中约定。</w:t>
      </w:r>
    </w:p>
    <w:p w14:paraId="0CC8BD1B">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支付保函</w:t>
      </w:r>
    </w:p>
    <w:p w14:paraId="6480072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合同约定由承包人向发包人提交履约保函时，发包人应向承包人提交支付保函。支付保函的格式、内容和提交时间在专用条款中约定。</w:t>
      </w:r>
    </w:p>
    <w:p w14:paraId="2211858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14.2.3</w:t>
      </w:r>
      <w:r>
        <w:rPr>
          <w:rFonts w:hint="eastAsia" w:ascii="宋体" w:hAnsi="宋体" w:cs="宋体"/>
          <w:color w:val="000000"/>
          <w:szCs w:val="21"/>
          <w:lang w:val="zh-TW" w:eastAsia="zh-TW" w:bidi="zh-TW"/>
        </w:rPr>
        <w:t>预付款保函</w:t>
      </w:r>
    </w:p>
    <w:p w14:paraId="4301324D">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合同约定由承包人向发包人提交预付款保函时，预付款保函的格式、金额和提交时间在专用条款中约定。</w:t>
      </w:r>
    </w:p>
    <w:p w14:paraId="3C2DBB2E">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预付款</w:t>
      </w:r>
    </w:p>
    <w:p w14:paraId="3CE1DE1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预付款金额</w:t>
      </w:r>
    </w:p>
    <w:p w14:paraId="2EBA33A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发包人同意将按合同价格的一定比例作为预付款金额,具体金额在专用条款中约定。</w:t>
      </w:r>
    </w:p>
    <w:p w14:paraId="774E468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14.3.2</w:t>
      </w:r>
      <w:r>
        <w:rPr>
          <w:rFonts w:hint="eastAsia" w:ascii="宋体" w:hAnsi="宋体" w:cs="宋体"/>
          <w:color w:val="000000"/>
          <w:szCs w:val="21"/>
          <w:lang w:val="zh-TW" w:eastAsia="zh-TW" w:bidi="zh-TW"/>
        </w:rPr>
        <w:t>预付款支付</w:t>
      </w:r>
    </w:p>
    <w:p w14:paraId="055D9BD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合同约定了预付款保函时，发包人应在合同生效及收到承包人提交的预付款保函后</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日内，根据</w:t>
      </w: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款约定的预付款金额，一次支付给承包人；未约定 预付款保函时，发包人应在合同生效后</w:t>
      </w:r>
      <w:r>
        <w:rPr>
          <w:rFonts w:hint="eastAsia" w:ascii="宋体" w:hAnsi="宋体" w:cs="宋体"/>
          <w:b/>
          <w:bCs/>
          <w:color w:val="000000"/>
          <w:szCs w:val="21"/>
          <w:lang w:val="zh-TW" w:eastAsia="zh-TW" w:bidi="zh-TW"/>
        </w:rPr>
        <w:t>10</w:t>
      </w:r>
      <w:r>
        <w:rPr>
          <w:rFonts w:hint="eastAsia" w:ascii="宋体" w:hAnsi="宋体" w:cs="宋体"/>
          <w:color w:val="000000"/>
          <w:szCs w:val="21"/>
          <w:lang w:val="zh-TW" w:eastAsia="zh-TW" w:bidi="zh-TW"/>
        </w:rPr>
        <w:t>日内，根据</w:t>
      </w: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款约定的预付款金 额，一次支付给承包人。</w:t>
      </w:r>
    </w:p>
    <w:p w14:paraId="4604B14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14.3.3</w:t>
      </w:r>
      <w:r>
        <w:rPr>
          <w:rFonts w:hint="eastAsia" w:ascii="宋体" w:hAnsi="宋体" w:cs="宋体"/>
          <w:color w:val="000000"/>
          <w:szCs w:val="21"/>
          <w:lang w:val="zh-TW" w:eastAsia="zh-TW" w:bidi="zh-TW"/>
        </w:rPr>
        <w:t>预付款抵扣</w:t>
      </w:r>
    </w:p>
    <w:p w14:paraId="2733D325">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预付款的抵扣方式、抵扣比例和抵扣时间安排，在专用条款中约定。</w:t>
      </w:r>
    </w:p>
    <w:p w14:paraId="4D1FD81F">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在发包人签发工程接收证书或合同解除时，预付款尚未抵扣完的，发包人有权要求承包人支付尚未抵扣完的预付款。承包人未能支付的，发包人有权 按如下程序扣回预付款的余额：</w:t>
      </w:r>
    </w:p>
    <w:p w14:paraId="2B14B8E7">
      <w:pPr>
        <w:tabs>
          <w:tab w:val="left" w:pos="716"/>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从应付给承包人的款项中或属于承包人的款项中一次或多次扣除；</w:t>
      </w:r>
    </w:p>
    <w:p w14:paraId="6ED0CC14">
      <w:pPr>
        <w:tabs>
          <w:tab w:val="left" w:pos="711"/>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应付给承包人的款项或属于承包人的款项不足以抵扣时，发包人有权从预付款保函（如约定提交）中扣除尚未抵扣完的预付款；</w:t>
      </w:r>
    </w:p>
    <w:p w14:paraId="2F783F8A">
      <w:pPr>
        <w:tabs>
          <w:tab w:val="left" w:pos="716"/>
        </w:tabs>
        <w:spacing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应付给承包人或属于承包人的款项不足以抵扣且合同未约定承包人 提交预付款保函时，承包人应与发包人签订支付尚未抵扣完的预付款支付时间安排协议书；</w:t>
      </w:r>
    </w:p>
    <w:p w14:paraId="255720F9">
      <w:pPr>
        <w:tabs>
          <w:tab w:val="left" w:pos="711"/>
        </w:tabs>
        <w:spacing w:after="60" w:line="360" w:lineRule="auto"/>
        <w:ind w:firstLine="48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承包人未能按上述协议书执行，发包人有权从履约保函（如有）中 抵扣尚未扣完的预付款。</w:t>
      </w:r>
    </w:p>
    <w:p w14:paraId="6D7C1990">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14.4</w:t>
      </w:r>
      <w:r>
        <w:rPr>
          <w:rFonts w:hint="eastAsia" w:ascii="宋体" w:hAnsi="宋体" w:cs="宋体"/>
          <w:color w:val="000000"/>
          <w:szCs w:val="21"/>
          <w:lang w:val="zh-TW" w:eastAsia="zh-TW" w:bidi="zh-TW"/>
        </w:rPr>
        <w:t>工程进度款</w:t>
      </w:r>
    </w:p>
    <w:p w14:paraId="53E324A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14.4.1</w:t>
      </w:r>
      <w:r>
        <w:rPr>
          <w:rFonts w:hint="eastAsia" w:ascii="宋体" w:hAnsi="宋体" w:cs="宋体"/>
          <w:color w:val="000000"/>
          <w:szCs w:val="21"/>
          <w:lang w:val="zh-TW" w:eastAsia="zh-TW" w:bidi="zh-TW"/>
        </w:rPr>
        <w:t>工程进度款。工程进度款支付方式、支付条件和支付时间等，在专用 条款中约定。</w:t>
      </w:r>
    </w:p>
    <w:p w14:paraId="215754E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14.4.2</w:t>
      </w:r>
      <w:r>
        <w:rPr>
          <w:rFonts w:hint="eastAsia" w:ascii="宋体" w:hAnsi="宋体" w:cs="宋体"/>
          <w:color w:val="000000"/>
          <w:szCs w:val="21"/>
          <w:lang w:val="zh-TW" w:eastAsia="zh-TW" w:bidi="zh-TW"/>
        </w:rPr>
        <w:t>根据工程具体情况，应付的其它进度款，在专用条款约定。</w:t>
      </w:r>
    </w:p>
    <w:p w14:paraId="2B52D34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缺陷责任保修金的暂扣与支付</w:t>
      </w:r>
    </w:p>
    <w:p w14:paraId="4C398FC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14.5.1</w:t>
      </w:r>
      <w:r>
        <w:rPr>
          <w:rFonts w:hint="eastAsia" w:ascii="宋体" w:hAnsi="宋体" w:cs="宋体"/>
          <w:color w:val="000000"/>
          <w:szCs w:val="21"/>
          <w:lang w:val="zh-TW" w:eastAsia="zh-TW" w:bidi="zh-TW"/>
        </w:rPr>
        <w:t>缺陷责任保修金的暂时扣减。发包人可根据</w:t>
      </w:r>
      <w:r>
        <w:rPr>
          <w:rFonts w:hint="eastAsia" w:ascii="宋体" w:hAnsi="宋体" w:cs="宋体"/>
          <w:b/>
          <w:bCs/>
          <w:color w:val="000000"/>
          <w:szCs w:val="21"/>
          <w:lang w:bidi="en-US"/>
        </w:rPr>
        <w:t>11.2.1</w:t>
      </w:r>
      <w:r>
        <w:rPr>
          <w:rFonts w:hint="eastAsia" w:ascii="宋体" w:hAnsi="宋体" w:cs="宋体"/>
          <w:color w:val="000000"/>
          <w:szCs w:val="21"/>
          <w:lang w:val="zh-TW" w:eastAsia="zh-TW" w:bidi="zh-TW"/>
        </w:rPr>
        <w:t>款约定的缺陷责 任保修金金额和</w:t>
      </w:r>
      <w:r>
        <w:rPr>
          <w:rFonts w:hint="eastAsia" w:ascii="宋体" w:hAnsi="宋体" w:cs="宋体"/>
          <w:b/>
          <w:bCs/>
          <w:color w:val="000000"/>
          <w:szCs w:val="21"/>
          <w:lang w:bidi="en-US"/>
        </w:rPr>
        <w:t>11.2.2</w:t>
      </w:r>
      <w:r>
        <w:rPr>
          <w:rFonts w:hint="eastAsia" w:ascii="宋体" w:hAnsi="宋体" w:cs="宋体"/>
          <w:color w:val="000000"/>
          <w:szCs w:val="21"/>
          <w:lang w:val="zh-TW" w:eastAsia="zh-TW" w:bidi="zh-TW"/>
        </w:rPr>
        <w:t>款缺陷责任保修金暂扣的约定，暂时扣减缺陷责任保修 金。</w:t>
      </w:r>
    </w:p>
    <w:p w14:paraId="1BB9857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14.5.2</w:t>
      </w:r>
      <w:r>
        <w:rPr>
          <w:rFonts w:hint="eastAsia" w:ascii="宋体" w:hAnsi="宋体" w:cs="宋体"/>
          <w:color w:val="000000"/>
          <w:szCs w:val="21"/>
          <w:lang w:val="zh-TW" w:eastAsia="zh-TW" w:bidi="zh-TW"/>
        </w:rPr>
        <w:t>缺陷责任保修金的支付</w:t>
      </w:r>
    </w:p>
    <w:p w14:paraId="62168D73">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发包人应在办理工程竣工验收和竣工结算时，将按</w:t>
      </w:r>
      <w:r>
        <w:rPr>
          <w:rFonts w:hint="eastAsia" w:ascii="宋体" w:hAnsi="宋体" w:cs="宋体"/>
          <w:b/>
          <w:bCs/>
          <w:color w:val="000000"/>
          <w:szCs w:val="21"/>
          <w:lang w:bidi="en-US"/>
        </w:rPr>
        <w:t>14.5.1</w:t>
      </w:r>
      <w:r>
        <w:rPr>
          <w:rFonts w:hint="eastAsia" w:ascii="宋体" w:hAnsi="宋体" w:cs="宋体"/>
          <w:color w:val="000000"/>
          <w:szCs w:val="21"/>
          <w:lang w:val="zh-TW" w:eastAsia="zh-TW" w:bidi="zh-TW"/>
        </w:rPr>
        <w:t>款暂时扣减的全部缺陷责任保修金金额的一半支付给承包人，专用条款另有约定时除外。此后，承包人未能按发包人通知修复缺陷责任期内出现的缺陷或委托发包人修复该 缺陷的，修复缺陷的费用，从余下的缺陷责任保修金金额中扣除。发包人应在缺 陷责任期届满后</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日内，将暂扣的缺陷责任保修金余额支付给承包人。</w:t>
      </w:r>
    </w:p>
    <w:p w14:paraId="1ACD9F0E">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专用条款约定承包人可提交缺陷责任保修金保函的，在办理工程竣工 验收和竣工结算时，如承包人请求提供用于替代剩余的缺陷责任保修金的保函， 发包人应在接到承包人按合同约定提交的缺陷责任保修金保函后，向承包人支付 保修金的剩余金额。此后，如承包人未能自费修复缺陷责任期内出现的缺陷或委 托发包人修复该缺陷的，修复缺陷的费用从该保函中扣除。发包人应在缺陷责任 期届满后</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日内，退还该保函。保函的格式、金额和提交时间，在专用条款约定。</w:t>
      </w:r>
    </w:p>
    <w:p w14:paraId="593DE55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14.6</w:t>
      </w:r>
      <w:r>
        <w:rPr>
          <w:rFonts w:hint="eastAsia" w:ascii="宋体" w:hAnsi="宋体" w:cs="宋体"/>
          <w:color w:val="000000"/>
          <w:szCs w:val="21"/>
          <w:lang w:val="zh-TW" w:eastAsia="zh-TW" w:bidi="zh-TW"/>
        </w:rPr>
        <w:t>按月工程进度申请付款</w:t>
      </w:r>
    </w:p>
    <w:p w14:paraId="76920FE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14.6.1</w:t>
      </w:r>
      <w:r>
        <w:rPr>
          <w:rFonts w:hint="eastAsia" w:ascii="宋体" w:hAnsi="宋体" w:cs="宋体"/>
          <w:color w:val="000000"/>
          <w:szCs w:val="21"/>
          <w:lang w:val="zh-TW" w:eastAsia="zh-TW" w:bidi="zh-TW"/>
        </w:rPr>
        <w:t>按月申请付款。按月申请付款的，承包人应以合同协议书约定的合同价格为基础，按每月实际完成的工程量（含设计、釆购、施工、竣工试验和竣 工后试验等）的合同金额，向发包人或监理人提交付款申请。承包人提交付款申 请报告的格式、内容、份数和时间，在专用条款约定。</w:t>
      </w:r>
    </w:p>
    <w:p w14:paraId="3E42ACB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按月付款申请报告中的款项包括：</w:t>
      </w:r>
    </w:p>
    <w:p w14:paraId="718AC316">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14.4</w:t>
      </w:r>
      <w:r>
        <w:rPr>
          <w:rFonts w:hint="eastAsia" w:ascii="宋体" w:hAnsi="宋体" w:cs="宋体"/>
          <w:color w:val="000000"/>
          <w:szCs w:val="21"/>
          <w:lang w:val="zh-TW" w:eastAsia="zh-TW" w:bidi="zh-TW"/>
        </w:rPr>
        <w:t>款工程进度款约定的款项类别；</w:t>
      </w:r>
    </w:p>
    <w:p w14:paraId="004506D2">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13.7</w:t>
      </w:r>
      <w:r>
        <w:rPr>
          <w:rFonts w:hint="eastAsia" w:ascii="宋体" w:hAnsi="宋体" w:cs="宋体"/>
          <w:color w:val="000000"/>
          <w:szCs w:val="21"/>
          <w:lang w:val="zh-TW" w:eastAsia="zh-TW" w:bidi="zh-TW"/>
        </w:rPr>
        <w:t>款合同价格调整约定的增减款项；</w:t>
      </w:r>
    </w:p>
    <w:p w14:paraId="48F88E2D">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款预付款约定的支付及扣减的款项；</w:t>
      </w:r>
    </w:p>
    <w:p w14:paraId="2D123E15">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款缺陷责任保修金约定暂扣及支付的款项；</w:t>
      </w:r>
    </w:p>
    <w:p w14:paraId="0A644081">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16.2</w:t>
      </w:r>
      <w:r>
        <w:rPr>
          <w:rFonts w:hint="eastAsia" w:ascii="宋体" w:hAnsi="宋体" w:cs="宋体"/>
          <w:color w:val="000000"/>
          <w:szCs w:val="21"/>
          <w:lang w:val="zh-TW" w:eastAsia="zh-TW" w:bidi="zh-TW"/>
        </w:rPr>
        <w:t>款索赔结果增减的款项；</w:t>
      </w:r>
    </w:p>
    <w:p w14:paraId="5AEF5FA8">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根据另行签订的本合同补充协议增减的款项。</w:t>
      </w:r>
    </w:p>
    <w:p w14:paraId="07640A49">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14.6.2</w:t>
      </w:r>
      <w:r>
        <w:rPr>
          <w:rFonts w:hint="eastAsia" w:ascii="宋体" w:hAnsi="宋体" w:cs="宋体"/>
          <w:color w:val="000000"/>
          <w:szCs w:val="21"/>
          <w:lang w:val="zh-TW" w:eastAsia="zh-TW" w:bidi="zh-TW"/>
        </w:rPr>
        <w:t xml:space="preserve">如双方约定了 </w:t>
      </w:r>
      <w:r>
        <w:rPr>
          <w:rFonts w:hint="eastAsia" w:ascii="宋体" w:hAnsi="宋体" w:cs="宋体"/>
          <w:b/>
          <w:bCs/>
          <w:color w:val="000000"/>
          <w:szCs w:val="21"/>
          <w:lang w:bidi="en-US"/>
        </w:rPr>
        <w:t>14.6.1</w:t>
      </w:r>
      <w:r>
        <w:rPr>
          <w:rFonts w:hint="eastAsia" w:ascii="宋体" w:hAnsi="宋体" w:cs="宋体"/>
          <w:color w:val="000000"/>
          <w:szCs w:val="21"/>
          <w:lang w:val="zh-TW" w:eastAsia="zh-TW" w:bidi="zh-TW"/>
        </w:rPr>
        <w:t>款按月工程进度申请付款的方式时，则不能再约 定按</w:t>
      </w:r>
      <w:r>
        <w:rPr>
          <w:rFonts w:hint="eastAsia" w:ascii="宋体" w:hAnsi="宋体" w:cs="宋体"/>
          <w:b/>
          <w:bCs/>
          <w:color w:val="000000"/>
          <w:szCs w:val="21"/>
          <w:lang w:bidi="en-US"/>
        </w:rPr>
        <w:t>14.7</w:t>
      </w:r>
      <w:r>
        <w:rPr>
          <w:rFonts w:hint="eastAsia" w:ascii="宋体" w:hAnsi="宋体" w:cs="宋体"/>
          <w:color w:val="000000"/>
          <w:szCs w:val="21"/>
          <w:lang w:val="zh-TW" w:eastAsia="zh-TW" w:bidi="zh-TW"/>
        </w:rPr>
        <w:t>款按付款计划表申请付款的方式。</w:t>
      </w:r>
    </w:p>
    <w:p w14:paraId="2214578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14.7</w:t>
      </w:r>
      <w:r>
        <w:rPr>
          <w:rFonts w:hint="eastAsia" w:ascii="宋体" w:hAnsi="宋体" w:cs="宋体"/>
          <w:color w:val="000000"/>
          <w:szCs w:val="21"/>
          <w:lang w:val="zh-TW" w:eastAsia="zh-TW" w:bidi="zh-TW"/>
        </w:rPr>
        <w:t>按付款计划表申请付款</w:t>
      </w:r>
    </w:p>
    <w:p w14:paraId="409EACF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14.7.1</w:t>
      </w:r>
      <w:r>
        <w:rPr>
          <w:rFonts w:hint="eastAsia" w:ascii="宋体" w:hAnsi="宋体" w:cs="宋体"/>
          <w:color w:val="000000"/>
          <w:szCs w:val="21"/>
          <w:lang w:val="zh-TW" w:eastAsia="zh-TW" w:bidi="zh-TW"/>
        </w:rPr>
        <w:t>按付款计划表申请付款</w:t>
      </w:r>
    </w:p>
    <w:p w14:paraId="7E6F350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按付款计划表申请付款的，承包人应以合同协议书约定的合同价格为基础，按照专用条款约定的付款期数、计划每期达到的主要形象进度和（或）完成的主 要计划工程量（含设计、采购、施工、竣工试验和竣工后试验等）等目标任务， 以及每期付款金额，并依据专用条款约定的格式、内容、份数和提交时间，向发包人或监理人提交当期付款申请报告。</w:t>
      </w:r>
    </w:p>
    <w:p w14:paraId="4D08B15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每期付款申请报告中的款项包括：</w:t>
      </w:r>
    </w:p>
    <w:p w14:paraId="70BC6157">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按专用条款中约定的当期计划申请付款的金额；</w:t>
      </w:r>
    </w:p>
    <w:p w14:paraId="4E1A2B1E">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13.7</w:t>
      </w:r>
      <w:r>
        <w:rPr>
          <w:rFonts w:hint="eastAsia" w:ascii="宋体" w:hAnsi="宋体" w:cs="宋体"/>
          <w:color w:val="000000"/>
          <w:szCs w:val="21"/>
          <w:lang w:val="zh-TW" w:eastAsia="zh-TW" w:bidi="zh-TW"/>
        </w:rPr>
        <w:t>款合同价款调整约定的增减款项；</w:t>
      </w:r>
    </w:p>
    <w:p w14:paraId="084A96C2">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款预付款约定的，支付及扣减的款项；</w:t>
      </w:r>
    </w:p>
    <w:p w14:paraId="4DC3C7B1">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w:t>
      </w: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款缺陷责任保修金约定暂扣及支付的款项；</w:t>
      </w:r>
    </w:p>
    <w:p w14:paraId="43C208CD">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16.2</w:t>
      </w:r>
      <w:r>
        <w:rPr>
          <w:rFonts w:hint="eastAsia" w:ascii="宋体" w:hAnsi="宋体" w:cs="宋体"/>
          <w:color w:val="000000"/>
          <w:szCs w:val="21"/>
          <w:lang w:val="zh-TW" w:eastAsia="zh-TW" w:bidi="zh-TW"/>
        </w:rPr>
        <w:t>款索赔结果增减的款项；</w:t>
      </w:r>
    </w:p>
    <w:p w14:paraId="4B312518">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根据另行签订的本合同的补充协议增减的款项。</w:t>
      </w:r>
    </w:p>
    <w:p w14:paraId="388E44E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14.7.2</w:t>
      </w:r>
      <w:r>
        <w:rPr>
          <w:rFonts w:hint="eastAsia" w:ascii="宋体" w:hAnsi="宋体" w:cs="宋体"/>
          <w:color w:val="000000"/>
          <w:szCs w:val="21"/>
          <w:lang w:val="zh-TW" w:eastAsia="zh-TW" w:bidi="zh-TW"/>
        </w:rPr>
        <w:t>发包人按付款计划表付款时，承包人的实际工作和（或）实际进度 比付款计划表约定的关键路径的目标任务落后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日及以上时，发包人有权与承 包人商定减少当期付款金额，并有权与承包人共同调整付款计划表。承包人以后 各期的付款申请及发包人的付款，以调整后的付款计划表为依据。</w:t>
      </w:r>
    </w:p>
    <w:p w14:paraId="0725841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14.7.3</w:t>
      </w:r>
      <w:r>
        <w:rPr>
          <w:rFonts w:hint="eastAsia" w:ascii="宋体" w:hAnsi="宋体" w:cs="宋体"/>
          <w:color w:val="000000"/>
          <w:szCs w:val="21"/>
          <w:lang w:val="zh-TW" w:eastAsia="zh-TW" w:bidi="zh-TW"/>
        </w:rPr>
        <w:t>如双方约定了按</w:t>
      </w:r>
      <w:r>
        <w:rPr>
          <w:rFonts w:hint="eastAsia" w:ascii="宋体" w:hAnsi="宋体" w:cs="宋体"/>
          <w:b/>
          <w:bCs/>
          <w:color w:val="000000"/>
          <w:szCs w:val="21"/>
          <w:lang w:bidi="en-US"/>
        </w:rPr>
        <w:t>14.7</w:t>
      </w:r>
      <w:r>
        <w:rPr>
          <w:rFonts w:hint="eastAsia" w:ascii="宋体" w:hAnsi="宋体" w:cs="宋体"/>
          <w:color w:val="000000"/>
          <w:szCs w:val="21"/>
          <w:lang w:val="zh-TW" w:eastAsia="zh-TW" w:bidi="zh-TW"/>
        </w:rPr>
        <w:t>款付款计划表的方式申请付款时，不能再约定 按</w:t>
      </w:r>
      <w:r>
        <w:rPr>
          <w:rFonts w:hint="eastAsia" w:ascii="宋体" w:hAnsi="宋体" w:cs="宋体"/>
          <w:b/>
          <w:bCs/>
          <w:color w:val="000000"/>
          <w:szCs w:val="21"/>
          <w:lang w:bidi="en-US"/>
        </w:rPr>
        <w:t>14.6</w:t>
      </w:r>
      <w:r>
        <w:rPr>
          <w:rFonts w:hint="eastAsia" w:ascii="宋体" w:hAnsi="宋体" w:cs="宋体"/>
          <w:color w:val="000000"/>
          <w:szCs w:val="21"/>
          <w:lang w:val="zh-TW" w:eastAsia="zh-TW" w:bidi="zh-TW"/>
        </w:rPr>
        <w:t>款按月工程进度付款申请的方式。</w:t>
      </w:r>
    </w:p>
    <w:p w14:paraId="00B6E6F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14.8</w:t>
      </w:r>
      <w:r>
        <w:rPr>
          <w:rFonts w:hint="eastAsia" w:ascii="宋体" w:hAnsi="宋体" w:cs="宋体"/>
          <w:color w:val="000000"/>
          <w:szCs w:val="21"/>
          <w:lang w:val="zh-TW" w:eastAsia="zh-TW" w:bidi="zh-TW"/>
        </w:rPr>
        <w:t>付款条件与时间安排</w:t>
      </w:r>
    </w:p>
    <w:p w14:paraId="3892E9CE">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14.8.1</w:t>
      </w:r>
      <w:r>
        <w:rPr>
          <w:rFonts w:hint="eastAsia" w:ascii="宋体" w:hAnsi="宋体" w:cs="宋体"/>
          <w:color w:val="000000"/>
          <w:szCs w:val="21"/>
          <w:lang w:val="zh-TW" w:eastAsia="zh-TW" w:bidi="zh-TW"/>
        </w:rPr>
        <w:t>付款条件</w:t>
      </w:r>
    </w:p>
    <w:p w14:paraId="60C4CA7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双方约定由承包人提交履约保函时，履约保函的提交应为发包人支付各项款项的前提条件；未约定履约保函时，发包人按约定支付各项款项。</w:t>
      </w:r>
    </w:p>
    <w:p w14:paraId="02CD61D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14.8.2</w:t>
      </w:r>
      <w:r>
        <w:rPr>
          <w:rFonts w:hint="eastAsia" w:ascii="宋体" w:hAnsi="宋体" w:cs="宋体"/>
          <w:color w:val="000000"/>
          <w:szCs w:val="21"/>
          <w:lang w:val="zh-TW" w:eastAsia="zh-TW" w:bidi="zh-TW"/>
        </w:rPr>
        <w:t>预付款的支付</w:t>
      </w:r>
    </w:p>
    <w:p w14:paraId="21F4459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工程预付款的支付依据</w:t>
      </w:r>
      <w:r>
        <w:rPr>
          <w:rFonts w:hint="eastAsia" w:ascii="宋体" w:hAnsi="宋体" w:cs="宋体"/>
          <w:b/>
          <w:bCs/>
          <w:color w:val="000000"/>
          <w:szCs w:val="21"/>
          <w:lang w:bidi="en-US"/>
        </w:rPr>
        <w:t>14.3.2</w:t>
      </w:r>
      <w:r>
        <w:rPr>
          <w:rFonts w:hint="eastAsia" w:ascii="宋体" w:hAnsi="宋体" w:cs="宋体"/>
          <w:color w:val="000000"/>
          <w:szCs w:val="21"/>
          <w:lang w:val="zh-TW" w:eastAsia="zh-TW" w:bidi="zh-TW"/>
        </w:rPr>
        <w:t>款预付款支付的约定执行。预付款抵扣完后，发包人应及时向承包人退还预付款保函。</w:t>
      </w:r>
    </w:p>
    <w:p w14:paraId="7C6E9B6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14.8.3</w:t>
      </w:r>
      <w:r>
        <w:rPr>
          <w:rFonts w:hint="eastAsia" w:ascii="宋体" w:hAnsi="宋体" w:cs="宋体"/>
          <w:color w:val="000000"/>
          <w:szCs w:val="21"/>
          <w:lang w:val="zh-TW" w:eastAsia="zh-TW" w:bidi="zh-TW"/>
        </w:rPr>
        <w:t>工程进度款</w:t>
      </w:r>
    </w:p>
    <w:p w14:paraId="6410DA63">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按月工程进度申请与付款。依据</w:t>
      </w:r>
      <w:r>
        <w:rPr>
          <w:rFonts w:hint="eastAsia" w:ascii="宋体" w:hAnsi="宋体" w:cs="宋体"/>
          <w:b/>
          <w:bCs/>
          <w:color w:val="000000"/>
          <w:szCs w:val="21"/>
          <w:lang w:bidi="en-US"/>
        </w:rPr>
        <w:t>14.6.1</w:t>
      </w:r>
      <w:r>
        <w:rPr>
          <w:rFonts w:hint="eastAsia" w:ascii="宋体" w:hAnsi="宋体" w:cs="宋体"/>
          <w:color w:val="000000"/>
          <w:szCs w:val="21"/>
          <w:lang w:val="zh-TW" w:eastAsia="zh-TW" w:bidi="zh-TW"/>
        </w:rPr>
        <w:t>款按月工程进度申请付款和付款时，发包人应在收到承包人按</w:t>
      </w:r>
      <w:r>
        <w:rPr>
          <w:rFonts w:hint="eastAsia" w:ascii="宋体" w:hAnsi="宋体" w:cs="宋体"/>
          <w:b/>
          <w:bCs/>
          <w:color w:val="000000"/>
          <w:szCs w:val="21"/>
          <w:lang w:bidi="en-US"/>
        </w:rPr>
        <w:t>14.6.1</w:t>
      </w:r>
      <w:r>
        <w:rPr>
          <w:rFonts w:hint="eastAsia" w:ascii="宋体" w:hAnsi="宋体" w:cs="宋体"/>
          <w:color w:val="000000"/>
          <w:szCs w:val="21"/>
          <w:lang w:val="zh-TW" w:eastAsia="zh-TW" w:bidi="zh-TW"/>
        </w:rPr>
        <w:t>款提交的每月付款申请报告之日起的</w:t>
      </w:r>
      <w:r>
        <w:rPr>
          <w:rFonts w:hint="eastAsia" w:ascii="宋体" w:hAnsi="宋体" w:cs="宋体"/>
          <w:b/>
          <w:bCs/>
          <w:color w:val="000000"/>
          <w:szCs w:val="21"/>
          <w:lang w:val="zh-TW" w:eastAsia="zh-TW" w:bidi="zh-TW"/>
        </w:rPr>
        <w:t xml:space="preserve">25 </w:t>
      </w:r>
      <w:r>
        <w:rPr>
          <w:rFonts w:hint="eastAsia" w:ascii="宋体" w:hAnsi="宋体" w:cs="宋体"/>
          <w:color w:val="000000"/>
          <w:szCs w:val="21"/>
          <w:lang w:val="zh-TW" w:eastAsia="zh-TW" w:bidi="zh-TW"/>
        </w:rPr>
        <w:t>日内审査并支付。</w:t>
      </w:r>
    </w:p>
    <w:p w14:paraId="7A26FF36">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按付款计划表申请与付款。依据</w:t>
      </w:r>
      <w:r>
        <w:rPr>
          <w:rFonts w:hint="eastAsia" w:ascii="宋体" w:hAnsi="宋体" w:cs="宋体"/>
          <w:b/>
          <w:bCs/>
          <w:color w:val="000000"/>
          <w:szCs w:val="21"/>
          <w:lang w:bidi="en-US"/>
        </w:rPr>
        <w:t>14.7.1</w:t>
      </w:r>
      <w:r>
        <w:rPr>
          <w:rFonts w:hint="eastAsia" w:ascii="宋体" w:hAnsi="宋体" w:cs="宋体"/>
          <w:color w:val="000000"/>
          <w:szCs w:val="21"/>
          <w:lang w:val="zh-TW" w:eastAsia="zh-TW" w:bidi="zh-TW"/>
        </w:rPr>
        <w:t>款按付款计划表申请付款和付款时，发包人应在收到承包人按</w:t>
      </w:r>
      <w:r>
        <w:rPr>
          <w:rFonts w:hint="eastAsia" w:ascii="宋体" w:hAnsi="宋体" w:cs="宋体"/>
          <w:b/>
          <w:bCs/>
          <w:color w:val="000000"/>
          <w:szCs w:val="21"/>
          <w:lang w:bidi="en-US"/>
        </w:rPr>
        <w:t>14.7.1</w:t>
      </w:r>
      <w:r>
        <w:rPr>
          <w:rFonts w:hint="eastAsia" w:ascii="宋体" w:hAnsi="宋体" w:cs="宋体"/>
          <w:color w:val="000000"/>
          <w:szCs w:val="21"/>
          <w:lang w:val="zh-TW" w:eastAsia="zh-TW" w:bidi="zh-TW"/>
        </w:rPr>
        <w:t>款提交的每期付款申请报告之日起的</w:t>
      </w:r>
      <w:r>
        <w:rPr>
          <w:rFonts w:hint="eastAsia" w:ascii="宋体" w:hAnsi="宋体" w:cs="宋体"/>
          <w:b/>
          <w:bCs/>
          <w:color w:val="000000"/>
          <w:szCs w:val="21"/>
          <w:lang w:val="zh-TW" w:eastAsia="zh-TW" w:bidi="zh-TW"/>
        </w:rPr>
        <w:t xml:space="preserve">25 </w:t>
      </w:r>
      <w:r>
        <w:rPr>
          <w:rFonts w:hint="eastAsia" w:ascii="宋体" w:hAnsi="宋体" w:cs="宋体"/>
          <w:color w:val="000000"/>
          <w:szCs w:val="21"/>
          <w:lang w:val="zh-TW" w:eastAsia="zh-TW" w:bidi="zh-TW"/>
        </w:rPr>
        <w:t>日内审査并支付。</w:t>
      </w:r>
    </w:p>
    <w:p w14:paraId="7CBE839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14.9</w:t>
      </w:r>
      <w:r>
        <w:rPr>
          <w:rFonts w:hint="eastAsia" w:ascii="宋体" w:hAnsi="宋体" w:cs="宋体"/>
          <w:color w:val="000000"/>
          <w:szCs w:val="21"/>
          <w:lang w:val="zh-TW" w:eastAsia="zh-TW" w:bidi="zh-TW"/>
        </w:rPr>
        <w:t>付款时间延误</w:t>
      </w:r>
    </w:p>
    <w:p w14:paraId="68313B5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14.9.1</w:t>
      </w:r>
      <w:r>
        <w:rPr>
          <w:rFonts w:hint="eastAsia" w:ascii="宋体" w:hAnsi="宋体" w:cs="宋体"/>
          <w:color w:val="000000"/>
          <w:szCs w:val="21"/>
          <w:lang w:val="zh-TW" w:eastAsia="zh-TW" w:bidi="zh-TW"/>
        </w:rPr>
        <w:t>因发包人的原因未能按</w:t>
      </w:r>
      <w:r>
        <w:rPr>
          <w:rFonts w:hint="eastAsia" w:ascii="宋体" w:hAnsi="宋体" w:cs="宋体"/>
          <w:b/>
          <w:bCs/>
          <w:color w:val="000000"/>
          <w:szCs w:val="21"/>
          <w:lang w:bidi="en-US"/>
        </w:rPr>
        <w:t>14.8.3</w:t>
      </w:r>
      <w:r>
        <w:rPr>
          <w:rFonts w:hint="eastAsia" w:ascii="宋体" w:hAnsi="宋体" w:cs="宋体"/>
          <w:color w:val="000000"/>
          <w:szCs w:val="21"/>
          <w:lang w:val="zh-TW" w:eastAsia="zh-TW" w:bidi="zh-TW"/>
        </w:rPr>
        <w:t>款约定的时间向承包人支付工程进度款的，应从发包人收到付款申请报告后的第</w:t>
      </w:r>
      <w:r>
        <w:rPr>
          <w:rFonts w:hint="eastAsia" w:ascii="宋体" w:hAnsi="宋体" w:cs="宋体"/>
          <w:b/>
          <w:bCs/>
          <w:color w:val="000000"/>
          <w:szCs w:val="21"/>
          <w:lang w:val="zh-TW" w:eastAsia="zh-TW" w:bidi="zh-TW"/>
        </w:rPr>
        <w:t>26</w:t>
      </w:r>
      <w:r>
        <w:rPr>
          <w:rFonts w:hint="eastAsia" w:ascii="宋体" w:hAnsi="宋体" w:cs="宋体"/>
          <w:color w:val="000000"/>
          <w:szCs w:val="21"/>
          <w:lang w:val="zh-TW" w:eastAsia="zh-TW" w:bidi="zh-TW"/>
        </w:rPr>
        <w:t>日开始，以中国人民银行颁布的 同期同类贷款利率向承包人支付延期付款的利息，作为延期付款的违约金额。</w:t>
      </w:r>
    </w:p>
    <w:p w14:paraId="715FE29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14.9.2</w:t>
      </w:r>
      <w:r>
        <w:rPr>
          <w:rFonts w:hint="eastAsia" w:ascii="宋体" w:hAnsi="宋体" w:cs="宋体"/>
          <w:color w:val="000000"/>
          <w:szCs w:val="21"/>
          <w:lang w:val="zh-TW" w:eastAsia="zh-TW" w:bidi="zh-TW"/>
        </w:rPr>
        <w:t>发包人延误付款</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日以上，承包人有权向发包人发出要求付款的通 知，发包人收到通知后仍不能付款的，承包人可暂停部分工作，视为发包人导致 的暂停，并遵照</w:t>
      </w:r>
      <w:r>
        <w:rPr>
          <w:rFonts w:hint="eastAsia" w:ascii="宋体" w:hAnsi="宋体" w:cs="宋体"/>
          <w:b/>
          <w:bCs/>
          <w:color w:val="000000"/>
          <w:szCs w:val="21"/>
          <w:lang w:bidi="en-US"/>
        </w:rPr>
        <w:t>4.6.1</w:t>
      </w:r>
      <w:r>
        <w:rPr>
          <w:rFonts w:hint="eastAsia" w:ascii="宋体" w:hAnsi="宋体" w:cs="宋体"/>
          <w:color w:val="000000"/>
          <w:szCs w:val="21"/>
          <w:lang w:val="zh-TW" w:eastAsia="zh-TW" w:bidi="zh-TW"/>
        </w:rPr>
        <w:t>款发包人的暂停的约定执行。</w:t>
      </w:r>
    </w:p>
    <w:p w14:paraId="5B8A176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双方协商签订延期付款协议书的，发包人应按延期付款协议书中约定的期 数、时间、金额和利息付款；如双方未能达成延期付款协议，导致工程无法实施， 承包人可停止部分或全部工程，发包人应承担违约责任，导致工程关键路径延误 时，竣工日期顺延。</w:t>
      </w:r>
    </w:p>
    <w:p w14:paraId="53D10B9C">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14.9.3</w:t>
      </w:r>
      <w:r>
        <w:rPr>
          <w:rFonts w:hint="eastAsia" w:ascii="宋体" w:hAnsi="宋体" w:cs="宋体"/>
          <w:color w:val="000000"/>
          <w:szCs w:val="21"/>
          <w:lang w:val="zh-TW" w:eastAsia="zh-TW" w:bidi="zh-TW"/>
        </w:rPr>
        <w:t>发包人的延误付款达</w:t>
      </w:r>
      <w:r>
        <w:rPr>
          <w:rFonts w:hint="eastAsia" w:ascii="宋体" w:hAnsi="宋体" w:cs="宋体"/>
          <w:b/>
          <w:bCs/>
          <w:color w:val="000000"/>
          <w:szCs w:val="21"/>
          <w:lang w:val="zh-TW" w:eastAsia="zh-TW" w:bidi="zh-TW"/>
        </w:rPr>
        <w:t>60</w:t>
      </w:r>
      <w:r>
        <w:rPr>
          <w:rFonts w:hint="eastAsia" w:ascii="宋体" w:hAnsi="宋体" w:cs="宋体"/>
          <w:color w:val="000000"/>
          <w:szCs w:val="21"/>
          <w:lang w:val="zh-TW" w:eastAsia="zh-TW" w:bidi="zh-TW"/>
        </w:rPr>
        <w:t>日以上，并影响到整个工程实施的，承包人有权根据</w:t>
      </w:r>
      <w:r>
        <w:rPr>
          <w:rFonts w:hint="eastAsia" w:ascii="宋体" w:hAnsi="宋体" w:cs="宋体"/>
          <w:b/>
          <w:bCs/>
          <w:color w:val="000000"/>
          <w:szCs w:val="21"/>
          <w:lang w:bidi="en-US"/>
        </w:rPr>
        <w:t>18.2</w:t>
      </w:r>
      <w:r>
        <w:rPr>
          <w:rFonts w:hint="eastAsia" w:ascii="宋体" w:hAnsi="宋体" w:cs="宋体"/>
          <w:color w:val="000000"/>
          <w:szCs w:val="21"/>
          <w:lang w:val="zh-TW" w:eastAsia="zh-TW" w:bidi="zh-TW"/>
        </w:rPr>
        <w:t>款的约定向发包人发出解除合同的通知，并有权就因此增加的相 关费用向发包人提出索赔。</w:t>
      </w:r>
    </w:p>
    <w:p w14:paraId="1313BF3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14.10</w:t>
      </w:r>
      <w:r>
        <w:rPr>
          <w:rFonts w:hint="eastAsia" w:ascii="宋体" w:hAnsi="宋体" w:cs="宋体"/>
          <w:color w:val="000000"/>
          <w:szCs w:val="21"/>
          <w:lang w:val="zh-TW" w:eastAsia="zh-TW" w:bidi="zh-TW"/>
        </w:rPr>
        <w:t>税务与关税</w:t>
      </w:r>
    </w:p>
    <w:p w14:paraId="1A4A7CD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14.10.1</w:t>
      </w:r>
      <w:r>
        <w:rPr>
          <w:rFonts w:hint="eastAsia" w:ascii="宋体" w:hAnsi="宋体" w:cs="宋体"/>
          <w:color w:val="000000"/>
          <w:szCs w:val="21"/>
          <w:lang w:val="zh-TW" w:eastAsia="zh-TW" w:bidi="zh-TW"/>
        </w:rPr>
        <w:t>发包人与承包人按国家有关纳税规定，各自履行各自的纳税义务，含与进口工程物资相关的各项纳税义务。</w:t>
      </w:r>
    </w:p>
    <w:p w14:paraId="167992B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14.10.2</w:t>
      </w:r>
      <w:r>
        <w:rPr>
          <w:rFonts w:hint="eastAsia" w:ascii="宋体" w:hAnsi="宋体" w:cs="宋体"/>
          <w:color w:val="000000"/>
          <w:szCs w:val="21"/>
          <w:lang w:val="zh-TW" w:eastAsia="zh-TW" w:bidi="zh-TW"/>
        </w:rPr>
        <w:t>合同一方享有本合同进口工程设备、材料、设备配件等进口增值税和关税减免时，另一方有义务就办理减免税手续给予协助和配合。</w:t>
      </w:r>
    </w:p>
    <w:p w14:paraId="17A7051D">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14.11</w:t>
      </w:r>
      <w:r>
        <w:rPr>
          <w:rFonts w:hint="eastAsia" w:ascii="宋体" w:hAnsi="宋体" w:cs="宋体"/>
          <w:color w:val="000000"/>
          <w:szCs w:val="21"/>
          <w:lang w:val="zh-TW" w:eastAsia="zh-TW" w:bidi="zh-TW"/>
        </w:rPr>
        <w:t>索赔款项的支付</w:t>
      </w:r>
    </w:p>
    <w:p w14:paraId="75F0621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14.11.1</w:t>
      </w:r>
      <w:r>
        <w:rPr>
          <w:rFonts w:hint="eastAsia" w:ascii="宋体" w:hAnsi="宋体" w:cs="宋体"/>
          <w:color w:val="000000"/>
          <w:szCs w:val="21"/>
          <w:lang w:val="zh-TW" w:eastAsia="zh-TW" w:bidi="zh-TW"/>
        </w:rPr>
        <w:t>经协商或调解确定的、或经仲裁裁决的、或法院判决的发包人应得的索赔款项，发包人可从应支付给承包人的当月工程进度款或当期付款计划表的付款中扣减该索赔款项。当支付给承包人的各期工程进度款中不足以抵扣发包人 的索赔款项时，承包人应当另行支付。承包人未能支付，可协商支付协议，仍未 支付时，发包人可从履约保函（如有）中抵扣。如履约保函不足以抵扣时，承包 人须另行支付该索赔款项，或以双方协商一致的支付协议的期限支付。</w:t>
      </w:r>
    </w:p>
    <w:p w14:paraId="4965557F">
      <w:pPr>
        <w:spacing w:after="12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14.11.2</w:t>
      </w:r>
      <w:r>
        <w:rPr>
          <w:rFonts w:hint="eastAsia" w:ascii="宋体" w:hAnsi="宋体" w:cs="宋体"/>
          <w:color w:val="000000"/>
          <w:szCs w:val="21"/>
          <w:lang w:val="zh-TW" w:eastAsia="zh-TW" w:bidi="zh-TW"/>
        </w:rPr>
        <w:t>经协商或调解确定的、或经仲裁裁决的、或法院判决的承包人应得 的索赔款项，承包人可在当月工程进度款或当期付款计划表的付款申请中单列该 索赔款项，发包人应在当期付款中支付该索赔款项。发包人未能支付该索赔款项 时，承包人有权从发包人提交的支付保函（如有）中抵扣。如未约定支付保函时， 发包人须另行支付该索赔款项。</w:t>
      </w:r>
    </w:p>
    <w:p w14:paraId="7608F2A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w:t>
      </w:r>
      <w:r>
        <w:rPr>
          <w:rFonts w:hint="eastAsia" w:ascii="宋体" w:hAnsi="宋体" w:cs="宋体"/>
          <w:color w:val="000000"/>
          <w:szCs w:val="21"/>
          <w:lang w:val="zh-TW" w:eastAsia="zh-TW" w:bidi="zh-TW"/>
        </w:rPr>
        <w:t>竣工结算</w:t>
      </w:r>
    </w:p>
    <w:p w14:paraId="767BBC1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14.12.1</w:t>
      </w:r>
      <w:r>
        <w:rPr>
          <w:rFonts w:hint="eastAsia" w:ascii="宋体" w:hAnsi="宋体" w:cs="宋体"/>
          <w:color w:val="000000"/>
          <w:szCs w:val="21"/>
          <w:lang w:val="zh-TW" w:eastAsia="zh-TW" w:bidi="zh-TW"/>
        </w:rPr>
        <w:t>提交竣工结算资料</w:t>
      </w:r>
    </w:p>
    <w:p w14:paraId="0950CFE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承包人应在根据</w:t>
      </w:r>
      <w:r>
        <w:rPr>
          <w:rFonts w:hint="eastAsia" w:ascii="宋体" w:hAnsi="宋体" w:cs="宋体"/>
          <w:b/>
          <w:bCs/>
          <w:color w:val="000000"/>
          <w:szCs w:val="21"/>
          <w:lang w:bidi="en-US"/>
        </w:rPr>
        <w:t>12.1</w:t>
      </w:r>
      <w:r>
        <w:rPr>
          <w:rFonts w:hint="eastAsia" w:ascii="宋体" w:hAnsi="宋体" w:cs="宋体"/>
          <w:color w:val="000000"/>
          <w:szCs w:val="21"/>
          <w:lang w:val="zh-TW" w:eastAsia="zh-TW" w:bidi="zh-TW"/>
        </w:rPr>
        <w:t>款的约定提交的竣工验收报告和完整的竣工资料被发 包人确认后的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日内，向发包人递交竣工结算报告和完整的竣工结算资料。竣 工结算资料的格式、内容和份数，在专用条款中约定。</w:t>
      </w:r>
    </w:p>
    <w:p w14:paraId="0E22E4F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14.12.2</w:t>
      </w:r>
      <w:r>
        <w:rPr>
          <w:rFonts w:hint="eastAsia" w:ascii="宋体" w:hAnsi="宋体" w:cs="宋体"/>
          <w:color w:val="000000"/>
          <w:szCs w:val="21"/>
          <w:lang w:val="zh-TW" w:eastAsia="zh-TW" w:bidi="zh-TW"/>
        </w:rPr>
        <w:t>最终竣工结算资料</w:t>
      </w:r>
    </w:p>
    <w:p w14:paraId="1FD769F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发包人应在收到承包人提交的竣工结算报告和完整的竣工结算资料后的</w:t>
      </w:r>
      <w:r>
        <w:rPr>
          <w:rFonts w:hint="eastAsia" w:ascii="宋体" w:hAnsi="宋体" w:cs="宋体"/>
          <w:b/>
          <w:bCs/>
          <w:color w:val="000000"/>
          <w:szCs w:val="21"/>
          <w:lang w:val="zh-TW" w:eastAsia="zh-TW" w:bidi="zh-TW"/>
        </w:rPr>
        <w:t xml:space="preserve">30 </w:t>
      </w:r>
      <w:r>
        <w:rPr>
          <w:rFonts w:hint="eastAsia" w:ascii="宋体" w:hAnsi="宋体" w:cs="宋体"/>
          <w:color w:val="000000"/>
          <w:szCs w:val="21"/>
          <w:lang w:val="zh-TW" w:eastAsia="zh-TW" w:bidi="zh-TW"/>
        </w:rPr>
        <w:t>日内，进行审査并提出修改意见，双方就竣工结算报告和完整的竣工结算资料的 修改达成一致意见后，由承包人自费进行修正，并提交最终的竣工结算报告和最 终的结算资料。</w:t>
      </w:r>
    </w:p>
    <w:p w14:paraId="336AAFD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14.12.3</w:t>
      </w:r>
      <w:r>
        <w:rPr>
          <w:rFonts w:hint="eastAsia" w:ascii="宋体" w:hAnsi="宋体" w:cs="宋体"/>
          <w:color w:val="000000"/>
          <w:szCs w:val="21"/>
          <w:lang w:val="zh-TW" w:eastAsia="zh-TW" w:bidi="zh-TW"/>
        </w:rPr>
        <w:t>结清竣工结算的款项</w:t>
      </w:r>
    </w:p>
    <w:p w14:paraId="667DE78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发包人应在收到承包人按</w:t>
      </w:r>
      <w:r>
        <w:rPr>
          <w:rFonts w:hint="eastAsia" w:ascii="宋体" w:hAnsi="宋体" w:cs="宋体"/>
          <w:b/>
          <w:bCs/>
          <w:color w:val="000000"/>
          <w:szCs w:val="21"/>
          <w:lang w:bidi="en-US"/>
        </w:rPr>
        <w:t>14.12.2</w:t>
      </w:r>
      <w:r>
        <w:rPr>
          <w:rFonts w:hint="eastAsia" w:ascii="宋体" w:hAnsi="宋体" w:cs="宋体"/>
          <w:color w:val="000000"/>
          <w:szCs w:val="21"/>
          <w:lang w:val="zh-TW" w:eastAsia="zh-TW" w:bidi="zh-TW"/>
        </w:rPr>
        <w:t>款的约定提交的最终竣工结算资料的</w:t>
      </w:r>
      <w:r>
        <w:rPr>
          <w:rFonts w:hint="eastAsia" w:ascii="宋体" w:hAnsi="宋体" w:cs="宋体"/>
          <w:b/>
          <w:bCs/>
          <w:color w:val="000000"/>
          <w:szCs w:val="21"/>
          <w:lang w:val="zh-TW" w:eastAsia="zh-TW" w:bidi="zh-TW"/>
        </w:rPr>
        <w:t xml:space="preserve">30 </w:t>
      </w:r>
      <w:r>
        <w:rPr>
          <w:rFonts w:hint="eastAsia" w:ascii="宋体" w:hAnsi="宋体" w:cs="宋体"/>
          <w:color w:val="000000"/>
          <w:szCs w:val="21"/>
          <w:lang w:val="zh-TW" w:eastAsia="zh-TW" w:bidi="zh-TW"/>
        </w:rPr>
        <w:t>日内，结清竣工结算的款项。竣工款结清后</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日内，发包人应将承包人按</w:t>
      </w:r>
      <w:r>
        <w:rPr>
          <w:rFonts w:hint="eastAsia" w:ascii="宋体" w:hAnsi="宋体" w:cs="宋体"/>
          <w:b/>
          <w:bCs/>
          <w:color w:val="000000"/>
          <w:szCs w:val="21"/>
          <w:lang w:bidi="en-US"/>
        </w:rPr>
        <w:t xml:space="preserve">14.2.1 </w:t>
      </w:r>
      <w:r>
        <w:rPr>
          <w:rFonts w:hint="eastAsia" w:ascii="宋体" w:hAnsi="宋体" w:cs="宋体"/>
          <w:color w:val="000000"/>
          <w:szCs w:val="21"/>
          <w:lang w:val="zh-TW" w:eastAsia="zh-TW" w:bidi="zh-TW"/>
        </w:rPr>
        <w:t>款约定提交的履约保函返还给承包人;承包人应将发包人按</w:t>
      </w:r>
      <w:r>
        <w:rPr>
          <w:rFonts w:hint="eastAsia" w:ascii="宋体" w:hAnsi="宋体" w:cs="宋体"/>
          <w:b/>
          <w:bCs/>
          <w:color w:val="000000"/>
          <w:szCs w:val="21"/>
          <w:lang w:val="zh-TW" w:eastAsia="zh-TW" w:bidi="zh-TW"/>
        </w:rPr>
        <w:t>1422</w:t>
      </w:r>
      <w:r>
        <w:rPr>
          <w:rFonts w:hint="eastAsia" w:ascii="宋体" w:hAnsi="宋体" w:cs="宋体"/>
          <w:color w:val="000000"/>
          <w:szCs w:val="21"/>
          <w:lang w:val="zh-TW" w:eastAsia="zh-TW" w:bidi="zh-TW"/>
        </w:rPr>
        <w:t>款约定提交的 支付保函返还给发包人。</w:t>
      </w:r>
    </w:p>
    <w:p w14:paraId="6A86A79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14.12.4</w:t>
      </w:r>
      <w:r>
        <w:rPr>
          <w:rFonts w:hint="eastAsia" w:ascii="宋体" w:hAnsi="宋体" w:cs="宋体"/>
          <w:color w:val="000000"/>
          <w:szCs w:val="21"/>
          <w:lang w:val="zh-TW" w:eastAsia="zh-TW" w:bidi="zh-TW"/>
        </w:rPr>
        <w:t>未能答复竣工结算报告</w:t>
      </w:r>
    </w:p>
    <w:p w14:paraId="3E9F60C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发包人在接到承包人根据</w:t>
      </w:r>
      <w:r>
        <w:rPr>
          <w:rFonts w:hint="eastAsia" w:ascii="宋体" w:hAnsi="宋体" w:cs="宋体"/>
          <w:b/>
          <w:bCs/>
          <w:color w:val="000000"/>
          <w:szCs w:val="21"/>
          <w:lang w:bidi="en-US"/>
        </w:rPr>
        <w:t>14.12.1</w:t>
      </w:r>
      <w:r>
        <w:rPr>
          <w:rFonts w:hint="eastAsia" w:ascii="宋体" w:hAnsi="宋体" w:cs="宋体"/>
          <w:color w:val="000000"/>
          <w:szCs w:val="21"/>
          <w:lang w:val="zh-TW" w:eastAsia="zh-TW" w:bidi="zh-TW"/>
        </w:rPr>
        <w:t>款约定提交的竣工结算报告和完整的竣工 结算资料的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日内，未能提出修改意见，也未予答复的，视为发包人认可了该 竣工结算资料作为最终竣工结算资料。发包人应根据</w:t>
      </w:r>
      <w:r>
        <w:rPr>
          <w:rFonts w:hint="eastAsia" w:ascii="宋体" w:hAnsi="宋体" w:cs="宋体"/>
          <w:b/>
          <w:bCs/>
          <w:color w:val="000000"/>
          <w:szCs w:val="21"/>
          <w:lang w:bidi="en-US"/>
        </w:rPr>
        <w:t>14.12.3</w:t>
      </w:r>
      <w:r>
        <w:rPr>
          <w:rFonts w:hint="eastAsia" w:ascii="宋体" w:hAnsi="宋体" w:cs="宋体"/>
          <w:color w:val="000000"/>
          <w:szCs w:val="21"/>
          <w:lang w:val="zh-TW" w:eastAsia="zh-TW" w:bidi="zh-TW"/>
        </w:rPr>
        <w:t>款的约定，结清竣 工结算的款项。</w:t>
      </w:r>
    </w:p>
    <w:p w14:paraId="284AB55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14.12.5</w:t>
      </w:r>
      <w:r>
        <w:rPr>
          <w:rFonts w:hint="eastAsia" w:ascii="宋体" w:hAnsi="宋体" w:cs="宋体"/>
          <w:color w:val="000000"/>
          <w:szCs w:val="21"/>
          <w:lang w:val="zh-TW" w:eastAsia="zh-TW" w:bidi="zh-TW"/>
        </w:rPr>
        <w:t>发包人未能结清竣工结算的款项</w:t>
      </w:r>
    </w:p>
    <w:p w14:paraId="3A6A98C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发包人未能按</w:t>
      </w:r>
      <w:r>
        <w:rPr>
          <w:rFonts w:hint="eastAsia" w:ascii="宋体" w:hAnsi="宋体" w:cs="宋体"/>
          <w:b/>
          <w:bCs/>
          <w:color w:val="000000"/>
          <w:szCs w:val="21"/>
          <w:lang w:bidi="en-US"/>
        </w:rPr>
        <w:t>14.12.3</w:t>
      </w:r>
      <w:r>
        <w:rPr>
          <w:rFonts w:hint="eastAsia" w:ascii="宋体" w:hAnsi="宋体" w:cs="宋体"/>
          <w:color w:val="000000"/>
          <w:szCs w:val="21"/>
          <w:lang w:val="zh-TW" w:eastAsia="zh-TW" w:bidi="zh-TW"/>
        </w:rPr>
        <w:t>款的约定，结清应付给承包人的竣工结算的款项 余额的，承包人有权从发包人根据</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款约定提交的支付保函中扣减该款项的 余额。</w:t>
      </w:r>
    </w:p>
    <w:p w14:paraId="1BDE924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合同未约定发包人按</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款提交支付保函或支付保函不足以抵偿应向承 包人支付的竣工结算款项时，发包人从承包人提交最终结算资料后的第</w:t>
      </w:r>
      <w:r>
        <w:rPr>
          <w:rFonts w:hint="eastAsia" w:ascii="宋体" w:hAnsi="宋体" w:cs="宋体"/>
          <w:b/>
          <w:bCs/>
          <w:color w:val="000000"/>
          <w:szCs w:val="21"/>
          <w:lang w:val="zh-TW" w:eastAsia="zh-TW" w:bidi="zh-TW"/>
        </w:rPr>
        <w:t>31</w:t>
      </w:r>
      <w:r>
        <w:rPr>
          <w:rFonts w:hint="eastAsia" w:ascii="宋体" w:hAnsi="宋体" w:cs="宋体"/>
          <w:color w:val="000000"/>
          <w:szCs w:val="21"/>
          <w:lang w:val="zh-TW" w:eastAsia="zh-TW" w:bidi="zh-TW"/>
        </w:rPr>
        <w:t>日起， 支付拖欠的竣工结算款项的余额，并按中国人民银行同期同类贷款利率支付相应 利息。</w:t>
      </w:r>
    </w:p>
    <w:p w14:paraId="1871D88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14.12.4</w:t>
      </w:r>
      <w:r>
        <w:rPr>
          <w:rFonts w:hint="eastAsia" w:ascii="宋体" w:hAnsi="宋体" w:cs="宋体"/>
          <w:color w:val="000000"/>
          <w:szCs w:val="21"/>
          <w:lang w:val="zh-TW" w:eastAsia="zh-TW" w:bidi="zh-TW"/>
        </w:rPr>
        <w:t>款的约定，发包人未能在约定的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日内对竣工结算资料 提出修改意见和答复，也未能向承包人支付竣工结算款项的余额的，应从承包人 提交该报告后的第</w:t>
      </w:r>
      <w:r>
        <w:rPr>
          <w:rFonts w:hint="eastAsia" w:ascii="宋体" w:hAnsi="宋体" w:cs="宋体"/>
          <w:b/>
          <w:bCs/>
          <w:color w:val="000000"/>
          <w:szCs w:val="21"/>
          <w:lang w:val="zh-TW" w:eastAsia="zh-TW" w:bidi="zh-TW"/>
        </w:rPr>
        <w:t>31</w:t>
      </w:r>
      <w:r>
        <w:rPr>
          <w:rFonts w:hint="eastAsia" w:ascii="宋体" w:hAnsi="宋体" w:cs="宋体"/>
          <w:color w:val="000000"/>
          <w:szCs w:val="21"/>
          <w:lang w:val="zh-TW" w:eastAsia="zh-TW" w:bidi="zh-TW"/>
        </w:rPr>
        <w:t>日起，支付拖欠的竣工结算款项的余额，并按中国人民银 行同期同类贷款利率支付相应利息。</w:t>
      </w:r>
    </w:p>
    <w:p w14:paraId="032B7343">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发包人在承包人提交最终竣工结算资料的</w:t>
      </w:r>
      <w:r>
        <w:rPr>
          <w:rFonts w:hint="eastAsia" w:ascii="宋体" w:hAnsi="宋体" w:cs="宋体"/>
          <w:b/>
          <w:bCs/>
          <w:color w:val="000000"/>
          <w:szCs w:val="21"/>
          <w:lang w:val="zh-TW" w:eastAsia="zh-TW" w:bidi="zh-TW"/>
        </w:rPr>
        <w:t>90</w:t>
      </w:r>
      <w:r>
        <w:rPr>
          <w:rFonts w:hint="eastAsia" w:ascii="宋体" w:hAnsi="宋体" w:cs="宋体"/>
          <w:color w:val="000000"/>
          <w:szCs w:val="21"/>
          <w:lang w:val="zh-TW" w:eastAsia="zh-TW" w:bidi="zh-TW"/>
        </w:rPr>
        <w:t>日内，仍未结清竣工结算款项 的，承包人可依据第</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款争议和裁决的约定解决。</w:t>
      </w:r>
    </w:p>
    <w:p w14:paraId="6BD4D9D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14.12.6</w:t>
      </w:r>
      <w:r>
        <w:rPr>
          <w:rFonts w:hint="eastAsia" w:ascii="宋体" w:hAnsi="宋体" w:cs="宋体"/>
          <w:color w:val="000000"/>
          <w:szCs w:val="21"/>
          <w:lang w:val="zh-TW" w:eastAsia="zh-TW" w:bidi="zh-TW"/>
        </w:rPr>
        <w:t>未能按时提交竣工结算报告及完整的结算资料</w:t>
      </w:r>
    </w:p>
    <w:p w14:paraId="62F4E145">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工程竣工验收报告经发包人认可后的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 xml:space="preserve">日内，承包人未能向发包人提交竣 工结算报告及完整的结算资料，造成工程竣工结算不能正常进行、或工程竣工结 算不能按时结清，发包人要求承包人交付工程时，承包人应进行交付；发包人未 要求交付工程时，承包人须承担保管、维护和保养的费用和责任，不包括根据第 </w:t>
      </w:r>
      <w:r>
        <w:rPr>
          <w:rFonts w:hint="eastAsia" w:ascii="宋体" w:hAnsi="宋体" w:cs="宋体"/>
          <w:b/>
          <w:bCs/>
          <w:color w:val="000000"/>
          <w:szCs w:val="21"/>
          <w:lang w:val="zh-TW" w:eastAsia="zh-TW" w:bidi="zh-TW"/>
        </w:rPr>
        <w:t>9</w:t>
      </w:r>
      <w:r>
        <w:rPr>
          <w:rFonts w:hint="eastAsia" w:ascii="宋体" w:hAnsi="宋体" w:cs="宋体"/>
          <w:color w:val="000000"/>
          <w:szCs w:val="21"/>
          <w:lang w:val="zh-TW" w:eastAsia="zh-TW" w:bidi="zh-TW"/>
        </w:rPr>
        <w:t>条工程接收的约定已被发包人使用、接收的单项工程和工程的任何部分。</w:t>
      </w:r>
    </w:p>
    <w:p w14:paraId="794F237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14.12.7</w:t>
      </w:r>
      <w:r>
        <w:rPr>
          <w:rFonts w:hint="eastAsia" w:ascii="宋体" w:hAnsi="宋体" w:cs="宋体"/>
          <w:color w:val="000000"/>
          <w:szCs w:val="21"/>
          <w:lang w:val="zh-TW" w:eastAsia="zh-TW" w:bidi="zh-TW"/>
        </w:rPr>
        <w:t>承包人未能支付竣工结算的款项</w:t>
      </w:r>
    </w:p>
    <w:p w14:paraId="5F2D3C71">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承包人未能按</w:t>
      </w:r>
      <w:r>
        <w:rPr>
          <w:rFonts w:hint="eastAsia" w:ascii="宋体" w:hAnsi="宋体" w:cs="宋体"/>
          <w:b/>
          <w:bCs/>
          <w:color w:val="000000"/>
          <w:szCs w:val="21"/>
          <w:lang w:bidi="en-US"/>
        </w:rPr>
        <w:t>14.12.3</w:t>
      </w:r>
      <w:r>
        <w:rPr>
          <w:rFonts w:hint="eastAsia" w:ascii="宋体" w:hAnsi="宋体" w:cs="宋体"/>
          <w:color w:val="000000"/>
          <w:szCs w:val="21"/>
          <w:lang w:val="zh-TW" w:eastAsia="zh-TW" w:bidi="zh-TW"/>
        </w:rPr>
        <w:t>款的约定，结清应付给发包人的竣工结算中的款 项余额时，发包人有权从承包人根据</w:t>
      </w: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款约定提交的履约保函中扣减该款项</w:t>
      </w:r>
    </w:p>
    <w:p w14:paraId="53021BAD">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的余额。</w:t>
      </w:r>
    </w:p>
    <w:p w14:paraId="4075818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履约保函的金额不足以抵偿时，承包人应从最终竣工结算资料提交之后的 </w:t>
      </w:r>
      <w:r>
        <w:rPr>
          <w:rFonts w:hint="eastAsia" w:ascii="宋体" w:hAnsi="宋体" w:cs="宋体"/>
          <w:b/>
          <w:bCs/>
          <w:color w:val="000000"/>
          <w:szCs w:val="21"/>
          <w:lang w:val="zh-TW" w:eastAsia="zh-TW" w:bidi="zh-TW"/>
        </w:rPr>
        <w:t>31</w:t>
      </w:r>
      <w:r>
        <w:rPr>
          <w:rFonts w:hint="eastAsia" w:ascii="宋体" w:hAnsi="宋体" w:cs="宋体"/>
          <w:color w:val="000000"/>
          <w:szCs w:val="21"/>
          <w:lang w:val="zh-TW" w:eastAsia="zh-TW" w:bidi="zh-TW"/>
        </w:rPr>
        <w:t>日起，支付拖欠的竣工结算款项的余额，并按中国人民银行同期同类贷款利 率支付相应利息。承包人在最终竣工结算资料提交后的</w:t>
      </w:r>
      <w:r>
        <w:rPr>
          <w:rFonts w:hint="eastAsia" w:ascii="宋体" w:hAnsi="宋体" w:cs="宋体"/>
          <w:b/>
          <w:bCs/>
          <w:color w:val="000000"/>
          <w:szCs w:val="21"/>
          <w:lang w:val="zh-TW" w:eastAsia="zh-TW" w:bidi="zh-TW"/>
        </w:rPr>
        <w:t>90</w:t>
      </w:r>
      <w:r>
        <w:rPr>
          <w:rFonts w:hint="eastAsia" w:ascii="宋体" w:hAnsi="宋体" w:cs="宋体"/>
          <w:color w:val="000000"/>
          <w:szCs w:val="21"/>
          <w:lang w:val="zh-TW" w:eastAsia="zh-TW" w:bidi="zh-TW"/>
        </w:rPr>
        <w:t>日内仍未支付时，发 包人有权根据第</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款争议和裁决的约定解决。</w:t>
      </w:r>
    </w:p>
    <w:p w14:paraId="671D43CB">
      <w:pPr>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合同未约定履约保函时，承包人应从最终竣工结算资料提交后的第</w:t>
      </w:r>
      <w:r>
        <w:rPr>
          <w:rFonts w:hint="eastAsia" w:ascii="宋体" w:hAnsi="宋体" w:cs="宋体"/>
          <w:b/>
          <w:bCs/>
          <w:color w:val="000000"/>
          <w:szCs w:val="21"/>
          <w:lang w:val="zh-TW" w:eastAsia="zh-TW" w:bidi="zh-TW"/>
        </w:rPr>
        <w:t xml:space="preserve">31 </w:t>
      </w:r>
      <w:r>
        <w:rPr>
          <w:rFonts w:hint="eastAsia" w:ascii="宋体" w:hAnsi="宋体" w:cs="宋体"/>
          <w:color w:val="000000"/>
          <w:szCs w:val="21"/>
          <w:lang w:val="zh-TW" w:eastAsia="zh-TW" w:bidi="zh-TW"/>
        </w:rPr>
        <w:t>日起，支付拖欠的竣工结算款项的余额，并按中国人民银行同期同类贷款利率支 付相应利息。如承包人在最终竣工结算资料提交后的</w:t>
      </w:r>
      <w:r>
        <w:rPr>
          <w:rFonts w:hint="eastAsia" w:ascii="宋体" w:hAnsi="宋体" w:cs="宋体"/>
          <w:b/>
          <w:bCs/>
          <w:color w:val="000000"/>
          <w:szCs w:val="21"/>
          <w:lang w:val="zh-TW" w:eastAsia="zh-TW" w:bidi="zh-TW"/>
        </w:rPr>
        <w:t>90</w:t>
      </w:r>
      <w:r>
        <w:rPr>
          <w:rFonts w:hint="eastAsia" w:ascii="宋体" w:hAnsi="宋体" w:cs="宋体"/>
          <w:color w:val="000000"/>
          <w:szCs w:val="21"/>
          <w:lang w:val="zh-TW" w:eastAsia="zh-TW" w:bidi="zh-TW"/>
        </w:rPr>
        <w:t>日内仍未支付时，发包 人有权根据第</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款争议和裁决的约定解决。</w:t>
      </w:r>
    </w:p>
    <w:p w14:paraId="6D8CF89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14.12.8</w:t>
      </w:r>
      <w:r>
        <w:rPr>
          <w:rFonts w:hint="eastAsia" w:ascii="宋体" w:hAnsi="宋体" w:cs="宋体"/>
          <w:color w:val="000000"/>
          <w:szCs w:val="21"/>
          <w:lang w:val="zh-TW" w:eastAsia="zh-TW" w:bidi="zh-TW"/>
        </w:rPr>
        <w:t>竣工结算的争议</w:t>
      </w:r>
    </w:p>
    <w:p w14:paraId="19D514FE">
      <w:pPr>
        <w:spacing w:after="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如在发包人收到承包人递交的竣工结算报告及完整的结算资料后的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 xml:space="preserve">日 内，双方对工程竣工结算的价款发生争议时，应共同委托一家具有相应资质等级 的工程造价咨询单位进行竣工结算审核，按审核结果，结清竣工结算的款项。审 核周期由合同双方与工程造价审核单位约定。对审核结果仍有争议时，依据第 </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款争议和裁决的约定解决。</w:t>
      </w:r>
    </w:p>
    <w:p w14:paraId="28287C35">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第15条保险</w:t>
      </w:r>
    </w:p>
    <w:p w14:paraId="4F73A63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w:t>
      </w:r>
      <w:r>
        <w:rPr>
          <w:rFonts w:hint="eastAsia" w:ascii="宋体" w:hAnsi="宋体" w:cs="宋体"/>
          <w:color w:val="000000"/>
          <w:szCs w:val="21"/>
          <w:lang w:val="zh-TW" w:eastAsia="zh-TW" w:bidi="zh-TW"/>
        </w:rPr>
        <w:t>承包人的投保</w:t>
      </w:r>
    </w:p>
    <w:p w14:paraId="5D56CCA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15.1.1</w:t>
      </w:r>
      <w:r>
        <w:rPr>
          <w:rFonts w:hint="eastAsia" w:ascii="宋体" w:hAnsi="宋体" w:cs="宋体"/>
          <w:color w:val="000000"/>
          <w:szCs w:val="21"/>
          <w:lang w:val="zh-TW" w:eastAsia="zh-TW" w:bidi="zh-TW"/>
        </w:rPr>
        <w:t>按适用法律和专用条款约定的投保类别，由承包人投保的保险种类， 其投保费用包含在合同价格中。由承包人投保的保险种类、保险范围、投保金额、 保险期限和持续有效的时间等在专用条款中约定。</w:t>
      </w:r>
    </w:p>
    <w:p w14:paraId="472565E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适用法律规定及专用条款约定的，由承包人负责投保的，承包人应依 据工程实施阶段的需要按期投保；</w:t>
      </w:r>
    </w:p>
    <w:p w14:paraId="3ADDB7F8">
      <w:pPr>
        <w:tabs>
          <w:tab w:val="left" w:pos="59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在合同执行过程中，新颁布的适用法律规定由承包人投保的强制性保 险，根据</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条变更和合同价格调整的约定调整合同价格。</w:t>
      </w:r>
    </w:p>
    <w:p w14:paraId="26C5426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15.1.2</w:t>
      </w:r>
      <w:r>
        <w:rPr>
          <w:rFonts w:hint="eastAsia" w:ascii="宋体" w:hAnsi="宋体" w:cs="宋体"/>
          <w:color w:val="000000"/>
          <w:szCs w:val="21"/>
          <w:lang w:val="zh-TW" w:eastAsia="zh-TW" w:bidi="zh-TW"/>
        </w:rPr>
        <w:t>保险单对联合被保险人提供保险时，保险赔偿对每个联合被保险人 分别施用。承包人应代表自己的被保险人，保证其被保险人遵守保险单约定的条 件及其赔偿金额。</w:t>
      </w:r>
    </w:p>
    <w:p w14:paraId="5C977A0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15.1.3</w:t>
      </w:r>
      <w:r>
        <w:rPr>
          <w:rFonts w:hint="eastAsia" w:ascii="宋体" w:hAnsi="宋体" w:cs="宋体"/>
          <w:color w:val="000000"/>
          <w:szCs w:val="21"/>
          <w:lang w:val="zh-TW" w:eastAsia="zh-TW" w:bidi="zh-TW"/>
        </w:rPr>
        <w:t>承包人从保险人收到的理赔款项，应用于保单约定的损失、损害、伤害的修复、购置、重建和赔偿。</w:t>
      </w:r>
    </w:p>
    <w:p w14:paraId="3EAD89F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15.1.4</w:t>
      </w:r>
      <w:r>
        <w:rPr>
          <w:rFonts w:hint="eastAsia" w:ascii="宋体" w:hAnsi="宋体" w:cs="宋体"/>
          <w:color w:val="000000"/>
          <w:szCs w:val="21"/>
          <w:lang w:val="zh-TW" w:eastAsia="zh-TW" w:bidi="zh-TW"/>
        </w:rPr>
        <w:t>承包人应在投保项目及其投保期限内，向发包人提供保险单副本、保费支付单据复印件和保险单生效的证明。</w:t>
      </w:r>
    </w:p>
    <w:p w14:paraId="2B9E45EE">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承包人未提交上述证明文件的，视为未按合同约定投保，发包人可以自己名义投保相应保险，由此引起的费用及理赔损失，由承包人承担。</w:t>
      </w:r>
    </w:p>
    <w:p w14:paraId="5913BA2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 xml:space="preserve">15.2 </w:t>
      </w:r>
      <w:r>
        <w:rPr>
          <w:rFonts w:hint="eastAsia" w:ascii="宋体" w:hAnsi="宋体" w:cs="宋体"/>
          <w:color w:val="000000"/>
          <w:szCs w:val="21"/>
          <w:lang w:val="zh-TW" w:eastAsia="zh-TW" w:bidi="zh-TW"/>
        </w:rPr>
        <w:t>一切险和第三方责任险</w:t>
      </w:r>
    </w:p>
    <w:p w14:paraId="5E58B0C3">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对于建筑工程一切险、安装工程一切险和第三者责任险，无论应投保方是任 何一方，其在投保时均应将本合同的另一方、本合同项下分包商、供货商、服务 商同时列为保险合同项下的被保险人。具体的应投保方在专用条款中约定。</w:t>
      </w:r>
    </w:p>
    <w:p w14:paraId="3EF210A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15.3</w:t>
      </w:r>
      <w:r>
        <w:rPr>
          <w:rFonts w:hint="eastAsia" w:ascii="宋体" w:hAnsi="宋体" w:cs="宋体"/>
          <w:color w:val="000000"/>
          <w:szCs w:val="21"/>
          <w:lang w:val="zh-TW" w:eastAsia="zh-TW" w:bidi="zh-TW"/>
        </w:rPr>
        <w:t>保险的其它规定</w:t>
      </w:r>
    </w:p>
    <w:p w14:paraId="256E2FC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15.3.1</w:t>
      </w:r>
      <w:r>
        <w:rPr>
          <w:rFonts w:hint="eastAsia" w:ascii="宋体" w:hAnsi="宋体" w:cs="宋体"/>
          <w:color w:val="000000"/>
          <w:szCs w:val="21"/>
          <w:lang w:val="zh-TW" w:eastAsia="zh-TW" w:bidi="zh-TW"/>
        </w:rPr>
        <w:t>由承包人负责釆购运输的设备、材料、部件的运输险，由承包人投保。此项保险费用已包含在合同价格中，专用条款中另有约定时除外。</w:t>
      </w:r>
    </w:p>
    <w:p w14:paraId="7E412F3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15.3.2</w:t>
      </w:r>
      <w:r>
        <w:rPr>
          <w:rFonts w:hint="eastAsia" w:ascii="宋体" w:hAnsi="宋体" w:cs="宋体"/>
          <w:color w:val="000000"/>
          <w:szCs w:val="21"/>
          <w:lang w:val="zh-TW" w:eastAsia="zh-TW" w:bidi="zh-TW"/>
        </w:rPr>
        <w:t>保险事项的意外事件发生时，在场的各方均有责任努力釆取必要措施，防止损失、损害的扩大。</w:t>
      </w:r>
    </w:p>
    <w:p w14:paraId="6AAA3EE7">
      <w:pPr>
        <w:spacing w:after="1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15.3.3</w:t>
      </w:r>
      <w:r>
        <w:rPr>
          <w:rFonts w:hint="eastAsia" w:ascii="宋体" w:hAnsi="宋体" w:cs="宋体"/>
          <w:color w:val="000000"/>
          <w:szCs w:val="21"/>
          <w:lang w:val="zh-TW" w:eastAsia="zh-TW" w:bidi="zh-TW"/>
        </w:rPr>
        <w:t>本合同约定以外的险种，根据各自的需要自行投保，保险费用由各自承担。</w:t>
      </w:r>
    </w:p>
    <w:p w14:paraId="7893D60C">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第16条违约、索赔和争议</w:t>
      </w:r>
    </w:p>
    <w:p w14:paraId="38A4BF25">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16.1</w:t>
      </w:r>
      <w:r>
        <w:rPr>
          <w:rFonts w:hint="eastAsia" w:ascii="宋体" w:hAnsi="宋体" w:cs="宋体"/>
          <w:color w:val="000000"/>
          <w:szCs w:val="21"/>
          <w:lang w:val="zh-TW" w:eastAsia="zh-TW" w:bidi="zh-TW"/>
        </w:rPr>
        <w:t>违约责任</w:t>
      </w:r>
    </w:p>
    <w:p w14:paraId="0324C580">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16.1.1</w:t>
      </w:r>
      <w:r>
        <w:rPr>
          <w:rFonts w:hint="eastAsia" w:ascii="宋体" w:hAnsi="宋体" w:cs="宋体"/>
          <w:color w:val="000000"/>
          <w:szCs w:val="21"/>
          <w:lang w:val="zh-TW" w:eastAsia="zh-TW" w:bidi="zh-TW"/>
        </w:rPr>
        <w:t>发包人的违约责任</w:t>
      </w:r>
    </w:p>
    <w:p w14:paraId="18AFEB8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当发生下列情况时：</w:t>
      </w:r>
    </w:p>
    <w:p w14:paraId="35D3BED5">
      <w:pPr>
        <w:numPr>
          <w:ilvl w:val="0"/>
          <w:numId w:val="4"/>
        </w:num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发包人未能履行</w:t>
      </w:r>
      <w:r>
        <w:rPr>
          <w:rFonts w:hint="eastAsia" w:ascii="宋体" w:hAnsi="宋体" w:cs="宋体"/>
          <w:b/>
          <w:bCs/>
          <w:color w:val="000000"/>
          <w:szCs w:val="21"/>
          <w:lang w:val="zh-TW" w:eastAsia="zh-TW" w:bidi="zh-TW"/>
        </w:rPr>
        <w:t>5</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款、</w:t>
      </w:r>
      <w:r>
        <w:rPr>
          <w:rFonts w:hint="eastAsia" w:ascii="宋体" w:hAnsi="宋体" w:cs="宋体"/>
          <w:b/>
          <w:bCs/>
          <w:color w:val="000000"/>
          <w:szCs w:val="21"/>
          <w:lang w:bidi="en-US"/>
        </w:rPr>
        <w:t>5.2.1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项的约定，未能按时提供真实、准确、齐全的工艺技术和(或)建筑设计方案、项目基础资料和现场 障碍资料；</w:t>
      </w:r>
    </w:p>
    <w:p w14:paraId="00105FC0">
      <w:pPr>
        <w:numPr>
          <w:ilvl w:val="0"/>
          <w:numId w:val="4"/>
        </w:num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发包人未能按</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条的约定调整合同价格，未能按</w:t>
      </w:r>
      <w:r>
        <w:rPr>
          <w:rFonts w:hint="eastAsia" w:ascii="宋体" w:hAnsi="宋体" w:cs="宋体"/>
          <w:b/>
          <w:bCs/>
          <w:color w:val="000000"/>
          <w:szCs w:val="21"/>
          <w:lang w:val="zh-TW" w:eastAsia="zh-TW" w:bidi="zh-TW"/>
        </w:rPr>
        <w:t>14</w:t>
      </w:r>
      <w:r>
        <w:rPr>
          <w:rFonts w:hint="eastAsia" w:ascii="宋体" w:hAnsi="宋体" w:cs="宋体"/>
          <w:color w:val="000000"/>
          <w:szCs w:val="21"/>
          <w:lang w:val="zh-TW" w:eastAsia="zh-TW" w:bidi="zh-TW"/>
        </w:rPr>
        <w:t>条有关预付款、 工程进度款、竣工结算约定的款项类别、金额、承包人指定的账户和时间支付相 应款项；</w:t>
      </w:r>
    </w:p>
    <w:p w14:paraId="6E591A2A">
      <w:pPr>
        <w:numPr>
          <w:ilvl w:val="0"/>
          <w:numId w:val="4"/>
        </w:num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发包人未能履行合同中约定的其它责任和义务。</w:t>
      </w:r>
    </w:p>
    <w:p w14:paraId="25112CDE">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发包人应釆取补救措施，并赔偿因上述违约行为给承包人造成的损失。因其 违约行为造成工程关键路径延误时，竣工日期顺延。发包人承担违约责任，并不 能减轻或免除合同中约定的应由发包人继续履行的其它责任和义务。</w:t>
      </w:r>
    </w:p>
    <w:p w14:paraId="0C712059">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16.1.2</w:t>
      </w:r>
      <w:r>
        <w:rPr>
          <w:rFonts w:hint="eastAsia" w:ascii="宋体" w:hAnsi="宋体" w:cs="宋体"/>
          <w:color w:val="000000"/>
          <w:szCs w:val="21"/>
          <w:lang w:val="zh-TW" w:eastAsia="zh-TW" w:bidi="zh-TW"/>
        </w:rPr>
        <w:t>承包人的违约责任</w:t>
      </w:r>
    </w:p>
    <w:p w14:paraId="4C7DBB7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当发生下列情况时：</w:t>
      </w:r>
    </w:p>
    <w:p w14:paraId="5BCE8639">
      <w:pPr>
        <w:numPr>
          <w:ilvl w:val="0"/>
          <w:numId w:val="5"/>
        </w:num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承包人未能履行第</w:t>
      </w:r>
      <w:r>
        <w:rPr>
          <w:rFonts w:hint="eastAsia" w:ascii="宋体" w:hAnsi="宋体" w:cs="宋体"/>
          <w:b/>
          <w:bCs/>
          <w:color w:val="000000"/>
          <w:szCs w:val="21"/>
          <w:lang w:bidi="en-US"/>
        </w:rPr>
        <w:t>6.2</w:t>
      </w:r>
      <w:r>
        <w:rPr>
          <w:rFonts w:hint="eastAsia" w:ascii="宋体" w:hAnsi="宋体" w:cs="宋体"/>
          <w:color w:val="000000"/>
          <w:szCs w:val="21"/>
          <w:lang w:val="zh-TW" w:eastAsia="zh-TW" w:bidi="zh-TW"/>
        </w:rPr>
        <w:t>款对其提供的工程物资进行检验的约定、</w:t>
      </w:r>
      <w:r>
        <w:rPr>
          <w:rFonts w:hint="eastAsia" w:ascii="宋体" w:hAnsi="宋体" w:cs="宋体"/>
          <w:b/>
          <w:bCs/>
          <w:color w:val="000000"/>
          <w:szCs w:val="21"/>
          <w:lang w:bidi="en-US"/>
        </w:rPr>
        <w:t>7.5</w:t>
      </w:r>
      <w:r>
        <w:rPr>
          <w:rFonts w:hint="eastAsia" w:ascii="宋体" w:hAnsi="宋体" w:cs="宋体"/>
          <w:color w:val="000000"/>
          <w:szCs w:val="21"/>
          <w:lang w:val="zh-TW" w:eastAsia="zh-TW" w:bidi="zh-TW"/>
        </w:rPr>
        <w:t>款 施工质量与检验的约定，未能修复缺陷；</w:t>
      </w:r>
    </w:p>
    <w:p w14:paraId="1782A279">
      <w:pPr>
        <w:numPr>
          <w:ilvl w:val="0"/>
          <w:numId w:val="5"/>
        </w:num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承包人经三次试验仍未能通过竣工试验、或经三次试验仍未能通过竣 工后试验，导致的工程任何主要部分或整个工程丧失了使用价值、生产价值、使 用利益；</w:t>
      </w:r>
    </w:p>
    <w:p w14:paraId="1F5E1BF1">
      <w:pPr>
        <w:tabs>
          <w:tab w:val="left" w:pos="591"/>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CN" w:bidi="zh-CN"/>
        </w:rPr>
        <w:t>（3）</w:t>
      </w:r>
      <w:r>
        <w:rPr>
          <w:rFonts w:hint="eastAsia" w:ascii="宋体" w:hAnsi="宋体" w:cs="宋体"/>
          <w:b/>
          <w:bCs/>
          <w:color w:val="000000"/>
          <w:szCs w:val="21"/>
          <w:lang w:val="zh-CN" w:bidi="zh-CN"/>
        </w:rPr>
        <w:tab/>
      </w:r>
      <w:r>
        <w:rPr>
          <w:rFonts w:hint="eastAsia" w:ascii="宋体" w:hAnsi="宋体" w:cs="宋体"/>
          <w:color w:val="000000"/>
          <w:szCs w:val="21"/>
          <w:lang w:val="zh-TW" w:eastAsia="zh-TW" w:bidi="zh-TW"/>
        </w:rPr>
        <w:t>承包人未经发包人同意、或未经必要的许可、或适用法律不允许分包 的，将工程分包给他人；</w:t>
      </w:r>
    </w:p>
    <w:p w14:paraId="5AB8BDB8">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承包人未能履行合同约定的其它责任和义务。</w:t>
      </w:r>
    </w:p>
    <w:p w14:paraId="50F12116">
      <w:pPr>
        <w:spacing w:after="10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承包人应釆取补救措施，并赔偿因上述违约行为给发包人造成的损失。承包 人承担违约责任，并不能减轻或免除合同中约定的由承包人继续履行的其它责任 和义务。</w:t>
      </w:r>
    </w:p>
    <w:p w14:paraId="3C6065D0">
      <w:pPr>
        <w:spacing w:after="60" w:line="360" w:lineRule="auto"/>
        <w:ind w:firstLine="240"/>
        <w:rPr>
          <w:rFonts w:hint="eastAsia" w:ascii="宋体" w:hAnsi="宋体" w:cs="宋体"/>
          <w:szCs w:val="21"/>
        </w:rPr>
      </w:pPr>
      <w:r>
        <w:rPr>
          <w:rFonts w:hint="eastAsia" w:ascii="宋体" w:hAnsi="宋体" w:cs="宋体"/>
          <w:b/>
          <w:bCs/>
          <w:color w:val="000000"/>
          <w:szCs w:val="21"/>
          <w:lang w:bidi="en-US"/>
        </w:rPr>
        <w:t>16.2</w:t>
      </w:r>
      <w:r>
        <w:rPr>
          <w:rFonts w:hint="eastAsia" w:ascii="宋体" w:hAnsi="宋体" w:cs="宋体"/>
          <w:color w:val="000000"/>
          <w:szCs w:val="21"/>
          <w:lang w:val="zh-TW" w:eastAsia="zh-TW" w:bidi="zh-TW"/>
        </w:rPr>
        <w:t>索赔</w:t>
      </w:r>
    </w:p>
    <w:p w14:paraId="1DCBE5F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16.2.1</w:t>
      </w:r>
      <w:r>
        <w:rPr>
          <w:rFonts w:hint="eastAsia" w:ascii="宋体" w:hAnsi="宋体" w:cs="宋体"/>
          <w:color w:val="000000"/>
          <w:szCs w:val="21"/>
          <w:lang w:val="zh-TW" w:eastAsia="zh-TW" w:bidi="zh-TW"/>
        </w:rPr>
        <w:t>发包人的索赔</w:t>
      </w:r>
    </w:p>
    <w:p w14:paraId="281FD5CF">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发包人认为，承包人未能履行合同约定的职责、责任、义务，且根据本合同 约定、与本合同有关的文件、资料的相关情况与事项，承包人应承担损失、损害 赔偿责任，但承包人未能按合同约定履行其赔偿责任时，发包人有权向承包人提 出索赔。索赔依据法律及合同约定，并遵循如下程序进行：</w:t>
      </w:r>
    </w:p>
    <w:p w14:paraId="115AABC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发包人应在索赔事件发生后的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日内，向承包人送交索赔通知。未能 在索赔事件发生后的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日内发出索赔通知，承包人不再承担任何责任，法律另 有规定的除外；</w:t>
      </w:r>
    </w:p>
    <w:p w14:paraId="4BF9AF8A">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发包人应在发出索赔通知后的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日内，以书面形式向承包人提供说明 索赔事件的正当理由、条款根据、有效的可证实的证据和索赔估算等相关资料；</w:t>
      </w:r>
    </w:p>
    <w:p w14:paraId="0205915A">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承包人应在收到发包人送交的索赔资料后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日内与发包人协商解决， 或给予答复，或要求发包人进一步补充提供索赔的理由和证据；</w:t>
      </w:r>
    </w:p>
    <w:p w14:paraId="559E085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承包人在收到发包人送交的索赔资料后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日内未与发包人协商、未予 答复、或未向发包人提出进一步要求，视为该项索赔已被承包人认可。</w:t>
      </w:r>
    </w:p>
    <w:p w14:paraId="1755F235">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b/>
          <w:bCs/>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当发包人提出的索赔事件持续影响时，发包人每周应向承包人发出索 赔事件的延续影响情况，在该索赔事件延续影响停止后的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日内，发包人应向 承包人送交最终索赔报告和最终索赔估算。索赔程序与本款第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项至第</w:t>
      </w:r>
      <w:r>
        <w:rPr>
          <w:rFonts w:hint="eastAsia" w:ascii="宋体" w:hAnsi="宋体" w:cs="宋体"/>
          <w:b/>
          <w:bCs/>
          <w:color w:val="000000"/>
          <w:szCs w:val="21"/>
          <w:lang w:val="zh-TW" w:eastAsia="zh-TW" w:bidi="zh-TW"/>
        </w:rPr>
        <w:t xml:space="preserve">（4） </w:t>
      </w:r>
      <w:r>
        <w:rPr>
          <w:rFonts w:hint="eastAsia" w:ascii="宋体" w:hAnsi="宋体" w:cs="宋体"/>
          <w:color w:val="000000"/>
          <w:szCs w:val="21"/>
          <w:lang w:val="zh-TW" w:eastAsia="zh-TW" w:bidi="zh-TW"/>
        </w:rPr>
        <w:t>项的约定相同。</w:t>
      </w:r>
    </w:p>
    <w:p w14:paraId="4D32836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16.2.2</w:t>
      </w:r>
      <w:r>
        <w:rPr>
          <w:rFonts w:hint="eastAsia" w:ascii="宋体" w:hAnsi="宋体" w:cs="宋体"/>
          <w:color w:val="000000"/>
          <w:szCs w:val="21"/>
          <w:lang w:val="zh-TW" w:eastAsia="zh-TW" w:bidi="zh-TW"/>
        </w:rPr>
        <w:t>承包人的索赔</w:t>
      </w:r>
    </w:p>
    <w:p w14:paraId="4A8CC90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承包人认为，发包人未能履行合同约定的职责、责任和义务，且根据本合同 的任何条款的约定、与本合同有关的文件、资料的相关情况和事项，发包人应承 担损失、损害赔偿责任及延长竣工日期的，发包人未能按合同约定履行其赔偿义 务或延长竣工日期时，承包人有权向发包人提出索赔。索赔依据法律和合同约定， 并遵循如下程序进行：</w:t>
      </w:r>
    </w:p>
    <w:p w14:paraId="40E2C28F">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承包人应在索赔事件发生后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日内，向发包人发出索赔通知。未在索 赔事件发生后的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日内发出索赔通知，发包人不再承担任何责任，法律另有规 定除外；</w:t>
      </w:r>
    </w:p>
    <w:p w14:paraId="7CD21BDD">
      <w:pPr>
        <w:tabs>
          <w:tab w:val="left" w:pos="3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承包人应在发出索赔事件通知后的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日内，以书面形式向发包人提交 说明索赔事件的正当理由、条款根据、有效的可证实的证据和索赔估算资料的报 告；</w:t>
      </w:r>
    </w:p>
    <w:p w14:paraId="5C6CE884">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发包人应在收到承包人送交的有关索赔资料的报告后</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日内与承包人 协商解决，或给予答复，或要求承包人进一步补充索赔理由和证据；</w:t>
      </w:r>
    </w:p>
    <w:p w14:paraId="2ABDE16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发包人在收到承包人按本款第</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项提交的报告和补充资料后的</w:t>
      </w:r>
      <w:r>
        <w:rPr>
          <w:rFonts w:hint="eastAsia" w:ascii="宋体" w:hAnsi="宋体" w:cs="宋体"/>
          <w:b/>
          <w:bCs/>
          <w:color w:val="000000"/>
          <w:szCs w:val="21"/>
          <w:lang w:val="zh-TW" w:eastAsia="zh-TW" w:bidi="zh-TW"/>
        </w:rPr>
        <w:t xml:space="preserve">30 </w:t>
      </w:r>
      <w:r>
        <w:rPr>
          <w:rFonts w:hint="eastAsia" w:ascii="宋体" w:hAnsi="宋体" w:cs="宋体"/>
          <w:color w:val="000000"/>
          <w:szCs w:val="21"/>
          <w:lang w:val="zh-TW" w:eastAsia="zh-TW" w:bidi="zh-TW"/>
        </w:rPr>
        <w:t>日内未与承包人协商、或未予答复、或未向承包人提出进一步补充要求，视为该 项索赔已被发包人认可。</w:t>
      </w:r>
    </w:p>
    <w:p w14:paraId="0A9798FC">
      <w:pPr>
        <w:tabs>
          <w:tab w:val="left" w:pos="596"/>
        </w:tabs>
        <w:spacing w:after="60"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当承包人提出的索赔事件持续影响时，承包人每周应向发包人发出索 赔事件的延续影响情况，在该索赔事件延续影响停止后的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日内，承包人向发 包人送交最终索赔报告和最终索赔估算。索赔程序与本款第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项至第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 的约定相同。</w:t>
      </w:r>
    </w:p>
    <w:p w14:paraId="664ECD4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争议和裁决</w:t>
      </w:r>
    </w:p>
    <w:p w14:paraId="181DEAC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16.3.1</w:t>
      </w:r>
      <w:r>
        <w:rPr>
          <w:rFonts w:hint="eastAsia" w:ascii="宋体" w:hAnsi="宋体" w:cs="宋体"/>
          <w:color w:val="000000"/>
          <w:szCs w:val="21"/>
          <w:lang w:val="zh-TW" w:eastAsia="zh-TW" w:bidi="zh-TW"/>
        </w:rPr>
        <w:t>争议的解决程序</w:t>
      </w:r>
    </w:p>
    <w:p w14:paraId="522CBA6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根据本合同或与本合同相关的事项所发生的任何索赔争议，合同双方首先应 通过友好协商解决。争议的一方，应以书面形式通知另一方，说明争议的内容、 细节及因由。在上述书面通知发出之日起的</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日内，经友好协商后仍存争议时， 合同双方可提请双方一致同意的工程所在地有关单位或权威机构对此项争议进 行调解；在争议提交调解之日起</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日内，双方仍存争议时，或合同任何一方不 同意调解的，按专用条款的约定通过仲裁或诉讼方式解决争议事项。</w:t>
      </w:r>
    </w:p>
    <w:p w14:paraId="14B86F9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16.3.2</w:t>
      </w:r>
      <w:r>
        <w:rPr>
          <w:rFonts w:hint="eastAsia" w:ascii="宋体" w:hAnsi="宋体" w:cs="宋体"/>
          <w:color w:val="000000"/>
          <w:szCs w:val="21"/>
          <w:lang w:val="zh-TW" w:eastAsia="zh-TW" w:bidi="zh-TW"/>
        </w:rPr>
        <w:t>争议不应影响履约</w:t>
      </w:r>
    </w:p>
    <w:p w14:paraId="0FF4D97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发生争议后，须继续履行其合同约定的责任和义务，保持工程继续实施。除 非出现下列情况，任何一方不得停止工程或部分工程的实施，</w:t>
      </w:r>
    </w:p>
    <w:p w14:paraId="2F2A504C">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当事人一方违约导致合同确已无法履行，经合同双方协议停止实施；</w:t>
      </w:r>
    </w:p>
    <w:p w14:paraId="0E078A7A">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仲裁机构或法院责令停止实施。</w:t>
      </w:r>
    </w:p>
    <w:p w14:paraId="3B81374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16.3.3</w:t>
      </w:r>
      <w:r>
        <w:rPr>
          <w:rFonts w:hint="eastAsia" w:ascii="宋体" w:hAnsi="宋体" w:cs="宋体"/>
          <w:color w:val="000000"/>
          <w:szCs w:val="21"/>
          <w:lang w:val="zh-TW" w:eastAsia="zh-TW" w:bidi="zh-TW"/>
        </w:rPr>
        <w:t>停止实施的工程保护</w:t>
      </w:r>
    </w:p>
    <w:p w14:paraId="5EA3E194">
      <w:pPr>
        <w:spacing w:after="1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16.3.2</w:t>
      </w:r>
      <w:r>
        <w:rPr>
          <w:rFonts w:hint="eastAsia" w:ascii="宋体" w:hAnsi="宋体" w:cs="宋体"/>
          <w:color w:val="000000"/>
          <w:szCs w:val="21"/>
          <w:lang w:val="zh-TW" w:eastAsia="zh-TW" w:bidi="zh-TW"/>
        </w:rPr>
        <w:t>款约定，停止实施工程或部分工程时,双方应按合同约定的职责、 责任和义务，保护好与合同工程有关的各种文件、资料、图纸、已完工程，以及 尚未使用的工程物资。</w:t>
      </w:r>
    </w:p>
    <w:p w14:paraId="5DDB43E1">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第17条不可抗力</w:t>
      </w:r>
    </w:p>
    <w:p w14:paraId="3D492824">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17.1</w:t>
      </w:r>
      <w:r>
        <w:rPr>
          <w:rFonts w:hint="eastAsia" w:ascii="宋体" w:hAnsi="宋体" w:cs="宋体"/>
          <w:color w:val="000000"/>
          <w:szCs w:val="21"/>
          <w:lang w:val="zh-TW" w:eastAsia="zh-TW" w:bidi="zh-TW"/>
        </w:rPr>
        <w:t>不可抗力发生时的义务</w:t>
      </w:r>
    </w:p>
    <w:p w14:paraId="12768173">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17.1.1</w:t>
      </w:r>
      <w:r>
        <w:rPr>
          <w:rFonts w:hint="eastAsia" w:ascii="宋体" w:hAnsi="宋体" w:cs="宋体"/>
          <w:color w:val="000000"/>
          <w:szCs w:val="21"/>
          <w:lang w:val="zh-TW" w:eastAsia="zh-TW" w:bidi="zh-TW"/>
        </w:rPr>
        <w:t>通知义务</w:t>
      </w:r>
    </w:p>
    <w:p w14:paraId="6C3910FD">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觉察或发现不可抗力事件发生的一方，有义务立即通知另一方。根据本合同 约定，工程现场照管的责任方，在不可抗力事件发生时，应在力所能及的条件下 迅速釆取措施，尽力减少损失；另一方全力协助并釆取措施。需暂停实施的施工 或工作，立即停止。</w:t>
      </w:r>
    </w:p>
    <w:p w14:paraId="482A8D28">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17.1.2</w:t>
      </w:r>
      <w:r>
        <w:rPr>
          <w:rFonts w:hint="eastAsia" w:ascii="宋体" w:hAnsi="宋体" w:cs="宋体"/>
          <w:color w:val="000000"/>
          <w:szCs w:val="21"/>
          <w:lang w:val="zh-TW" w:eastAsia="zh-TW" w:bidi="zh-TW"/>
        </w:rPr>
        <w:t>通报义务</w:t>
      </w:r>
    </w:p>
    <w:p w14:paraId="3F58F0B3">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工程现场发生不可抗力时，在不可抗力事件结束后的</w:t>
      </w:r>
      <w:r>
        <w:rPr>
          <w:rFonts w:hint="eastAsia" w:ascii="宋体" w:hAnsi="宋体" w:cs="宋体"/>
          <w:b/>
          <w:bCs/>
          <w:color w:val="000000"/>
          <w:szCs w:val="21"/>
          <w:lang w:val="zh-TW" w:eastAsia="zh-TW" w:bidi="zh-TW"/>
        </w:rPr>
        <w:t>48</w:t>
      </w:r>
      <w:r>
        <w:rPr>
          <w:rFonts w:hint="eastAsia" w:ascii="宋体" w:hAnsi="宋体" w:cs="宋体"/>
          <w:color w:val="000000"/>
          <w:szCs w:val="21"/>
          <w:lang w:val="zh-TW" w:eastAsia="zh-TW" w:bidi="zh-TW"/>
        </w:rPr>
        <w:t>小时内，承包人(如 为工程现场的照管方)须向发包人通报受害和损失情况。当不可抗力事件持续发 生时，承包人每周应向发包人和工程总监报告受害情况。对报告周期另有约定时 除外。</w:t>
      </w:r>
    </w:p>
    <w:p w14:paraId="65510DDA">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17.2</w:t>
      </w:r>
      <w:r>
        <w:rPr>
          <w:rFonts w:hint="eastAsia" w:ascii="宋体" w:hAnsi="宋体" w:cs="宋体"/>
          <w:color w:val="000000"/>
          <w:szCs w:val="21"/>
          <w:lang w:val="zh-TW" w:eastAsia="zh-TW" w:bidi="zh-TW"/>
        </w:rPr>
        <w:t>不可抗力的后果</w:t>
      </w:r>
    </w:p>
    <w:p w14:paraId="339C9E1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因不可抗力事件导致的损失、损害、伤害所发生的费用及延误的竣工日期， 按如下约定处理：</w:t>
      </w:r>
    </w:p>
    <w:p w14:paraId="46848B17">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永久性工程和工程物资等的损失、损害，由发包人承担；</w:t>
      </w:r>
    </w:p>
    <w:p w14:paraId="080E1B98">
      <w:pPr>
        <w:tabs>
          <w:tab w:val="left" w:pos="603"/>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受雇人员的伤害，分别按照各自的雇用合同关系负责处理；</w:t>
      </w:r>
    </w:p>
    <w:p w14:paraId="02E14892">
      <w:pPr>
        <w:tabs>
          <w:tab w:val="left" w:pos="608"/>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承包人的机具、设备、财产和临时工程的损失、损害，由承包人承担；</w:t>
      </w:r>
    </w:p>
    <w:p w14:paraId="4D8CD8E1">
      <w:pPr>
        <w:tabs>
          <w:tab w:val="left" w:pos="608"/>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承包人的停工损失，由承包人承担；</w:t>
      </w:r>
    </w:p>
    <w:p w14:paraId="5679A25E">
      <w:pPr>
        <w:tabs>
          <w:tab w:val="left" w:pos="601"/>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5</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不可抗力事件发生后，因一方迟延履行合同约定的保护义务导致的延 续损失、损害，由迟延履行义务的一方承担相应责任及其损失；</w:t>
      </w:r>
    </w:p>
    <w:p w14:paraId="17F19152">
      <w:pPr>
        <w:tabs>
          <w:tab w:val="left" w:pos="601"/>
        </w:tabs>
        <w:spacing w:after="160"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6</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发包人通知恢复建设时，承包人应在接到通知后的</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日内、或双方根 据具体情况约定的时间内，提交清理、修复的方案及其估算，以及进度计划安排 的资料和报告，经发包人确认后，所需的清理、修复费用由发包人承担。恢复建 设的竣工日期合理顺延。</w:t>
      </w:r>
    </w:p>
    <w:p w14:paraId="66F2040F">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第18条合同解除</w:t>
      </w:r>
    </w:p>
    <w:p w14:paraId="65B5DBFB">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18.1</w:t>
      </w:r>
      <w:r>
        <w:rPr>
          <w:rFonts w:hint="eastAsia" w:ascii="宋体" w:hAnsi="宋体" w:cs="宋体"/>
          <w:color w:val="000000"/>
          <w:szCs w:val="21"/>
          <w:lang w:val="zh-TW" w:eastAsia="zh-TW" w:bidi="zh-TW"/>
        </w:rPr>
        <w:t>由发包人解除合同</w:t>
      </w:r>
    </w:p>
    <w:p w14:paraId="3670C86F">
      <w:pPr>
        <w:spacing w:line="360" w:lineRule="auto"/>
        <w:ind w:firstLine="240"/>
        <w:rPr>
          <w:rFonts w:hint="eastAsia" w:ascii="宋体" w:hAnsi="宋体" w:cs="宋体"/>
          <w:b/>
          <w:bCs/>
          <w:szCs w:val="21"/>
        </w:rPr>
      </w:pPr>
      <w:r>
        <w:rPr>
          <w:rFonts w:hint="eastAsia" w:ascii="宋体" w:hAnsi="宋体" w:cs="宋体"/>
          <w:b/>
          <w:bCs/>
          <w:color w:val="000000"/>
          <w:szCs w:val="21"/>
          <w:lang w:bidi="en-US"/>
        </w:rPr>
        <w:t>18.1.1</w:t>
      </w:r>
      <w:r>
        <w:rPr>
          <w:rFonts w:hint="eastAsia" w:ascii="宋体" w:hAnsi="宋体" w:cs="宋体"/>
          <w:color w:val="000000"/>
          <w:szCs w:val="21"/>
          <w:lang w:val="zh-TW" w:eastAsia="zh-TW" w:bidi="zh-TW"/>
        </w:rPr>
        <w:t>通知改正</w:t>
      </w:r>
    </w:p>
    <w:p w14:paraId="01A3C077">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承包人未能按合同履行其职责、责任和义务，发包人可通知承包人，在合理 的时间内纠正并补救其违约行为。</w:t>
      </w:r>
    </w:p>
    <w:p w14:paraId="39109102">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18.1.2</w:t>
      </w:r>
      <w:r>
        <w:rPr>
          <w:rFonts w:hint="eastAsia" w:ascii="宋体" w:hAnsi="宋体" w:cs="宋体"/>
          <w:color w:val="000000"/>
          <w:szCs w:val="21"/>
          <w:lang w:val="zh-TW" w:eastAsia="zh-TW" w:bidi="zh-TW"/>
        </w:rPr>
        <w:t>由发包人解除合同</w:t>
      </w:r>
    </w:p>
    <w:p w14:paraId="3CF76DC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发包人有权基于下列原因，以书面形式通知解除合同或解除合同的部分工 作。发包人应在发出解除合同通知</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日前告知承包人。发包人解除合同并不影 响其根据合同约定享有的其它权利。</w:t>
      </w:r>
    </w:p>
    <w:p w14:paraId="4190F0A1">
      <w:pPr>
        <w:tabs>
          <w:tab w:val="left" w:pos="583"/>
        </w:tabs>
        <w:spacing w:line="360" w:lineRule="auto"/>
        <w:ind w:left="28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承包人未能遵守</w:t>
      </w: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款履约保函的约定；</w:t>
      </w:r>
    </w:p>
    <w:p w14:paraId="74393B75">
      <w:pPr>
        <w:tabs>
          <w:tab w:val="left" w:pos="583"/>
        </w:tabs>
        <w:spacing w:line="360" w:lineRule="auto"/>
        <w:ind w:left="28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承包人未能执行</w:t>
      </w:r>
      <w:r>
        <w:rPr>
          <w:rFonts w:hint="eastAsia" w:ascii="宋体" w:hAnsi="宋体" w:cs="宋体"/>
          <w:b/>
          <w:bCs/>
          <w:color w:val="000000"/>
          <w:szCs w:val="21"/>
          <w:lang w:bidi="en-US"/>
        </w:rPr>
        <w:t>18.1.1</w:t>
      </w:r>
      <w:r>
        <w:rPr>
          <w:rFonts w:hint="eastAsia" w:ascii="宋体" w:hAnsi="宋体" w:cs="宋体"/>
          <w:color w:val="000000"/>
          <w:szCs w:val="21"/>
          <w:lang w:val="zh-TW" w:eastAsia="zh-TW" w:bidi="zh-TW"/>
        </w:rPr>
        <w:t>款通知改正的约定；</w:t>
      </w:r>
    </w:p>
    <w:p w14:paraId="38CA2B4B">
      <w:pPr>
        <w:tabs>
          <w:tab w:val="left" w:pos="583"/>
        </w:tabs>
        <w:spacing w:line="360" w:lineRule="auto"/>
        <w:ind w:left="28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承包人未能遵守</w:t>
      </w:r>
      <w:r>
        <w:rPr>
          <w:rFonts w:hint="eastAsia" w:ascii="宋体" w:hAnsi="宋体" w:cs="宋体"/>
          <w:b/>
          <w:bCs/>
          <w:color w:val="000000"/>
          <w:szCs w:val="21"/>
          <w:lang w:bidi="en-US"/>
        </w:rPr>
        <w:t>3.8.1</w:t>
      </w:r>
      <w:r>
        <w:rPr>
          <w:rFonts w:hint="eastAsia" w:ascii="宋体" w:hAnsi="宋体" w:cs="宋体"/>
          <w:color w:val="000000"/>
          <w:szCs w:val="21"/>
          <w:lang w:val="zh-TW" w:eastAsia="zh-TW" w:bidi="zh-TW"/>
        </w:rPr>
        <w:t>款至</w:t>
      </w:r>
      <w:r>
        <w:rPr>
          <w:rFonts w:hint="eastAsia" w:ascii="宋体" w:hAnsi="宋体" w:cs="宋体"/>
          <w:b/>
          <w:bCs/>
          <w:color w:val="000000"/>
          <w:szCs w:val="21"/>
          <w:lang w:bidi="en-US"/>
        </w:rPr>
        <w:t>3.8.4</w:t>
      </w:r>
      <w:r>
        <w:rPr>
          <w:rFonts w:hint="eastAsia" w:ascii="宋体" w:hAnsi="宋体" w:cs="宋体"/>
          <w:color w:val="000000"/>
          <w:szCs w:val="21"/>
          <w:lang w:val="zh-TW" w:eastAsia="zh-TW" w:bidi="zh-TW"/>
        </w:rPr>
        <w:t>款的有关分包和转包的约定；</w:t>
      </w:r>
    </w:p>
    <w:p w14:paraId="346C43E1">
      <w:pPr>
        <w:tabs>
          <w:tab w:val="left" w:pos="583"/>
        </w:tabs>
        <w:spacing w:after="60" w:line="360" w:lineRule="auto"/>
        <w:ind w:left="28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承包人实际进度明显落后于进度计划，发包人指令其釆取措施并修正</w:t>
      </w:r>
    </w:p>
    <w:p w14:paraId="292968DB">
      <w:pPr>
        <w:spacing w:line="360" w:lineRule="auto"/>
        <w:rPr>
          <w:rFonts w:hint="eastAsia" w:ascii="宋体" w:hAnsi="宋体" w:cs="宋体"/>
          <w:szCs w:val="21"/>
          <w:lang w:val="zh-TW" w:eastAsia="zh-TW" w:bidi="zh-TW"/>
        </w:rPr>
      </w:pPr>
      <w:r>
        <w:rPr>
          <w:rFonts w:hint="eastAsia" w:ascii="宋体" w:hAnsi="宋体" w:cs="宋体"/>
          <w:color w:val="000000"/>
          <w:szCs w:val="21"/>
          <w:lang w:val="zh-TW" w:eastAsia="zh-TW" w:bidi="zh-TW"/>
        </w:rPr>
        <w:t>进度计划时，承包人无作为；</w:t>
      </w:r>
    </w:p>
    <w:p w14:paraId="6E3FBE5B">
      <w:pPr>
        <w:tabs>
          <w:tab w:val="left" w:pos="58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bidi="zh-TW"/>
        </w:rPr>
        <w:t>）</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工程质量有严重缺陷，承包人无正当理由使修复开始日期拖延达</w:t>
      </w:r>
      <w:r>
        <w:rPr>
          <w:rFonts w:hint="eastAsia" w:ascii="宋体" w:hAnsi="宋体" w:cs="宋体"/>
          <w:b/>
          <w:bCs/>
          <w:color w:val="000000"/>
          <w:szCs w:val="21"/>
          <w:lang w:val="zh-TW" w:eastAsia="zh-TW" w:bidi="zh-TW"/>
        </w:rPr>
        <w:t xml:space="preserve">30 </w:t>
      </w:r>
      <w:r>
        <w:rPr>
          <w:rFonts w:hint="eastAsia" w:ascii="宋体" w:hAnsi="宋体" w:cs="宋体"/>
          <w:color w:val="000000"/>
          <w:szCs w:val="21"/>
          <w:lang w:val="zh-TW" w:eastAsia="zh-TW" w:bidi="zh-TW"/>
        </w:rPr>
        <w:t>日以上；</w:t>
      </w:r>
    </w:p>
    <w:p w14:paraId="2FBFDE82">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承包人明确表示或以自己的行为明显表明不履行合同、或经发包人以 书面形式通知其履约后仍未能依约履行合同、或以明显不适当的方式履行合同；</w:t>
      </w:r>
    </w:p>
    <w:p w14:paraId="04D06AD6">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（7）</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8.6.2</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项（或）和</w:t>
      </w:r>
      <w:r>
        <w:rPr>
          <w:rFonts w:hint="eastAsia" w:ascii="宋体" w:hAnsi="宋体" w:cs="宋体"/>
          <w:b/>
          <w:bCs/>
          <w:color w:val="000000"/>
          <w:szCs w:val="21"/>
          <w:lang w:bidi="en-US"/>
        </w:rPr>
        <w:t>10.8</w:t>
      </w:r>
      <w:r>
        <w:rPr>
          <w:rFonts w:hint="eastAsia" w:ascii="宋体" w:hAnsi="宋体" w:cs="宋体"/>
          <w:color w:val="000000"/>
          <w:szCs w:val="21"/>
          <w:lang w:val="zh-TW" w:eastAsia="zh-TW" w:bidi="zh-TW"/>
        </w:rPr>
        <w:t>款的约定，未能通过的竣工试验、 未能通过的竣工后试验，使工程的任何部分和（或）整个工程丧失了主要使用功 能、生产功能；</w:t>
      </w:r>
    </w:p>
    <w:p w14:paraId="047C6552">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（8）</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承包人破产、停业清理或进入清算程序，或情况表明承包人将进入破 产和（或）清算程序。</w:t>
      </w:r>
    </w:p>
    <w:p w14:paraId="7E3D0856">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发包人不能为另行安排其他承包人实施工程而解除合同或解除合同的部分 工作。发包人违反该约定时，承包人有权依据本项约定，提出仲裁或诉讼。</w:t>
      </w:r>
    </w:p>
    <w:p w14:paraId="1E073F9D">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18.1.3</w:t>
      </w:r>
      <w:r>
        <w:rPr>
          <w:rFonts w:hint="eastAsia" w:ascii="宋体" w:hAnsi="宋体" w:cs="宋体"/>
          <w:color w:val="000000"/>
          <w:szCs w:val="21"/>
          <w:lang w:val="zh-TW" w:eastAsia="zh-TW" w:bidi="zh-TW"/>
        </w:rPr>
        <w:t>解除合同后停止和进行的工作</w:t>
      </w:r>
    </w:p>
    <w:p w14:paraId="4C75BF6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承包人收到解除合同通知后的工作。承包人应在解除合同</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日内或双方约 定的时间内，完成以下工作：</w:t>
      </w:r>
    </w:p>
    <w:p w14:paraId="6D47B93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除了为保护生命、财产或工程安全、清理和必须执行的工作外，停止 执行所有被通知解除的工作；</w:t>
      </w:r>
    </w:p>
    <w:p w14:paraId="6F58AA04">
      <w:pPr>
        <w:tabs>
          <w:tab w:val="left" w:pos="601"/>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将发包人提供的所有信息及承包人为本工程编制的设计文件、技术资 料及其它文件移交给发包人。在承包人留有的资料文件中，销毁与发包人提供的 所有信息相关的数据及资料的备份；</w:t>
      </w:r>
    </w:p>
    <w:p w14:paraId="39A7B9F6">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移交已完成的永久性工程及负责已运抵现场的工程物资。在移交前， 妥善做好已完工程和已运抵现场的工程物资的保管、维护和保养；</w:t>
      </w:r>
    </w:p>
    <w:p w14:paraId="45E9237E">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移交相应实施阶段已经付款的并已完成的和尚待完成的设计文件、图 纸、资料、操作维修手册、施工组织设计、质检资料、竣工资料等；</w:t>
      </w:r>
    </w:p>
    <w:p w14:paraId="236B1DF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向发包人提交全部分包合同及执行情况说明。其中包括：承包人提供 的工程物资（含在现场保管的、已经订货的、正在加工的、运输途中的、运抵现 场尚未交接的），发包人承担解除合同通知之日之前发生的、合同约定的此类款 项。承包人有义务协助并配合处理与其有合同关系的分包人的关系；</w:t>
      </w:r>
    </w:p>
    <w:p w14:paraId="350C5139">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经发包人批准，承包人应将其与被解除合同或被解除合同中的部分工 作相关的和正在执行的分包合同及相关的责任和义务转让至发包人和（或）发包 人指定方的名下，包括永久性工程及工程物资，以及相关工作；</w:t>
      </w:r>
    </w:p>
    <w:p w14:paraId="5D9DD3EB">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（7）</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承包人应按照合同约定，继续履行其未被解除的合同部分工作；</w:t>
      </w:r>
    </w:p>
    <w:p w14:paraId="748F9E41">
      <w:pPr>
        <w:tabs>
          <w:tab w:val="left" w:pos="596"/>
        </w:tabs>
        <w:spacing w:after="60"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（8）</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在解除合同的结算尚未结清之前，承包人不得将其机具、设备、设施、 周转材料、措施材料撤离现场和（或）拆除，除非得到发包人同意。</w:t>
      </w:r>
    </w:p>
    <w:p w14:paraId="469A6D2E">
      <w:pPr>
        <w:spacing w:after="60" w:line="360" w:lineRule="auto"/>
        <w:ind w:firstLine="240"/>
        <w:rPr>
          <w:rFonts w:hint="eastAsia" w:ascii="宋体" w:hAnsi="宋体" w:cs="宋体"/>
          <w:color w:val="000000"/>
          <w:szCs w:val="21"/>
          <w:lang w:val="zh-TW" w:eastAsia="zh-TW" w:bidi="zh-TW"/>
        </w:rPr>
      </w:pPr>
      <w:r>
        <w:rPr>
          <w:rFonts w:hint="eastAsia" w:ascii="宋体" w:hAnsi="宋体" w:cs="宋体"/>
          <w:b/>
          <w:bCs/>
          <w:color w:val="000000"/>
          <w:szCs w:val="21"/>
          <w:lang w:bidi="en-US"/>
        </w:rPr>
        <w:t>18.1.4</w:t>
      </w:r>
      <w:r>
        <w:rPr>
          <w:rFonts w:hint="eastAsia" w:ascii="宋体" w:hAnsi="宋体" w:cs="宋体"/>
          <w:color w:val="000000"/>
          <w:szCs w:val="21"/>
          <w:lang w:val="zh-TW" w:eastAsia="zh-TW" w:bidi="zh-TW"/>
        </w:rPr>
        <w:t>解除日期的结算</w:t>
      </w:r>
    </w:p>
    <w:p w14:paraId="3623467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依据</w:t>
      </w:r>
      <w:r>
        <w:rPr>
          <w:rFonts w:hint="eastAsia" w:ascii="宋体" w:hAnsi="宋体" w:cs="宋体"/>
          <w:b/>
          <w:bCs/>
          <w:color w:val="000000"/>
          <w:szCs w:val="21"/>
          <w:lang w:val="zh-CN" w:bidi="zh-CN"/>
        </w:rPr>
        <w:t>18</w:t>
      </w:r>
      <w:r>
        <w:rPr>
          <w:rFonts w:hint="eastAsia" w:ascii="宋体" w:hAnsi="宋体" w:cs="宋体"/>
          <w:b/>
          <w:bCs/>
          <w:color w:val="000000"/>
          <w:szCs w:val="21"/>
          <w:lang w:bidi="en-US"/>
        </w:rPr>
        <w:t>.1.</w:t>
      </w:r>
      <w:r>
        <w:rPr>
          <w:rFonts w:hint="eastAsia" w:ascii="宋体" w:hAnsi="宋体" w:cs="宋体"/>
          <w:b/>
          <w:bCs/>
          <w:color w:val="000000"/>
          <w:szCs w:val="21"/>
          <w:lang w:val="zh-CN" w:bidi="en-US"/>
        </w:rPr>
        <w:t>2</w:t>
      </w:r>
      <w:r>
        <w:rPr>
          <w:rFonts w:hint="eastAsia" w:ascii="宋体" w:hAnsi="宋体" w:cs="宋体"/>
          <w:color w:val="000000"/>
          <w:szCs w:val="21"/>
          <w:lang w:val="zh-TW" w:eastAsia="zh-TW" w:bidi="zh-TW"/>
        </w:rPr>
        <w:t>款的约定，承包人收到解除合同或解除合同部分工作的通知后， 发包人应立即与承包人商定已发生的合同款项，包括</w:t>
      </w: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款的预付款、</w:t>
      </w:r>
      <w:r>
        <w:rPr>
          <w:rFonts w:hint="eastAsia" w:ascii="宋体" w:hAnsi="宋体" w:cs="宋体"/>
          <w:b/>
          <w:bCs/>
          <w:color w:val="000000"/>
          <w:szCs w:val="21"/>
          <w:lang w:bidi="en-US"/>
        </w:rPr>
        <w:t>14.4</w:t>
      </w:r>
      <w:r>
        <w:rPr>
          <w:rFonts w:hint="eastAsia" w:ascii="宋体" w:hAnsi="宋体" w:cs="宋体"/>
          <w:color w:val="000000"/>
          <w:szCs w:val="21"/>
          <w:lang w:val="zh-TW" w:eastAsia="zh-TW" w:bidi="zh-TW"/>
        </w:rPr>
        <w:t>款 的工程进度款、</w:t>
      </w:r>
      <w:r>
        <w:rPr>
          <w:rFonts w:hint="eastAsia" w:ascii="宋体" w:hAnsi="宋体" w:cs="宋体"/>
          <w:b/>
          <w:bCs/>
          <w:color w:val="000000"/>
          <w:szCs w:val="21"/>
          <w:lang w:bidi="en-US"/>
        </w:rPr>
        <w:t>13.7</w:t>
      </w:r>
      <w:r>
        <w:rPr>
          <w:rFonts w:hint="eastAsia" w:ascii="宋体" w:hAnsi="宋体" w:cs="宋体"/>
          <w:color w:val="000000"/>
          <w:szCs w:val="21"/>
          <w:lang w:val="zh-TW" w:eastAsia="zh-TW" w:bidi="zh-TW"/>
        </w:rPr>
        <w:t>款的合同价格调整的款项、</w:t>
      </w: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款的缺陷责任保修金暂扣的 款项、</w:t>
      </w:r>
      <w:r>
        <w:rPr>
          <w:rFonts w:hint="eastAsia" w:ascii="宋体" w:hAnsi="宋体" w:cs="宋体"/>
          <w:b/>
          <w:bCs/>
          <w:color w:val="000000"/>
          <w:szCs w:val="21"/>
          <w:lang w:bidi="en-US"/>
        </w:rPr>
        <w:t>16.2</w:t>
      </w:r>
      <w:r>
        <w:rPr>
          <w:rFonts w:hint="eastAsia" w:ascii="宋体" w:hAnsi="宋体" w:cs="宋体"/>
          <w:color w:val="000000"/>
          <w:szCs w:val="21"/>
          <w:lang w:val="zh-TW" w:eastAsia="zh-TW" w:bidi="zh-TW"/>
        </w:rPr>
        <w:t>.款的索赔款项、本合同补充协议的款项，及合同约定的任何应增减的 款项。经双方协商一致的合同款项，作为解除日期的结算依据。</w:t>
      </w:r>
    </w:p>
    <w:p w14:paraId="55AA252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18.1.5</w:t>
      </w:r>
      <w:r>
        <w:rPr>
          <w:rFonts w:hint="eastAsia" w:ascii="宋体" w:hAnsi="宋体" w:cs="宋体"/>
          <w:color w:val="000000"/>
          <w:szCs w:val="21"/>
          <w:lang w:val="zh-TW" w:eastAsia="zh-TW" w:bidi="zh-TW"/>
        </w:rPr>
        <w:t>解除合同后的结算</w:t>
      </w:r>
    </w:p>
    <w:p w14:paraId="5DEAC63B">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双方应根据</w:t>
      </w:r>
      <w:r>
        <w:rPr>
          <w:rFonts w:hint="eastAsia" w:ascii="宋体" w:hAnsi="宋体" w:cs="宋体"/>
          <w:b/>
          <w:bCs/>
          <w:color w:val="000000"/>
          <w:szCs w:val="21"/>
          <w:lang w:val="zh-TW" w:eastAsia="zh-TW" w:bidi="zh-TW"/>
        </w:rPr>
        <w:t>18</w:t>
      </w:r>
      <w:r>
        <w:rPr>
          <w:rFonts w:hint="eastAsia" w:ascii="宋体" w:hAnsi="宋体" w:cs="宋体"/>
          <w:b/>
          <w:bCs/>
          <w:color w:val="000000"/>
          <w:szCs w:val="21"/>
          <w:lang w:bidi="en-US"/>
        </w:rPr>
        <w:t>.1.</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款解除合同日期的结算资料，结清双方应收应付款 项的余额。此后，发包人应将承包人根据</w:t>
      </w: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款约定提交的履约保函返还给承 包人，承包人应将发包人根据</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款约定提交的支付保函返还给发包人。</w:t>
      </w:r>
    </w:p>
    <w:p w14:paraId="064D9E78">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如合同解除时仍有未被扣减完的预付款，发包人应根据</w:t>
      </w:r>
      <w:r>
        <w:rPr>
          <w:rFonts w:hint="eastAsia" w:ascii="宋体" w:hAnsi="宋体" w:cs="宋体"/>
          <w:b/>
          <w:bCs/>
          <w:color w:val="000000"/>
          <w:szCs w:val="21"/>
          <w:lang w:bidi="en-US"/>
        </w:rPr>
        <w:t>14.3.3</w:t>
      </w:r>
      <w:r>
        <w:rPr>
          <w:rFonts w:hint="eastAsia" w:ascii="宋体" w:hAnsi="宋体" w:cs="宋体"/>
          <w:color w:val="000000"/>
          <w:szCs w:val="21"/>
          <w:lang w:val="zh-TW" w:eastAsia="zh-TW" w:bidi="zh-TW"/>
        </w:rPr>
        <w:t>预付款 抵扣的约定扣除，并在此后将约定提交的预付款保函返还给承包人。</w:t>
      </w:r>
    </w:p>
    <w:p w14:paraId="3E8DC79F">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发包人尚有其它未能扣减完的应收款余额时，有权从</w:t>
      </w: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款约定的 承包人提交的履约保函中扣减，并在此后将履约保函返还给承包人。</w:t>
      </w:r>
    </w:p>
    <w:p w14:paraId="10511D4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4</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发包人按上述约定扣减后，仍有未能收回的款项时；或合同未能约定 提交履约保函和预付款保函时，仍有未能扣减应收款项的余额时，可扣留与应收 款价值相当的承包人的机具、设备、设施、周转材料等作为抵偿。</w:t>
      </w:r>
    </w:p>
    <w:p w14:paraId="7D9F7E9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zh-TW" w:bidi="en-US"/>
        </w:rPr>
        <w:t>18.1.6</w:t>
      </w:r>
      <w:r>
        <w:rPr>
          <w:rFonts w:hint="eastAsia" w:ascii="宋体" w:hAnsi="宋体" w:cs="宋体"/>
          <w:color w:val="000000"/>
          <w:szCs w:val="21"/>
          <w:lang w:val="zh-TW" w:eastAsia="zh-TW" w:bidi="zh-TW"/>
        </w:rPr>
        <w:t>承包人的撤离</w:t>
      </w:r>
    </w:p>
    <w:p w14:paraId="41961B5B">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eastAsia="zh-TW" w:bidi="zh-TW"/>
        </w:rPr>
        <w:t>（</w:t>
      </w:r>
      <w:r>
        <w:rPr>
          <w:rFonts w:hint="eastAsia" w:ascii="宋体" w:hAnsi="宋体" w:cs="宋体"/>
          <w:color w:val="000000"/>
          <w:szCs w:val="21"/>
          <w:lang w:eastAsia="zh-TW" w:bidi="zh-TW"/>
        </w:rPr>
        <w:t>1</w:t>
      </w:r>
      <w:r>
        <w:rPr>
          <w:rFonts w:hint="eastAsia" w:ascii="宋体" w:hAnsi="宋体" w:cs="宋体"/>
          <w:color w:val="000000"/>
          <w:szCs w:val="21"/>
          <w:lang w:val="zh-TW" w:eastAsia="zh-TW" w:bidi="zh-TW"/>
        </w:rPr>
        <w:t>）全部合同解除的撤离。承包人有权按</w:t>
      </w:r>
      <w:r>
        <w:rPr>
          <w:rFonts w:hint="eastAsia" w:ascii="宋体" w:hAnsi="宋体" w:cs="宋体"/>
          <w:b/>
          <w:bCs/>
          <w:color w:val="000000"/>
          <w:szCs w:val="21"/>
          <w:lang w:bidi="en-US"/>
        </w:rPr>
        <w:t>18.1.5</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项的约定，将未 被因抵偿扣留的机具、设备、设施等自行撤离现场，并承担撤离和拆除临时设施 的费用。发包人应为此提供必要条件。</w:t>
      </w:r>
    </w:p>
    <w:p w14:paraId="1B2F8493">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部分合同解除的撤离。承包人应在接到发包人发出撤离现场的通知后， 将其多余的机具、设备、设施等自费拆除并自费撤离现场(不包括根据</w:t>
      </w:r>
      <w:r>
        <w:rPr>
          <w:rFonts w:hint="eastAsia" w:ascii="宋体" w:hAnsi="宋体" w:cs="宋体"/>
          <w:b/>
          <w:bCs/>
          <w:color w:val="000000"/>
          <w:szCs w:val="21"/>
          <w:lang w:val="zh-TW" w:eastAsia="zh-TW" w:bidi="zh-TW"/>
        </w:rPr>
        <w:t>18</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 xml:space="preserve">5 </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项约定被抵偿的机具等)。发包人应为此提供必要条件。</w:t>
      </w:r>
    </w:p>
    <w:p w14:paraId="4F03D968">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18.1.7</w:t>
      </w:r>
      <w:r>
        <w:rPr>
          <w:rFonts w:hint="eastAsia" w:ascii="宋体" w:hAnsi="宋体" w:cs="宋体"/>
          <w:color w:val="000000"/>
          <w:szCs w:val="21"/>
          <w:lang w:val="zh-TW" w:eastAsia="zh-TW" w:bidi="zh-TW"/>
        </w:rPr>
        <w:t>解除合同后继续实施工程的权利。发包人可继续完成工程或委托其 他承包人继续完成工程。发包人有权与其他承包人使用已移交的永久性工程的物 资，及承包人为本工程编制的设计文件、实施文件及资料，以及使用根据</w:t>
      </w:r>
      <w:r>
        <w:rPr>
          <w:rFonts w:hint="eastAsia" w:ascii="宋体" w:hAnsi="宋体" w:cs="宋体"/>
          <w:b/>
          <w:bCs/>
          <w:color w:val="000000"/>
          <w:szCs w:val="21"/>
          <w:lang w:bidi="en-US"/>
        </w:rPr>
        <w:t xml:space="preserve">18.1.5 </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项约定扣留抵偿的设施、机具和设备。</w:t>
      </w:r>
    </w:p>
    <w:p w14:paraId="431F44C6">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zh-TW" w:bidi="en-US"/>
        </w:rPr>
        <w:t>18.2</w:t>
      </w:r>
      <w:r>
        <w:rPr>
          <w:rFonts w:hint="eastAsia" w:ascii="宋体" w:hAnsi="宋体" w:cs="宋体"/>
          <w:color w:val="000000"/>
          <w:szCs w:val="21"/>
          <w:lang w:val="zh-TW" w:eastAsia="zh-TW" w:bidi="zh-TW"/>
        </w:rPr>
        <w:t>由承包人解除合同</w:t>
      </w:r>
    </w:p>
    <w:p w14:paraId="08915E5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eastAsia="zh-TW" w:bidi="en-US"/>
        </w:rPr>
        <w:t>18.2.1</w:t>
      </w:r>
      <w:r>
        <w:rPr>
          <w:rFonts w:hint="eastAsia" w:ascii="宋体" w:hAnsi="宋体" w:cs="宋体"/>
          <w:color w:val="000000"/>
          <w:szCs w:val="21"/>
          <w:lang w:val="zh-TW" w:eastAsia="zh-TW" w:bidi="zh-TW"/>
        </w:rPr>
        <w:t>由承包人解除合同。基于下列原因，承包人有权以书面形式通知发 包人解除合同，但应在发出解除合同通知</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日前告知发包人：</w:t>
      </w:r>
    </w:p>
    <w:p w14:paraId="771BA0CC">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发包人延误付款达</w:t>
      </w:r>
      <w:r>
        <w:rPr>
          <w:rFonts w:hint="eastAsia" w:ascii="宋体" w:hAnsi="宋体" w:cs="宋体"/>
          <w:b/>
          <w:bCs/>
          <w:color w:val="000000"/>
          <w:szCs w:val="21"/>
          <w:lang w:val="zh-TW" w:eastAsia="zh-TW" w:bidi="zh-TW"/>
        </w:rPr>
        <w:t>60</w:t>
      </w:r>
      <w:r>
        <w:rPr>
          <w:rFonts w:hint="eastAsia" w:ascii="宋体" w:hAnsi="宋体" w:cs="宋体"/>
          <w:color w:val="000000"/>
          <w:szCs w:val="21"/>
          <w:lang w:val="zh-TW" w:eastAsia="zh-TW" w:bidi="zh-TW"/>
        </w:rPr>
        <w:t>日以上，或根据</w:t>
      </w:r>
      <w:r>
        <w:rPr>
          <w:rFonts w:hint="eastAsia" w:ascii="宋体" w:hAnsi="宋体" w:cs="宋体"/>
          <w:b/>
          <w:bCs/>
          <w:color w:val="000000"/>
          <w:szCs w:val="21"/>
          <w:lang w:bidi="en-US"/>
        </w:rPr>
        <w:t>4.6.4</w:t>
      </w:r>
      <w:r>
        <w:rPr>
          <w:rFonts w:hint="eastAsia" w:ascii="宋体" w:hAnsi="宋体" w:cs="宋体"/>
          <w:color w:val="000000"/>
          <w:szCs w:val="21"/>
          <w:lang w:val="zh-TW" w:eastAsia="zh-TW" w:bidi="zh-TW"/>
        </w:rPr>
        <w:t>款承包人要求复工，但发 包人在</w:t>
      </w:r>
      <w:r>
        <w:rPr>
          <w:rFonts w:hint="eastAsia" w:ascii="宋体" w:hAnsi="宋体" w:cs="宋体"/>
          <w:b/>
          <w:bCs/>
          <w:color w:val="000000"/>
          <w:szCs w:val="21"/>
          <w:lang w:val="zh-TW" w:eastAsia="zh-TW" w:bidi="zh-TW"/>
        </w:rPr>
        <w:t>180</w:t>
      </w:r>
      <w:r>
        <w:rPr>
          <w:rFonts w:hint="eastAsia" w:ascii="宋体" w:hAnsi="宋体" w:cs="宋体"/>
          <w:color w:val="000000"/>
          <w:szCs w:val="21"/>
          <w:lang w:val="zh-TW" w:eastAsia="zh-TW" w:bidi="zh-TW"/>
        </w:rPr>
        <w:t>日内仍未通知复工的；</w:t>
      </w:r>
    </w:p>
    <w:p w14:paraId="2008DA85">
      <w:pPr>
        <w:tabs>
          <w:tab w:val="left" w:pos="596"/>
        </w:tabs>
        <w:spacing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发包人实质上未能根据合同约定履行其义务，影响承包人实施工作停 止</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日以上；</w:t>
      </w:r>
    </w:p>
    <w:p w14:paraId="0EA30245">
      <w:pPr>
        <w:tabs>
          <w:tab w:val="left" w:pos="603"/>
        </w:tabs>
        <w:spacing w:after="60" w:line="360" w:lineRule="auto"/>
        <w:ind w:left="300"/>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3</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发包人未能按</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款的约定提交支付保函；</w:t>
      </w:r>
    </w:p>
    <w:p w14:paraId="6822221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CN" w:bidi="zh-CN"/>
        </w:rPr>
        <w:t>（4）</w:t>
      </w:r>
      <w:r>
        <w:rPr>
          <w:rFonts w:hint="eastAsia" w:ascii="宋体" w:hAnsi="宋体" w:cs="宋体"/>
          <w:b/>
          <w:bCs/>
          <w:color w:val="000000"/>
          <w:szCs w:val="21"/>
          <w:lang w:val="zh-CN" w:bidi="zh-CN"/>
        </w:rPr>
        <w:tab/>
      </w:r>
      <w:r>
        <w:rPr>
          <w:rFonts w:hint="eastAsia" w:ascii="宋体" w:hAnsi="宋体" w:cs="宋体"/>
          <w:color w:val="000000"/>
          <w:szCs w:val="21"/>
          <w:lang w:val="zh-TW" w:eastAsia="zh-TW" w:bidi="zh-TW"/>
        </w:rPr>
        <w:t>出现第</w:t>
      </w:r>
      <w:r>
        <w:rPr>
          <w:rFonts w:hint="eastAsia" w:ascii="宋体" w:hAnsi="宋体" w:cs="宋体"/>
          <w:b/>
          <w:bCs/>
          <w:color w:val="000000"/>
          <w:szCs w:val="21"/>
          <w:lang w:val="zh-CN" w:bidi="zh-CN"/>
        </w:rPr>
        <w:t>17</w:t>
      </w:r>
      <w:r>
        <w:rPr>
          <w:rFonts w:hint="eastAsia" w:ascii="宋体" w:hAnsi="宋体" w:cs="宋体"/>
          <w:color w:val="000000"/>
          <w:szCs w:val="21"/>
          <w:lang w:val="zh-TW" w:eastAsia="zh-TW" w:bidi="zh-TW"/>
        </w:rPr>
        <w:t>条约定的不可抗力事件，导致继续履行合同主要义务已成为 不可能或不必要；</w:t>
      </w:r>
    </w:p>
    <w:p w14:paraId="0393E7DD">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发包人破产、停业清理或进入清算程序、或情况表明发包人将进入破 产或（和）清算程序，或发包人无力支付合同款项。</w:t>
      </w:r>
    </w:p>
    <w:p w14:paraId="45FF0D2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发包人接到承包人根据本款第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w:t>
      </w: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项解除合同的通知后， 发包人随后给予了付款，或同意复工、或继续履行其义务、或提供了支付保函时， 承包人应尽快安排并恢复正常工作。因此造成关键路线延误时，竣工日期顺延； 承包人因此增加的费用，由发包人承担。</w:t>
      </w:r>
    </w:p>
    <w:p w14:paraId="426E7713">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18.2.2</w:t>
      </w:r>
      <w:r>
        <w:rPr>
          <w:rFonts w:hint="eastAsia" w:ascii="宋体" w:hAnsi="宋体" w:cs="宋体"/>
          <w:color w:val="000000"/>
          <w:szCs w:val="21"/>
          <w:lang w:val="zh-TW" w:eastAsia="zh-TW" w:bidi="zh-TW"/>
        </w:rPr>
        <w:t>承包人发出解除合同的通知后，有权停止和必须进行的工作如下：</w:t>
      </w:r>
    </w:p>
    <w:p w14:paraId="77E3F4AB">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除为保护生命、财产、工程安全、清理和必须执行的工作外，停止所 有进一步的工作；</w:t>
      </w:r>
    </w:p>
    <w:p w14:paraId="4EB567E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移交已完成的永久性工程及承包人提供的工程物资（包括现场保管的、 已经订货的、正在加工制造的、正在运输途中的、现场尚未交接的）。在未移交 之前，承包人有义务妥善做好已完工程和已购工程物资的保管、维护和保养；</w:t>
      </w:r>
    </w:p>
    <w:p w14:paraId="3B646391">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移交已经付款并已经完成和尚待完成的设计文件、图纸、资料、操作 维修手册、施工组织设计、质检资料、竣工资料等。应发包人的要求，对已经完 成但尚未付款的相关设计文件、图纸和资料等，按商定的价格付款后，承包人按 约定的时间提交给发包人。</w:t>
      </w:r>
    </w:p>
    <w:p w14:paraId="2D3ABF6B">
      <w:pPr>
        <w:tabs>
          <w:tab w:val="left" w:pos="603"/>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向发包人提交全部分包合同及执行情况说明，由发包人承担其费用。</w:t>
      </w:r>
    </w:p>
    <w:p w14:paraId="05D7FD8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应发包人的要求，将分包合同转给发包人或（和）发包人指定方的名 下，包括永久性工程及其物资，以及相关工作；</w:t>
      </w:r>
    </w:p>
    <w:p w14:paraId="52301E9C">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（6）</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在承包人自留文件资料中，销毁发包人提供的所有信息及其相关的数 据及资料的备份。</w:t>
      </w:r>
    </w:p>
    <w:p w14:paraId="0845A968">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18.2.3</w:t>
      </w:r>
      <w:r>
        <w:rPr>
          <w:rFonts w:hint="eastAsia" w:ascii="宋体" w:hAnsi="宋体" w:cs="宋体"/>
          <w:color w:val="000000"/>
          <w:szCs w:val="21"/>
          <w:lang w:val="zh-TW" w:eastAsia="zh-TW" w:bidi="zh-TW"/>
        </w:rPr>
        <w:t>解除合同日期的结算依据</w:t>
      </w:r>
    </w:p>
    <w:p w14:paraId="3233094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根据</w:t>
      </w:r>
      <w:r>
        <w:rPr>
          <w:rFonts w:hint="eastAsia" w:ascii="宋体" w:hAnsi="宋体" w:cs="宋体"/>
          <w:b/>
          <w:bCs/>
          <w:color w:val="000000"/>
          <w:szCs w:val="21"/>
          <w:lang w:bidi="en-US"/>
        </w:rPr>
        <w:t>18.2.1</w:t>
      </w:r>
      <w:r>
        <w:rPr>
          <w:rFonts w:hint="eastAsia" w:ascii="宋体" w:hAnsi="宋体" w:cs="宋体"/>
          <w:color w:val="000000"/>
          <w:szCs w:val="21"/>
          <w:lang w:val="zh-TW" w:eastAsia="zh-TW" w:bidi="zh-TW"/>
        </w:rPr>
        <w:t>款的约定，发包人收到解除合同的通知后，应与承包人商定已发 生的合同款项，包括：</w:t>
      </w: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款预付款、</w:t>
      </w:r>
      <w:r>
        <w:rPr>
          <w:rFonts w:hint="eastAsia" w:ascii="宋体" w:hAnsi="宋体" w:cs="宋体"/>
          <w:b/>
          <w:bCs/>
          <w:color w:val="000000"/>
          <w:szCs w:val="21"/>
          <w:lang w:bidi="en-US"/>
        </w:rPr>
        <w:t>14.4</w:t>
      </w:r>
      <w:r>
        <w:rPr>
          <w:rFonts w:hint="eastAsia" w:ascii="宋体" w:hAnsi="宋体" w:cs="宋体"/>
          <w:color w:val="000000"/>
          <w:szCs w:val="21"/>
          <w:lang w:val="zh-TW" w:eastAsia="zh-TW" w:bidi="zh-TW"/>
        </w:rPr>
        <w:t>款工程进度款、</w:t>
      </w:r>
      <w:r>
        <w:rPr>
          <w:rFonts w:hint="eastAsia" w:ascii="宋体" w:hAnsi="宋体" w:cs="宋体"/>
          <w:b/>
          <w:bCs/>
          <w:color w:val="000000"/>
          <w:szCs w:val="21"/>
          <w:lang w:bidi="en-US"/>
        </w:rPr>
        <w:t>13.7</w:t>
      </w:r>
      <w:r>
        <w:rPr>
          <w:rFonts w:hint="eastAsia" w:ascii="宋体" w:hAnsi="宋体" w:cs="宋体"/>
          <w:color w:val="000000"/>
          <w:szCs w:val="21"/>
          <w:lang w:val="zh-TW" w:eastAsia="zh-TW" w:bidi="zh-TW"/>
        </w:rPr>
        <w:t>款合同价格调整 的款项、</w:t>
      </w: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款保修金暂扣与支付的款项、</w:t>
      </w:r>
      <w:r>
        <w:rPr>
          <w:rFonts w:hint="eastAsia" w:ascii="宋体" w:hAnsi="宋体" w:cs="宋体"/>
          <w:b/>
          <w:bCs/>
          <w:color w:val="000000"/>
          <w:szCs w:val="21"/>
          <w:lang w:bidi="en-US"/>
        </w:rPr>
        <w:t>16.2</w:t>
      </w:r>
      <w:r>
        <w:rPr>
          <w:rFonts w:hint="eastAsia" w:ascii="宋体" w:hAnsi="宋体" w:cs="宋体"/>
          <w:color w:val="000000"/>
          <w:szCs w:val="21"/>
          <w:lang w:val="zh-TW" w:eastAsia="zh-TW" w:bidi="zh-TW"/>
        </w:rPr>
        <w:t>款索赔的款项、本合同补充协议 的款项，及合同任何条款约定的增减款项，以及承包人拆除临时设施和机具、设 备等撤离到承包人企业所在地的费用（当出现</w:t>
      </w:r>
      <w:r>
        <w:rPr>
          <w:rFonts w:hint="eastAsia" w:ascii="宋体" w:hAnsi="宋体" w:cs="宋体"/>
          <w:b/>
          <w:bCs/>
          <w:color w:val="000000"/>
          <w:szCs w:val="21"/>
          <w:lang w:bidi="en-US"/>
        </w:rPr>
        <w:t>18.2.1</w:t>
      </w:r>
      <w:r>
        <w:rPr>
          <w:rFonts w:hint="eastAsia" w:ascii="宋体" w:hAnsi="宋体" w:cs="宋体"/>
          <w:color w:val="000000"/>
          <w:szCs w:val="21"/>
          <w:lang w:val="zh-TW" w:eastAsia="zh-TW" w:bidi="zh-TW"/>
        </w:rPr>
        <w:t>款第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项不可抗力的情 况，撤离费用由承包人承担）。经双方协商一致的合同款项，作为解除日期的结 算依据。</w:t>
      </w:r>
    </w:p>
    <w:p w14:paraId="5C7D1FA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18.2.4</w:t>
      </w:r>
      <w:r>
        <w:rPr>
          <w:rFonts w:hint="eastAsia" w:ascii="宋体" w:hAnsi="宋体" w:cs="宋体"/>
          <w:color w:val="000000"/>
          <w:szCs w:val="21"/>
          <w:lang w:val="zh-TW" w:eastAsia="zh-TW" w:bidi="zh-TW"/>
        </w:rPr>
        <w:t>解除合同后的结算</w:t>
      </w:r>
    </w:p>
    <w:p w14:paraId="5668E805">
      <w:pPr>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（1）双方应根据</w:t>
      </w:r>
      <w:r>
        <w:rPr>
          <w:rFonts w:hint="eastAsia" w:ascii="宋体" w:hAnsi="宋体" w:cs="宋体"/>
          <w:b/>
          <w:bCs/>
          <w:color w:val="000000"/>
          <w:szCs w:val="21"/>
          <w:lang w:bidi="en-US"/>
        </w:rPr>
        <w:t>18.2.3</w:t>
      </w:r>
      <w:r>
        <w:rPr>
          <w:rFonts w:hint="eastAsia" w:ascii="宋体" w:hAnsi="宋体" w:cs="宋体"/>
          <w:color w:val="000000"/>
          <w:szCs w:val="21"/>
          <w:lang w:val="zh-TW" w:eastAsia="zh-TW" w:bidi="zh-TW"/>
        </w:rPr>
        <w:t>款解除合同日期的结算资料，结清解除合同时双方 的应收应付款项的余额。此后，承包人应将发包人根据</w:t>
      </w:r>
      <w:r>
        <w:rPr>
          <w:rFonts w:hint="eastAsia" w:ascii="宋体" w:hAnsi="宋体" w:cs="宋体"/>
          <w:b/>
          <w:bCs/>
          <w:color w:val="000000"/>
          <w:szCs w:val="21"/>
          <w:lang w:val="zh-TW" w:eastAsia="zh-TW" w:bidi="zh-TW"/>
        </w:rPr>
        <w:t>1422</w:t>
      </w:r>
      <w:r>
        <w:rPr>
          <w:rFonts w:hint="eastAsia" w:ascii="宋体" w:hAnsi="宋体" w:cs="宋体"/>
          <w:color w:val="000000"/>
          <w:szCs w:val="21"/>
          <w:lang w:val="zh-TW" w:eastAsia="zh-TW" w:bidi="zh-TW"/>
        </w:rPr>
        <w:t>款约定提交的支付 保函返还给发包人，发包人将承包人根据</w:t>
      </w:r>
      <w:r>
        <w:rPr>
          <w:rFonts w:hint="eastAsia" w:ascii="宋体" w:hAnsi="宋体" w:cs="宋体"/>
          <w:b/>
          <w:bCs/>
          <w:color w:val="000000"/>
          <w:szCs w:val="21"/>
          <w:lang w:bidi="en-US"/>
        </w:rPr>
        <w:t>14.2.1</w:t>
      </w:r>
      <w:r>
        <w:rPr>
          <w:rFonts w:hint="eastAsia" w:ascii="宋体" w:hAnsi="宋体" w:cs="宋体"/>
          <w:color w:val="000000"/>
          <w:szCs w:val="21"/>
          <w:lang w:val="zh-TW" w:eastAsia="zh-TW" w:bidi="zh-TW"/>
        </w:rPr>
        <w:t>款约定提交的履约保函返还给承</w:t>
      </w:r>
    </w:p>
    <w:p w14:paraId="539DAFF8">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包人。</w:t>
      </w:r>
    </w:p>
    <w:p w14:paraId="14168EE8">
      <w:pPr>
        <w:tabs>
          <w:tab w:val="left" w:pos="59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如合同解除时发包人仍有未被扣减完的预付款，发包人可根据</w:t>
      </w:r>
      <w:r>
        <w:rPr>
          <w:rFonts w:hint="eastAsia" w:ascii="宋体" w:hAnsi="宋体" w:cs="宋体"/>
          <w:b/>
          <w:bCs/>
          <w:color w:val="000000"/>
          <w:szCs w:val="21"/>
          <w:lang w:bidi="en-US"/>
        </w:rPr>
        <w:t xml:space="preserve">14.3.3 </w:t>
      </w:r>
      <w:r>
        <w:rPr>
          <w:rFonts w:hint="eastAsia" w:ascii="宋体" w:hAnsi="宋体" w:cs="宋体"/>
          <w:color w:val="000000"/>
          <w:szCs w:val="21"/>
          <w:lang w:val="zh-TW" w:eastAsia="zh-TW" w:bidi="zh-TW"/>
        </w:rPr>
        <w:t>款预付款抵扣的约定扣除，此后，应将预付款保函返还给承包人。</w:t>
      </w:r>
    </w:p>
    <w:p w14:paraId="64A70D29">
      <w:pPr>
        <w:tabs>
          <w:tab w:val="left" w:pos="60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（3）</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 xml:space="preserve">如合同解除时承包人尚有其它未能收回的应收款余额，承包人可从 </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款约定的发包人提交的支付保函中扣减，此后，应将支付保函返还给发包 人。</w:t>
      </w:r>
    </w:p>
    <w:p w14:paraId="5BA79B66">
      <w:pPr>
        <w:tabs>
          <w:tab w:val="left" w:pos="60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（4）</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如合同解除时承包人尚有其它未能收回的应收款余额，而合同未约定 发包人按</w:t>
      </w: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款提交支付保函时，发包人应根据</w:t>
      </w:r>
      <w:r>
        <w:rPr>
          <w:rFonts w:hint="eastAsia" w:ascii="宋体" w:hAnsi="宋体" w:cs="宋体"/>
          <w:b/>
          <w:bCs/>
          <w:color w:val="000000"/>
          <w:szCs w:val="21"/>
          <w:lang w:val="zh-TW" w:eastAsia="zh-TW" w:bidi="zh-TW"/>
        </w:rPr>
        <w:t>1823</w:t>
      </w:r>
      <w:r>
        <w:rPr>
          <w:rFonts w:hint="eastAsia" w:ascii="宋体" w:hAnsi="宋体" w:cs="宋体"/>
          <w:color w:val="000000"/>
          <w:szCs w:val="21"/>
          <w:lang w:val="zh-TW" w:eastAsia="zh-TW" w:bidi="zh-TW"/>
        </w:rPr>
        <w:t>款的约定，经协商一致 的解除合同日期结算资料后的第</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日起，按中国人民银行同期同类贷款利率，支 付拖欠款项的利息。发包人在此后的</w:t>
      </w:r>
      <w:r>
        <w:rPr>
          <w:rFonts w:hint="eastAsia" w:ascii="宋体" w:hAnsi="宋体" w:cs="宋体"/>
          <w:b/>
          <w:bCs/>
          <w:color w:val="000000"/>
          <w:szCs w:val="21"/>
          <w:lang w:val="zh-TW" w:eastAsia="zh-TW" w:bidi="zh-TW"/>
        </w:rPr>
        <w:t>60</w:t>
      </w:r>
      <w:r>
        <w:rPr>
          <w:rFonts w:hint="eastAsia" w:ascii="宋体" w:hAnsi="宋体" w:cs="宋体"/>
          <w:color w:val="000000"/>
          <w:szCs w:val="21"/>
          <w:lang w:val="zh-TW" w:eastAsia="zh-TW" w:bidi="zh-TW"/>
        </w:rPr>
        <w:t>日内仍未支付的，承包人有权根据第</w:t>
      </w:r>
      <w:r>
        <w:rPr>
          <w:rFonts w:hint="eastAsia" w:ascii="宋体" w:hAnsi="宋体" w:cs="宋体"/>
          <w:b/>
          <w:bCs/>
          <w:color w:val="000000"/>
          <w:szCs w:val="21"/>
          <w:lang w:bidi="en-US"/>
        </w:rPr>
        <w:t xml:space="preserve">16.3 </w:t>
      </w:r>
      <w:r>
        <w:rPr>
          <w:rFonts w:hint="eastAsia" w:ascii="宋体" w:hAnsi="宋体" w:cs="宋体"/>
          <w:color w:val="000000"/>
          <w:szCs w:val="21"/>
          <w:lang w:val="zh-TW" w:eastAsia="zh-TW" w:bidi="zh-TW"/>
        </w:rPr>
        <w:t>款争议和裁决的约定解决。</w:t>
      </w:r>
    </w:p>
    <w:p w14:paraId="484A173A">
      <w:pPr>
        <w:tabs>
          <w:tab w:val="left" w:pos="606"/>
        </w:tabs>
        <w:spacing w:line="360" w:lineRule="auto"/>
        <w:ind w:firstLine="300"/>
        <w:rPr>
          <w:rFonts w:hint="eastAsia" w:ascii="宋体" w:hAnsi="宋体" w:cs="宋体"/>
          <w:szCs w:val="21"/>
          <w:lang w:val="zh-TW" w:eastAsia="zh-TW" w:bidi="zh-TW"/>
        </w:rPr>
      </w:pPr>
      <w:r>
        <w:rPr>
          <w:rFonts w:hint="eastAsia" w:ascii="宋体" w:hAnsi="宋体" w:cs="宋体"/>
          <w:color w:val="000000"/>
          <w:szCs w:val="21"/>
          <w:lang w:val="zh-TW" w:eastAsia="zh-TW" w:bidi="zh-TW"/>
        </w:rPr>
        <w:t>（5）</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如合同解除时承包人尚有未能付给发包人的付款余额，发包人有权根 据</w:t>
      </w:r>
      <w:r>
        <w:rPr>
          <w:rFonts w:hint="eastAsia" w:ascii="宋体" w:hAnsi="宋体" w:cs="宋体"/>
          <w:b/>
          <w:bCs/>
          <w:color w:val="000000"/>
          <w:szCs w:val="21"/>
          <w:lang w:val="zh-TW" w:eastAsia="zh-TW" w:bidi="zh-TW"/>
        </w:rPr>
        <w:t>18</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5</w:t>
      </w:r>
      <w:r>
        <w:rPr>
          <w:rFonts w:hint="eastAsia" w:ascii="宋体" w:hAnsi="宋体" w:cs="宋体"/>
          <w:color w:val="000000"/>
          <w:szCs w:val="21"/>
          <w:lang w:val="zh-TW" w:eastAsia="zh-TW" w:bidi="zh-TW"/>
        </w:rPr>
        <w:t>款约定的解除合同后的结算中的第</w:t>
      </w: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项至第</w:t>
      </w: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项进行结算。</w:t>
      </w:r>
    </w:p>
    <w:p w14:paraId="13215917">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18.2.5</w:t>
      </w:r>
      <w:r>
        <w:rPr>
          <w:rFonts w:hint="eastAsia" w:ascii="宋体" w:hAnsi="宋体" w:cs="宋体"/>
          <w:color w:val="000000"/>
          <w:szCs w:val="21"/>
          <w:lang w:val="zh-TW" w:eastAsia="zh-TW" w:bidi="zh-TW"/>
        </w:rPr>
        <w:t>承包人的撤离。在合同解除后，承包人应将除为安全需要以外的所 有其它物资、机具、设备和设施，全部撤离现场。</w:t>
      </w:r>
    </w:p>
    <w:p w14:paraId="0A73BE14">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18.3</w:t>
      </w:r>
      <w:r>
        <w:rPr>
          <w:rFonts w:hint="eastAsia" w:ascii="宋体" w:hAnsi="宋体" w:cs="宋体"/>
          <w:color w:val="000000"/>
          <w:szCs w:val="21"/>
          <w:lang w:val="zh-TW" w:eastAsia="zh-TW" w:bidi="zh-TW"/>
        </w:rPr>
        <w:t>合同解除后的事项</w:t>
      </w:r>
    </w:p>
    <w:p w14:paraId="107C789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18.3.1</w:t>
      </w:r>
      <w:r>
        <w:rPr>
          <w:rFonts w:hint="eastAsia" w:ascii="宋体" w:hAnsi="宋体" w:cs="宋体"/>
          <w:color w:val="000000"/>
          <w:szCs w:val="21"/>
          <w:lang w:val="zh-TW" w:eastAsia="zh-TW" w:bidi="zh-TW"/>
        </w:rPr>
        <w:t>付款约定仍然有效</w:t>
      </w:r>
    </w:p>
    <w:p w14:paraId="5CA82709">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合同解除后，由发包人或由承包人解除合同的结算及结算后的付款约定仍然 有效，直至解除合同的结算工作结清。</w:t>
      </w:r>
    </w:p>
    <w:p w14:paraId="37D49C1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18.3.2</w:t>
      </w:r>
      <w:r>
        <w:rPr>
          <w:rFonts w:hint="eastAsia" w:ascii="宋体" w:hAnsi="宋体" w:cs="宋体"/>
          <w:color w:val="000000"/>
          <w:szCs w:val="21"/>
          <w:lang w:val="zh-TW" w:eastAsia="zh-TW" w:bidi="zh-TW"/>
        </w:rPr>
        <w:t>解除合同的争议</w:t>
      </w:r>
    </w:p>
    <w:p w14:paraId="2C01089D">
      <w:pPr>
        <w:spacing w:after="1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合同双方对解除合同或对解除日期的结算有争议的，应釆取友好协商方式解 决。经友好协商仍存在争议、或有一方不接受友好协商时，根据</w:t>
      </w: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款争议和 裁决的约定解决。</w:t>
      </w:r>
    </w:p>
    <w:p w14:paraId="182AF93D">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第19条合同生效与合同终止</w:t>
      </w:r>
    </w:p>
    <w:p w14:paraId="79E3529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19.1</w:t>
      </w:r>
      <w:r>
        <w:rPr>
          <w:rFonts w:hint="eastAsia" w:ascii="宋体" w:hAnsi="宋体" w:cs="宋体"/>
          <w:color w:val="000000"/>
          <w:szCs w:val="21"/>
          <w:lang w:val="zh-TW" w:eastAsia="zh-TW" w:bidi="zh-TW"/>
        </w:rPr>
        <w:t>合同生效</w:t>
      </w:r>
    </w:p>
    <w:p w14:paraId="334A0398">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在合同协议书中约定的合同生效条件满足之日生效。</w:t>
      </w:r>
    </w:p>
    <w:p w14:paraId="18B6B6E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19.2</w:t>
      </w:r>
      <w:r>
        <w:rPr>
          <w:rFonts w:hint="eastAsia" w:ascii="宋体" w:hAnsi="宋体" w:cs="宋体"/>
          <w:color w:val="000000"/>
          <w:szCs w:val="21"/>
          <w:lang w:val="zh-TW" w:eastAsia="zh-TW" w:bidi="zh-TW"/>
        </w:rPr>
        <w:t>合同份数</w:t>
      </w:r>
    </w:p>
    <w:p w14:paraId="47594BD4">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合同正本、合同副本的份数，及合同双方应持的份数，在专用条款中约定。</w:t>
      </w:r>
    </w:p>
    <w:p w14:paraId="2446C57F">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19.3</w:t>
      </w:r>
      <w:r>
        <w:rPr>
          <w:rFonts w:hint="eastAsia" w:ascii="宋体" w:hAnsi="宋体" w:cs="宋体"/>
          <w:color w:val="000000"/>
          <w:szCs w:val="21"/>
          <w:lang w:val="zh-TW" w:eastAsia="zh-TW" w:bidi="zh-TW"/>
        </w:rPr>
        <w:t>后合同义务</w:t>
      </w:r>
    </w:p>
    <w:p w14:paraId="4CC52A91">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合同双方应在合同终止后，遵循诚实信用原则，履行通知、协助、保密等义 务。</w:t>
      </w:r>
    </w:p>
    <w:p w14:paraId="157D6795">
      <w:pPr>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条补充条款</w:t>
      </w:r>
    </w:p>
    <w:p w14:paraId="4B7CF8F5">
      <w:pPr>
        <w:spacing w:after="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双方对本通用条款内容的具体约定、补充或修改在专用条款中约定。</w:t>
      </w:r>
    </w:p>
    <w:p w14:paraId="08B2DDC5">
      <w:pPr>
        <w:spacing w:after="6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br w:type="page"/>
      </w:r>
    </w:p>
    <w:p w14:paraId="44EF40DC">
      <w:pPr>
        <w:keepNext/>
        <w:keepLines/>
        <w:spacing w:after="180" w:line="360" w:lineRule="auto"/>
        <w:jc w:val="center"/>
        <w:outlineLvl w:val="0"/>
        <w:rPr>
          <w:rFonts w:hint="eastAsia" w:ascii="宋体" w:hAnsi="宋体" w:cs="宋体"/>
          <w:b/>
          <w:bCs/>
          <w:color w:val="000000"/>
          <w:sz w:val="28"/>
          <w:szCs w:val="28"/>
          <w:lang w:val="zh-TW" w:eastAsia="zh-TW" w:bidi="zh-TW"/>
        </w:rPr>
      </w:pPr>
      <w:r>
        <w:rPr>
          <w:rFonts w:hint="eastAsia" w:ascii="宋体" w:hAnsi="宋体" w:cs="宋体"/>
          <w:b/>
          <w:bCs/>
          <w:color w:val="000000"/>
          <w:sz w:val="28"/>
          <w:szCs w:val="28"/>
          <w:lang w:val="zh-TW" w:eastAsia="zh-TW" w:bidi="zh-TW"/>
        </w:rPr>
        <w:t>第三部分</w:t>
      </w:r>
      <w:r>
        <w:rPr>
          <w:rFonts w:hint="eastAsia" w:ascii="宋体" w:hAnsi="宋体" w:cs="宋体"/>
          <w:b/>
          <w:bCs/>
          <w:color w:val="000000"/>
          <w:sz w:val="28"/>
          <w:szCs w:val="28"/>
          <w:lang w:bidi="zh-TW"/>
        </w:rPr>
        <w:t xml:space="preserve"> </w:t>
      </w:r>
      <w:r>
        <w:rPr>
          <w:rFonts w:hint="eastAsia" w:ascii="宋体" w:hAnsi="宋体" w:cs="宋体"/>
          <w:b/>
          <w:bCs/>
          <w:color w:val="000000"/>
          <w:sz w:val="28"/>
          <w:szCs w:val="28"/>
          <w:lang w:val="zh-TW" w:eastAsia="zh-TW" w:bidi="zh-TW"/>
        </w:rPr>
        <w:t>专用条款</w:t>
      </w:r>
    </w:p>
    <w:p w14:paraId="6F1A620E">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第1条一般规定</w:t>
      </w:r>
    </w:p>
    <w:p w14:paraId="00A7B2C0">
      <w:pPr>
        <w:spacing w:line="360" w:lineRule="auto"/>
        <w:ind w:left="240"/>
        <w:rPr>
          <w:rFonts w:hint="eastAsia" w:ascii="宋体" w:hAnsi="宋体" w:cs="宋体"/>
          <w:szCs w:val="21"/>
          <w:lang w:val="zh-TW" w:eastAsia="zh-TW" w:bidi="zh-TW"/>
        </w:rPr>
      </w:pPr>
      <w:r>
        <w:rPr>
          <w:rFonts w:hint="eastAsia" w:ascii="宋体" w:hAnsi="宋体" w:cs="宋体"/>
          <w:b/>
          <w:bCs/>
          <w:color w:val="000000"/>
          <w:szCs w:val="21"/>
          <w:lang w:bidi="en-US"/>
        </w:rPr>
        <w:t>1.1</w:t>
      </w:r>
      <w:r>
        <w:rPr>
          <w:rFonts w:hint="eastAsia" w:ascii="宋体" w:hAnsi="宋体" w:cs="宋体"/>
          <w:color w:val="000000"/>
          <w:szCs w:val="21"/>
          <w:lang w:val="zh-TW" w:eastAsia="zh-TW" w:bidi="zh-TW"/>
        </w:rPr>
        <w:t>定义与解释</w:t>
      </w:r>
    </w:p>
    <w:p w14:paraId="580FFFC7">
      <w:pPr>
        <w:tabs>
          <w:tab w:val="left" w:pos="3845"/>
        </w:tabs>
        <w:spacing w:line="360" w:lineRule="auto"/>
        <w:ind w:left="240"/>
        <w:rPr>
          <w:rFonts w:hint="eastAsia" w:ascii="宋体" w:hAnsi="宋体" w:cs="宋体"/>
          <w:szCs w:val="21"/>
          <w:lang w:bidi="zh-TW"/>
        </w:rPr>
      </w:pPr>
      <w:r>
        <w:rPr>
          <w:rFonts w:hint="eastAsia" w:ascii="宋体" w:hAnsi="宋体" w:cs="宋体"/>
          <w:b/>
          <w:bCs/>
          <w:color w:val="000000"/>
          <w:szCs w:val="21"/>
          <w:lang w:bidi="en-US"/>
        </w:rPr>
        <w:t>1.1.51</w:t>
      </w:r>
      <w:r>
        <w:rPr>
          <w:rFonts w:hint="eastAsia" w:ascii="宋体" w:hAnsi="宋体" w:cs="宋体"/>
          <w:color w:val="000000"/>
          <w:szCs w:val="21"/>
          <w:lang w:val="zh-TW" w:eastAsia="zh-TW" w:bidi="zh-TW"/>
        </w:rPr>
        <w:t>双方约定的视为不可抗力事件处理的其它情形如下：</w:t>
      </w:r>
      <w:r>
        <w:rPr>
          <w:rFonts w:hint="eastAsia" w:ascii="宋体" w:hAnsi="宋体" w:cs="宋体"/>
          <w:szCs w:val="21"/>
          <w:u w:val="single"/>
          <w:lang w:bidi="zh-TW"/>
        </w:rPr>
        <w:t xml:space="preserve">            </w:t>
      </w:r>
    </w:p>
    <w:p w14:paraId="49F1DCCC">
      <w:pPr>
        <w:tabs>
          <w:tab w:val="left" w:pos="3845"/>
        </w:tabs>
        <w:spacing w:after="100" w:line="360" w:lineRule="auto"/>
        <w:ind w:left="240"/>
        <w:rPr>
          <w:rFonts w:hint="eastAsia" w:ascii="宋体" w:hAnsi="宋体" w:cs="宋体"/>
          <w:szCs w:val="21"/>
          <w:lang w:bidi="zh-TW"/>
        </w:rPr>
      </w:pPr>
      <w:r>
        <w:rPr>
          <w:rFonts w:hint="eastAsia" w:ascii="宋体" w:hAnsi="宋体" w:cs="宋体"/>
          <w:b/>
          <w:bCs/>
          <w:color w:val="000000"/>
          <w:szCs w:val="21"/>
          <w:lang w:bidi="en-US"/>
        </w:rPr>
        <w:t>1.1.52</w:t>
      </w:r>
      <w:r>
        <w:rPr>
          <w:rFonts w:hint="eastAsia" w:ascii="宋体" w:hAnsi="宋体" w:cs="宋体"/>
          <w:color w:val="000000"/>
          <w:szCs w:val="21"/>
          <w:lang w:val="zh-TW" w:eastAsia="zh-TW" w:bidi="zh-TW"/>
        </w:rPr>
        <w:t>双方根据本合同工程的特点，补充约定的其它定义：</w:t>
      </w:r>
      <w:r>
        <w:rPr>
          <w:rFonts w:hint="eastAsia" w:ascii="宋体" w:hAnsi="宋体" w:cs="宋体"/>
          <w:szCs w:val="21"/>
          <w:u w:val="single"/>
          <w:lang w:bidi="zh-TW"/>
        </w:rPr>
        <w:t xml:space="preserve">             </w:t>
      </w:r>
    </w:p>
    <w:p w14:paraId="438A234E">
      <w:pPr>
        <w:spacing w:line="360" w:lineRule="auto"/>
        <w:ind w:left="240"/>
        <w:rPr>
          <w:rFonts w:hint="eastAsia" w:ascii="宋体" w:hAnsi="宋体" w:cs="宋体"/>
          <w:szCs w:val="21"/>
          <w:lang w:val="zh-TW" w:eastAsia="zh-TW" w:bidi="zh-TW"/>
        </w:rPr>
      </w:pPr>
      <w:r>
        <w:rPr>
          <w:rFonts w:hint="eastAsia" w:ascii="宋体" w:hAnsi="宋体" w:cs="宋体"/>
          <w:b/>
          <w:bCs/>
          <w:color w:val="000000"/>
          <w:szCs w:val="21"/>
          <w:lang w:bidi="en-US"/>
        </w:rPr>
        <w:t>1.3</w:t>
      </w:r>
      <w:r>
        <w:rPr>
          <w:rFonts w:hint="eastAsia" w:ascii="宋体" w:hAnsi="宋体" w:cs="宋体"/>
          <w:color w:val="000000"/>
          <w:szCs w:val="21"/>
          <w:lang w:val="zh-TW" w:eastAsia="zh-TW" w:bidi="zh-TW"/>
        </w:rPr>
        <w:t>语言文字</w:t>
      </w:r>
    </w:p>
    <w:p w14:paraId="6386C31C">
      <w:pPr>
        <w:tabs>
          <w:tab w:val="left" w:pos="2395"/>
        </w:tabs>
        <w:spacing w:after="100" w:line="360" w:lineRule="auto"/>
        <w:ind w:left="240"/>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本合同除使用汉语外，还使用 </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语言。</w:t>
      </w:r>
    </w:p>
    <w:p w14:paraId="7805F7C4">
      <w:pPr>
        <w:spacing w:line="360" w:lineRule="auto"/>
        <w:ind w:left="240"/>
        <w:rPr>
          <w:rFonts w:hint="eastAsia" w:ascii="宋体" w:hAnsi="宋体" w:cs="宋体"/>
          <w:szCs w:val="21"/>
          <w:lang w:val="zh-TW" w:eastAsia="zh-TW" w:bidi="zh-TW"/>
        </w:rPr>
      </w:pPr>
      <w:r>
        <w:rPr>
          <w:rFonts w:hint="eastAsia" w:ascii="宋体" w:hAnsi="宋体" w:cs="宋体"/>
          <w:b/>
          <w:bCs/>
          <w:color w:val="000000"/>
          <w:szCs w:val="21"/>
          <w:lang w:bidi="en-US"/>
        </w:rPr>
        <w:t>1.4</w:t>
      </w:r>
      <w:r>
        <w:rPr>
          <w:rFonts w:hint="eastAsia" w:ascii="宋体" w:hAnsi="宋体" w:cs="宋体"/>
          <w:color w:val="000000"/>
          <w:szCs w:val="21"/>
          <w:lang w:val="zh-TW" w:eastAsia="zh-TW" w:bidi="zh-TW"/>
        </w:rPr>
        <w:t>适用法律</w:t>
      </w:r>
    </w:p>
    <w:p w14:paraId="302B1C5B">
      <w:pPr>
        <w:autoSpaceDE w:val="0"/>
        <w:autoSpaceDN w:val="0"/>
        <w:adjustRightInd w:val="0"/>
        <w:spacing w:line="360" w:lineRule="auto"/>
        <w:ind w:firstLine="420" w:firstLineChars="200"/>
        <w:jc w:val="left"/>
        <w:rPr>
          <w:rFonts w:hint="eastAsia" w:ascii="宋体" w:hAnsi="宋体" w:cs="宋体"/>
          <w:szCs w:val="21"/>
          <w:lang w:bidi="zh-TW"/>
        </w:rPr>
      </w:pPr>
      <w:r>
        <w:rPr>
          <w:rFonts w:hint="eastAsia" w:ascii="Times New Roman" w:hAnsi="Times New Roman"/>
          <w:color w:val="000000"/>
          <w:szCs w:val="21"/>
        </w:rPr>
        <w:t>合同双方需要明示的法律、行政法规、地方性法规：</w:t>
      </w:r>
      <w:r>
        <w:rPr>
          <w:rFonts w:hint="eastAsia" w:ascii="Times New Roman" w:hAnsi="Times New Roman"/>
          <w:szCs w:val="21"/>
          <w:u w:val="single"/>
        </w:rPr>
        <w:t xml:space="preserve">  </w:t>
      </w:r>
      <w:r>
        <w:rPr>
          <w:rFonts w:hint="eastAsia" w:ascii="宋体" w:hAnsi="宋体" w:cs="宋体"/>
          <w:color w:val="0000FF"/>
          <w:sz w:val="24"/>
          <w:szCs w:val="24"/>
          <w:u w:val="single"/>
        </w:rPr>
        <w:t>国家、四川省和工程所在地现行法律、法规及规定。除通用合同条款约定外，还包括完成与本项目设计所需的现行施工及验收规范，现行国家工程量清单计价规范、四川省清单计价定额以及四川省市场价相关规定，本项目施工中涉及永久工程、临时工程、工程设备和材料、施工现场管理的现行规定等本项目施工、验收、质量保修、结算相关规范性文件</w:t>
      </w:r>
      <w:r>
        <w:rPr>
          <w:rFonts w:hint="eastAsia" w:ascii="宋体" w:hAnsi="宋体" w:cs="宋体"/>
          <w:color w:val="0000FF"/>
          <w:sz w:val="24"/>
          <w:szCs w:val="24"/>
          <w:u w:val="single"/>
          <w:lang w:eastAsia="zh-CN"/>
        </w:rPr>
        <w:t>。</w:t>
      </w:r>
    </w:p>
    <w:p w14:paraId="6F3A501E">
      <w:pPr>
        <w:spacing w:line="360" w:lineRule="auto"/>
        <w:ind w:left="240"/>
        <w:rPr>
          <w:rFonts w:hint="eastAsia" w:ascii="宋体" w:hAnsi="宋体" w:cs="宋体"/>
          <w:szCs w:val="21"/>
          <w:lang w:val="zh-TW" w:eastAsia="zh-TW" w:bidi="zh-TW"/>
        </w:rPr>
      </w:pPr>
      <w:r>
        <w:rPr>
          <w:rFonts w:hint="eastAsia" w:ascii="宋体" w:hAnsi="宋体" w:cs="宋体"/>
          <w:b/>
          <w:bCs/>
          <w:color w:val="000000"/>
          <w:szCs w:val="21"/>
          <w:lang w:bidi="en-US"/>
        </w:rPr>
        <w:t>1.5</w:t>
      </w:r>
      <w:r>
        <w:rPr>
          <w:rFonts w:hint="eastAsia" w:ascii="宋体" w:hAnsi="宋体" w:cs="宋体"/>
          <w:color w:val="000000"/>
          <w:szCs w:val="21"/>
          <w:lang w:val="zh-TW" w:eastAsia="zh-TW" w:bidi="zh-TW"/>
        </w:rPr>
        <w:t>标准、规范</w:t>
      </w:r>
    </w:p>
    <w:p w14:paraId="6FE4D504">
      <w:pPr>
        <w:tabs>
          <w:tab w:val="left" w:pos="4032"/>
        </w:tabs>
        <w:spacing w:line="360" w:lineRule="auto"/>
        <w:ind w:left="240"/>
        <w:rPr>
          <w:rFonts w:hint="eastAsia" w:ascii="宋体" w:hAnsi="宋体" w:cs="宋体"/>
          <w:szCs w:val="21"/>
          <w:lang w:bidi="zh-TW"/>
        </w:rPr>
      </w:pPr>
      <w:r>
        <w:rPr>
          <w:rFonts w:hint="eastAsia" w:ascii="宋体" w:hAnsi="宋体" w:cs="宋体"/>
          <w:b/>
          <w:bCs/>
          <w:color w:val="000000"/>
          <w:szCs w:val="21"/>
          <w:lang w:bidi="en-US"/>
        </w:rPr>
        <w:t>1.5.1</w:t>
      </w:r>
      <w:r>
        <w:rPr>
          <w:rFonts w:hint="eastAsia" w:ascii="宋体" w:hAnsi="宋体" w:cs="宋体"/>
          <w:color w:val="000000"/>
          <w:szCs w:val="21"/>
          <w:lang w:val="zh-TW" w:eastAsia="zh-TW" w:bidi="zh-TW"/>
        </w:rPr>
        <w:t>本合同适用的标准、规范（名称、编号）：</w:t>
      </w:r>
      <w:r>
        <w:rPr>
          <w:rFonts w:hint="eastAsia" w:ascii="宋体" w:hAnsi="宋体" w:cs="宋体"/>
          <w:szCs w:val="21"/>
          <w:u w:val="single"/>
          <w:lang w:bidi="zh-TW"/>
        </w:rPr>
        <w:t xml:space="preserve">     </w:t>
      </w:r>
      <w:r>
        <w:rPr>
          <w:rFonts w:hint="eastAsia" w:ascii="宋体" w:hAnsi="宋体" w:cs="宋体"/>
          <w:color w:val="0000FF"/>
          <w:sz w:val="24"/>
          <w:szCs w:val="10"/>
          <w:u w:val="single"/>
          <w:lang w:val="zh-TW" w:eastAsia="zh-TW" w:bidi="zh-TW"/>
        </w:rPr>
        <w:t>执行国家现行技术标准，施工</w:t>
      </w:r>
      <w:r>
        <w:rPr>
          <w:rFonts w:hint="eastAsia" w:ascii="宋体" w:hAnsi="宋体" w:cs="宋体"/>
          <w:color w:val="0000FF"/>
          <w:sz w:val="24"/>
          <w:szCs w:val="10"/>
          <w:u w:val="single"/>
          <w:lang w:val="zh-TW" w:bidi="zh-TW"/>
        </w:rPr>
        <w:t>、</w:t>
      </w:r>
      <w:r>
        <w:rPr>
          <w:rFonts w:hint="eastAsia" w:ascii="宋体" w:hAnsi="宋体" w:cs="宋体"/>
          <w:color w:val="0000FF"/>
          <w:sz w:val="24"/>
          <w:szCs w:val="10"/>
          <w:u w:val="single"/>
          <w:lang w:val="zh-TW" w:eastAsia="zh-TW" w:bidi="zh-TW"/>
        </w:rPr>
        <w:t>设计规范及质量标准和操作规定及执行通用条款</w:t>
      </w:r>
      <w:r>
        <w:rPr>
          <w:rFonts w:hint="eastAsia" w:ascii="宋体" w:hAnsi="宋体" w:cs="宋体"/>
          <w:szCs w:val="21"/>
          <w:u w:val="single"/>
          <w:lang w:bidi="zh-TW"/>
        </w:rPr>
        <w:t xml:space="preserve">                 </w:t>
      </w:r>
    </w:p>
    <w:p w14:paraId="7A76C616">
      <w:pPr>
        <w:tabs>
          <w:tab w:val="left" w:pos="4018"/>
        </w:tabs>
        <w:spacing w:line="360" w:lineRule="auto"/>
        <w:ind w:left="240"/>
        <w:rPr>
          <w:rFonts w:hint="eastAsia" w:ascii="宋体" w:hAnsi="宋体" w:cs="宋体"/>
          <w:szCs w:val="21"/>
          <w:lang w:bidi="zh-TW"/>
        </w:rPr>
      </w:pPr>
      <w:r>
        <w:rPr>
          <w:rFonts w:hint="eastAsia" w:ascii="宋体" w:hAnsi="宋体" w:cs="宋体"/>
          <w:b/>
          <w:bCs/>
          <w:color w:val="000000"/>
          <w:szCs w:val="21"/>
          <w:lang w:bidi="en-US"/>
        </w:rPr>
        <w:t>1.5.2</w:t>
      </w:r>
      <w:r>
        <w:rPr>
          <w:rFonts w:hint="eastAsia" w:ascii="宋体" w:hAnsi="宋体" w:cs="宋体"/>
          <w:color w:val="000000"/>
          <w:szCs w:val="21"/>
          <w:lang w:val="zh-TW" w:eastAsia="zh-TW" w:bidi="zh-TW"/>
        </w:rPr>
        <w:t>发包人提供的国外标准、规范的名称、份数和时间：</w:t>
      </w:r>
      <w:r>
        <w:rPr>
          <w:rFonts w:hint="eastAsia" w:ascii="宋体" w:hAnsi="宋体" w:cs="宋体"/>
          <w:szCs w:val="21"/>
          <w:u w:val="single"/>
          <w:lang w:bidi="zh-TW"/>
        </w:rPr>
        <w:t xml:space="preserve">              </w:t>
      </w:r>
    </w:p>
    <w:p w14:paraId="5C8BB731">
      <w:pPr>
        <w:tabs>
          <w:tab w:val="left" w:pos="4027"/>
        </w:tabs>
        <w:spacing w:after="100" w:line="360" w:lineRule="auto"/>
        <w:ind w:left="240"/>
        <w:rPr>
          <w:rFonts w:hint="eastAsia" w:ascii="宋体" w:hAnsi="宋体" w:cs="宋体"/>
          <w:szCs w:val="21"/>
          <w:lang w:bidi="zh-TW"/>
        </w:rPr>
      </w:pPr>
      <w:r>
        <w:rPr>
          <w:rFonts w:hint="eastAsia" w:ascii="宋体" w:hAnsi="宋体" w:cs="宋体"/>
          <w:b/>
          <w:bCs/>
          <w:color w:val="000000"/>
          <w:szCs w:val="21"/>
          <w:lang w:bidi="en-US"/>
        </w:rPr>
        <w:t>1.5.3</w:t>
      </w:r>
      <w:r>
        <w:rPr>
          <w:rFonts w:hint="eastAsia" w:ascii="宋体" w:hAnsi="宋体" w:cs="宋体"/>
          <w:color w:val="000000"/>
          <w:szCs w:val="21"/>
          <w:lang w:val="zh-TW" w:eastAsia="zh-TW" w:bidi="zh-TW"/>
        </w:rPr>
        <w:t>没有成文规范、标准规定的约定：</w:t>
      </w:r>
      <w:r>
        <w:rPr>
          <w:rFonts w:hint="eastAsia" w:ascii="宋体" w:hAnsi="宋体" w:cs="宋体"/>
          <w:szCs w:val="21"/>
          <w:u w:val="single"/>
          <w:lang w:bidi="zh-TW"/>
        </w:rPr>
        <w:t xml:space="preserve">    </w:t>
      </w:r>
      <w:r>
        <w:rPr>
          <w:rFonts w:hint="eastAsia" w:ascii="宋体" w:hAnsi="宋体" w:cs="宋体"/>
          <w:color w:val="000000"/>
          <w:szCs w:val="21"/>
          <w:lang w:val="zh-TW" w:eastAsia="zh-TW" w:bidi="zh-TW"/>
        </w:rPr>
        <w:t xml:space="preserve"> 发包人的技术要求及提交时间：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承包人提交实施方法的时间：</w:t>
      </w:r>
      <w:r>
        <w:rPr>
          <w:rFonts w:hint="eastAsia" w:ascii="宋体" w:hAnsi="宋体" w:cs="宋体"/>
          <w:szCs w:val="21"/>
          <w:u w:val="single"/>
          <w:lang w:bidi="zh-TW"/>
        </w:rPr>
        <w:t xml:space="preserve">                                              </w:t>
      </w:r>
    </w:p>
    <w:p w14:paraId="0FEF6E7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1.6</w:t>
      </w:r>
      <w:r>
        <w:rPr>
          <w:rFonts w:hint="eastAsia" w:ascii="宋体" w:hAnsi="宋体" w:cs="宋体"/>
          <w:color w:val="000000"/>
          <w:szCs w:val="21"/>
          <w:lang w:val="zh-TW" w:eastAsia="zh-TW" w:bidi="zh-TW"/>
        </w:rPr>
        <w:t>保密事项</w:t>
      </w:r>
    </w:p>
    <w:p w14:paraId="227321AA">
      <w:pPr>
        <w:tabs>
          <w:tab w:val="left" w:pos="2976"/>
        </w:tabs>
        <w:spacing w:after="180" w:line="360" w:lineRule="auto"/>
        <w:ind w:left="240"/>
        <w:rPr>
          <w:rFonts w:hint="eastAsia" w:ascii="宋体" w:hAnsi="宋体" w:cs="宋体"/>
          <w:szCs w:val="21"/>
          <w:lang w:val="zh-TW" w:eastAsia="zh-TW" w:bidi="zh-TW"/>
        </w:rPr>
      </w:pPr>
      <w:r>
        <w:rPr>
          <w:rFonts w:hint="eastAsia" w:ascii="宋体" w:hAnsi="宋体" w:cs="宋体"/>
          <w:color w:val="000000"/>
          <w:szCs w:val="21"/>
          <w:lang w:val="zh-TW" w:eastAsia="zh-TW" w:bidi="zh-TW"/>
        </w:rPr>
        <w:t>双方签订的商业保密协议（名称）：</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，作为本合同附件。 双方签订的技术保密协议（名称）：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，作为本合同附件。</w:t>
      </w:r>
    </w:p>
    <w:p w14:paraId="2C4F7808">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第2条发包人</w:t>
      </w:r>
    </w:p>
    <w:p w14:paraId="4AFB2E8A">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2.2</w:t>
      </w:r>
      <w:r>
        <w:rPr>
          <w:rFonts w:hint="eastAsia" w:ascii="宋体" w:hAnsi="宋体" w:cs="宋体"/>
          <w:color w:val="000000"/>
          <w:szCs w:val="21"/>
          <w:lang w:val="zh-TW" w:eastAsia="zh-TW" w:bidi="zh-TW"/>
        </w:rPr>
        <w:t>发包人代表</w:t>
      </w:r>
    </w:p>
    <w:p w14:paraId="2569DE9E">
      <w:pPr>
        <w:tabs>
          <w:tab w:val="left" w:pos="2688"/>
        </w:tabs>
        <w:spacing w:line="360" w:lineRule="auto"/>
        <w:ind w:firstLine="240"/>
        <w:rPr>
          <w:rFonts w:hint="eastAsia" w:ascii="宋体" w:hAnsi="宋体" w:cs="宋体"/>
          <w:szCs w:val="21"/>
          <w:lang w:val="en-US" w:eastAsia="zh-CN" w:bidi="zh-TW"/>
        </w:rPr>
      </w:pPr>
      <w:r>
        <w:rPr>
          <w:rFonts w:hint="eastAsia" w:ascii="宋体" w:hAnsi="宋体" w:cs="宋体"/>
          <w:color w:val="000000"/>
          <w:szCs w:val="21"/>
          <w:lang w:val="zh-TW" w:eastAsia="zh-TW" w:bidi="zh-TW"/>
        </w:rPr>
        <w:t>发包人代表的姓名：</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szCs w:val="21"/>
          <w:lang w:val="en-US" w:eastAsia="zh-CN" w:bidi="zh-TW"/>
        </w:rPr>
        <w:t xml:space="preserve">  </w:t>
      </w:r>
      <w:r>
        <w:rPr>
          <w:rFonts w:hint="eastAsia" w:ascii="宋体" w:hAnsi="宋体" w:cs="宋体"/>
          <w:szCs w:val="21"/>
          <w:lang w:val="zh-TW" w:eastAsia="zh-CN" w:bidi="zh-TW"/>
        </w:rPr>
        <w:t>联系电话：</w:t>
      </w:r>
      <w:r>
        <w:rPr>
          <w:rFonts w:hint="eastAsia" w:ascii="宋体" w:hAnsi="宋体" w:cs="宋体"/>
          <w:szCs w:val="21"/>
          <w:u w:val="single"/>
          <w:lang w:val="en-US" w:eastAsia="zh-CN" w:bidi="zh-TW"/>
        </w:rPr>
        <w:t xml:space="preserve">            </w:t>
      </w:r>
      <w:r>
        <w:rPr>
          <w:rFonts w:hint="eastAsia" w:ascii="宋体" w:hAnsi="宋体" w:cs="宋体"/>
          <w:szCs w:val="21"/>
          <w:lang w:val="en-US" w:eastAsia="zh-CN" w:bidi="zh-TW"/>
        </w:rPr>
        <w:t xml:space="preserve"> </w:t>
      </w:r>
      <w:r>
        <w:rPr>
          <w:rFonts w:hint="eastAsia" w:ascii="宋体" w:hAnsi="宋体" w:cs="宋体"/>
          <w:szCs w:val="21"/>
          <w:lang w:val="zh-TW" w:eastAsia="zh-CN" w:bidi="zh-TW"/>
        </w:rPr>
        <w:t>通讯地址</w:t>
      </w:r>
      <w:r>
        <w:rPr>
          <w:rFonts w:hint="eastAsia" w:ascii="宋体" w:hAnsi="宋体" w:cs="宋体"/>
          <w:szCs w:val="21"/>
          <w:lang w:val="en-US" w:eastAsia="zh-CN" w:bidi="zh-TW"/>
        </w:rPr>
        <w:t xml:space="preserve"> </w:t>
      </w:r>
      <w:r>
        <w:rPr>
          <w:rFonts w:hint="eastAsia" w:ascii="宋体" w:hAnsi="宋体" w:cs="宋体"/>
          <w:szCs w:val="21"/>
          <w:u w:val="single"/>
          <w:lang w:val="en-US" w:eastAsia="zh-CN" w:bidi="zh-TW"/>
        </w:rPr>
        <w:t xml:space="preserve">           </w:t>
      </w:r>
    </w:p>
    <w:p w14:paraId="153D6DB4">
      <w:pPr>
        <w:tabs>
          <w:tab w:val="left" w:pos="2688"/>
        </w:tabs>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发包人代表的职务：</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szCs w:val="21"/>
          <w:lang w:val="en-US" w:eastAsia="zh-CN" w:bidi="zh-TW"/>
        </w:rPr>
        <w:t xml:space="preserve">  </w:t>
      </w:r>
      <w:r>
        <w:rPr>
          <w:rFonts w:hint="eastAsia" w:ascii="宋体" w:hAnsi="宋体" w:cs="宋体"/>
          <w:szCs w:val="21"/>
          <w:lang w:val="zh-TW" w:eastAsia="zh-CN" w:bidi="zh-TW"/>
        </w:rPr>
        <w:t>联系电话：</w:t>
      </w:r>
      <w:r>
        <w:rPr>
          <w:rFonts w:hint="eastAsia" w:ascii="宋体" w:hAnsi="宋体" w:cs="宋体"/>
          <w:szCs w:val="21"/>
          <w:u w:val="single"/>
          <w:lang w:val="en-US" w:eastAsia="zh-CN" w:bidi="zh-TW"/>
        </w:rPr>
        <w:t xml:space="preserve">            </w:t>
      </w:r>
      <w:r>
        <w:rPr>
          <w:rFonts w:hint="eastAsia" w:ascii="宋体" w:hAnsi="宋体" w:cs="宋体"/>
          <w:szCs w:val="21"/>
          <w:lang w:val="en-US" w:eastAsia="zh-CN" w:bidi="zh-TW"/>
        </w:rPr>
        <w:t xml:space="preserve"> </w:t>
      </w:r>
      <w:r>
        <w:rPr>
          <w:rFonts w:hint="eastAsia" w:ascii="宋体" w:hAnsi="宋体" w:cs="宋体"/>
          <w:szCs w:val="21"/>
          <w:lang w:val="zh-TW" w:eastAsia="zh-CN" w:bidi="zh-TW"/>
        </w:rPr>
        <w:t>通讯地址</w:t>
      </w:r>
      <w:r>
        <w:rPr>
          <w:rFonts w:hint="eastAsia" w:ascii="宋体" w:hAnsi="宋体" w:cs="宋体"/>
          <w:szCs w:val="21"/>
          <w:lang w:val="en-US" w:eastAsia="zh-CN" w:bidi="zh-TW"/>
        </w:rPr>
        <w:t xml:space="preserve"> </w:t>
      </w:r>
      <w:r>
        <w:rPr>
          <w:rFonts w:hint="eastAsia" w:ascii="宋体" w:hAnsi="宋体" w:cs="宋体"/>
          <w:szCs w:val="21"/>
          <w:u w:val="single"/>
          <w:lang w:val="en-US" w:eastAsia="zh-CN" w:bidi="zh-TW"/>
        </w:rPr>
        <w:t xml:space="preserve">           </w:t>
      </w:r>
    </w:p>
    <w:p w14:paraId="358338AE">
      <w:pPr>
        <w:tabs>
          <w:tab w:val="left" w:pos="3734"/>
        </w:tabs>
        <w:spacing w:after="100" w:line="360" w:lineRule="auto"/>
        <w:ind w:firstLine="240"/>
        <w:rPr>
          <w:rFonts w:hint="eastAsia" w:ascii="宋体" w:hAnsi="宋体" w:cs="宋体"/>
          <w:szCs w:val="21"/>
          <w:lang w:bidi="zh-TW"/>
        </w:rPr>
      </w:pPr>
      <w:r>
        <w:rPr>
          <w:rFonts w:hint="eastAsia" w:ascii="宋体" w:hAnsi="宋体" w:cs="宋体"/>
          <w:color w:val="000000"/>
          <w:szCs w:val="21"/>
          <w:lang w:val="zh-TW" w:eastAsia="zh-TW" w:bidi="zh-TW"/>
        </w:rPr>
        <w:t>发包人代表的职责：</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lang w:val="en-US" w:eastAsia="zh-CN" w:bidi="zh-TW"/>
        </w:rPr>
        <w:t xml:space="preserve">  </w:t>
      </w:r>
      <w:r>
        <w:rPr>
          <w:rFonts w:hint="eastAsia" w:ascii="宋体" w:hAnsi="宋体" w:cs="宋体"/>
          <w:szCs w:val="21"/>
          <w:lang w:val="zh-TW" w:eastAsia="zh-CN" w:bidi="zh-TW"/>
        </w:rPr>
        <w:t>联系电话：</w:t>
      </w:r>
      <w:r>
        <w:rPr>
          <w:rFonts w:hint="eastAsia" w:ascii="宋体" w:hAnsi="宋体" w:cs="宋体"/>
          <w:szCs w:val="21"/>
          <w:u w:val="single"/>
          <w:lang w:val="en-US" w:eastAsia="zh-CN" w:bidi="zh-TW"/>
        </w:rPr>
        <w:t xml:space="preserve">            </w:t>
      </w:r>
      <w:r>
        <w:rPr>
          <w:rFonts w:hint="eastAsia" w:ascii="宋体" w:hAnsi="宋体" w:cs="宋体"/>
          <w:szCs w:val="21"/>
          <w:lang w:val="en-US" w:eastAsia="zh-CN" w:bidi="zh-TW"/>
        </w:rPr>
        <w:t xml:space="preserve"> </w:t>
      </w:r>
      <w:r>
        <w:rPr>
          <w:rFonts w:hint="eastAsia" w:ascii="宋体" w:hAnsi="宋体" w:cs="宋体"/>
          <w:szCs w:val="21"/>
          <w:lang w:val="zh-TW" w:eastAsia="zh-CN" w:bidi="zh-TW"/>
        </w:rPr>
        <w:t>通讯地址</w:t>
      </w:r>
      <w:r>
        <w:rPr>
          <w:rFonts w:hint="eastAsia" w:ascii="宋体" w:hAnsi="宋体" w:cs="宋体"/>
          <w:szCs w:val="21"/>
          <w:lang w:val="en-US" w:eastAsia="zh-CN" w:bidi="zh-TW"/>
        </w:rPr>
        <w:t xml:space="preserve"> </w:t>
      </w:r>
      <w:r>
        <w:rPr>
          <w:rFonts w:hint="eastAsia" w:ascii="宋体" w:hAnsi="宋体" w:cs="宋体"/>
          <w:szCs w:val="21"/>
          <w:u w:val="single"/>
          <w:lang w:val="en-US" w:eastAsia="zh-CN" w:bidi="zh-TW"/>
        </w:rPr>
        <w:t xml:space="preserve">           </w:t>
      </w:r>
    </w:p>
    <w:p w14:paraId="6094B4FE">
      <w:pPr>
        <w:keepNext/>
        <w:keepLines/>
        <w:spacing w:line="360" w:lineRule="auto"/>
        <w:ind w:firstLine="240"/>
        <w:outlineLvl w:val="1"/>
        <w:rPr>
          <w:rFonts w:hint="eastAsia" w:ascii="宋体" w:hAnsi="宋体" w:cs="宋体"/>
          <w:szCs w:val="21"/>
          <w:lang w:val="zh-TW" w:eastAsia="zh-TW" w:bidi="zh-TW"/>
        </w:rPr>
      </w:pPr>
      <w:r>
        <w:rPr>
          <w:rFonts w:hint="eastAsia" w:ascii="宋体" w:hAnsi="宋体" w:cs="宋体"/>
          <w:b/>
          <w:bCs/>
          <w:color w:val="000000"/>
          <w:szCs w:val="21"/>
          <w:lang w:bidi="en-US"/>
        </w:rPr>
        <w:t>2.3</w:t>
      </w:r>
      <w:r>
        <w:rPr>
          <w:rFonts w:hint="eastAsia" w:ascii="宋体" w:hAnsi="宋体" w:cs="宋体"/>
          <w:color w:val="000000"/>
          <w:szCs w:val="21"/>
          <w:lang w:val="zh-TW" w:eastAsia="zh-TW" w:bidi="zh-TW"/>
        </w:rPr>
        <w:t>监理人</w:t>
      </w:r>
    </w:p>
    <w:p w14:paraId="08C40901">
      <w:pPr>
        <w:tabs>
          <w:tab w:val="left" w:pos="3624"/>
        </w:tabs>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2.3.1</w:t>
      </w:r>
      <w:r>
        <w:rPr>
          <w:rFonts w:hint="eastAsia" w:ascii="宋体" w:hAnsi="宋体" w:cs="宋体"/>
          <w:color w:val="000000"/>
          <w:szCs w:val="21"/>
          <w:lang w:val="zh-TW" w:eastAsia="zh-TW" w:bidi="zh-TW"/>
        </w:rPr>
        <w:t>监理单位名称：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74FF3306">
      <w:pPr>
        <w:tabs>
          <w:tab w:val="left" w:pos="1872"/>
        </w:tabs>
        <w:spacing w:line="360" w:lineRule="auto"/>
        <w:ind w:firstLine="240"/>
        <w:jc w:val="left"/>
        <w:rPr>
          <w:rFonts w:hint="eastAsia" w:ascii="宋体" w:hAnsi="宋体" w:cs="宋体"/>
          <w:szCs w:val="21"/>
          <w:lang w:bidi="zh-TW"/>
        </w:rPr>
      </w:pPr>
      <w:r>
        <w:rPr>
          <w:rFonts w:hint="eastAsia" w:ascii="宋体" w:hAnsi="宋体" w:cs="宋体"/>
          <w:color w:val="000000"/>
          <w:szCs w:val="21"/>
          <w:lang w:val="zh-TW" w:eastAsia="zh-TW" w:bidi="zh-TW"/>
        </w:rPr>
        <w:t>工程总监姓名：</w:t>
      </w:r>
      <w:r>
        <w:rPr>
          <w:rFonts w:hint="eastAsia" w:ascii="宋体" w:hAnsi="宋体" w:cs="宋体"/>
          <w:szCs w:val="21"/>
          <w:u w:val="single"/>
          <w:lang w:bidi="zh-TW"/>
        </w:rPr>
        <w:t xml:space="preserve">                  </w:t>
      </w:r>
    </w:p>
    <w:p w14:paraId="4FF94EF2">
      <w:pPr>
        <w:tabs>
          <w:tab w:val="left" w:pos="3494"/>
        </w:tabs>
        <w:spacing w:after="60" w:line="360" w:lineRule="auto"/>
        <w:ind w:firstLine="24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监理的范围：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监理的内容：</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52C0F95D">
      <w:pPr>
        <w:tabs>
          <w:tab w:val="left" w:pos="3494"/>
        </w:tabs>
        <w:spacing w:after="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监理的权限：</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178AE36">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2.5</w:t>
      </w:r>
      <w:r>
        <w:rPr>
          <w:rFonts w:hint="eastAsia" w:ascii="宋体" w:hAnsi="宋体" w:cs="宋体"/>
          <w:color w:val="000000"/>
          <w:szCs w:val="21"/>
          <w:lang w:val="zh-TW" w:eastAsia="zh-TW" w:bidi="zh-TW"/>
        </w:rPr>
        <w:t>保安责任</w:t>
      </w:r>
    </w:p>
    <w:p w14:paraId="40C12C76">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2.5.1</w:t>
      </w:r>
      <w:r>
        <w:rPr>
          <w:rFonts w:hint="eastAsia" w:ascii="宋体" w:hAnsi="宋体" w:cs="宋体"/>
          <w:color w:val="000000"/>
          <w:szCs w:val="21"/>
          <w:lang w:val="zh-TW" w:eastAsia="zh-TW" w:bidi="zh-TW"/>
        </w:rPr>
        <w:t>现场保安责任的约定。在以下两者中选择其一，作为合同双方对现场 保安责任的约定。</w:t>
      </w:r>
    </w:p>
    <w:p w14:paraId="0984EDA0">
      <w:pPr>
        <w:spacing w:line="360" w:lineRule="auto"/>
        <w:ind w:firstLine="24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发包人负责保安的归口管理</w:t>
      </w:r>
    </w:p>
    <w:p w14:paraId="39C7915B">
      <w:pPr>
        <w:spacing w:line="360" w:lineRule="auto"/>
        <w:ind w:firstLine="240"/>
        <w:jc w:val="left"/>
        <w:rPr>
          <w:rFonts w:hint="eastAsia" w:ascii="宋体" w:hAnsi="宋体" w:cs="宋体"/>
          <w:szCs w:val="21"/>
          <w:lang w:val="zh-TW" w:eastAsia="zh-TW" w:bidi="zh-TW"/>
        </w:rPr>
      </w:pPr>
      <w:r>
        <w:rPr>
          <w:rFonts w:ascii="Wingdings" w:hAnsi="Wingdings"/>
        </w:rPr>
        <w:sym w:font="Wingdings" w:char="F0FE"/>
      </w:r>
      <w:r>
        <w:rPr>
          <w:rFonts w:hint="eastAsia" w:ascii="宋体" w:hAnsi="宋体" w:cs="宋体"/>
          <w:color w:val="000000"/>
          <w:szCs w:val="21"/>
          <w:lang w:val="zh-TW" w:eastAsia="zh-TW" w:bidi="zh-TW"/>
        </w:rPr>
        <w:t>委托承包人负责保安管理</w:t>
      </w:r>
    </w:p>
    <w:p w14:paraId="65C98871">
      <w:pPr>
        <w:spacing w:line="360" w:lineRule="auto"/>
        <w:jc w:val="left"/>
        <w:rPr>
          <w:rFonts w:hint="eastAsia" w:ascii="宋体" w:hAnsi="宋体" w:cs="宋体"/>
          <w:sz w:val="24"/>
          <w:szCs w:val="24"/>
        </w:rPr>
      </w:pPr>
      <w:r>
        <w:rPr>
          <w:rFonts w:hint="eastAsia" w:ascii="Times New Roman" w:hAnsi="Times New Roman"/>
          <w:b/>
          <w:bCs/>
          <w:color w:val="000000"/>
          <w:szCs w:val="21"/>
          <w:lang w:bidi="en-US"/>
        </w:rPr>
        <w:t>2.5.2</w:t>
      </w:r>
      <w:r>
        <w:rPr>
          <w:rFonts w:hint="eastAsia" w:ascii="Times New Roman" w:hAnsi="Times New Roman"/>
          <w:color w:val="000000"/>
          <w:szCs w:val="21"/>
        </w:rPr>
        <w:t>保安区域责任划分及双方相关保安制度、责任制度和报告制度的约 定：</w:t>
      </w:r>
      <w:r>
        <w:rPr>
          <w:rFonts w:ascii="宋体" w:hAnsi="宋体"/>
          <w:sz w:val="24"/>
          <w:szCs w:val="24"/>
          <w:u w:val="single"/>
        </w:rPr>
        <w:t>承包人除应组织维护施工场地</w:t>
      </w:r>
      <w:r>
        <w:rPr>
          <w:rFonts w:hint="eastAsia" w:ascii="宋体" w:hAnsi="宋体"/>
          <w:sz w:val="24"/>
          <w:szCs w:val="24"/>
          <w:u w:val="single"/>
        </w:rPr>
        <w:t>周边</w:t>
      </w:r>
      <w:r>
        <w:rPr>
          <w:rFonts w:ascii="宋体" w:hAnsi="宋体"/>
          <w:sz w:val="24"/>
          <w:szCs w:val="24"/>
          <w:u w:val="single"/>
        </w:rPr>
        <w:t>社会治安外，还应做好包括生活区在内的各自管辖区的治安保卫工作。承包人应在工程开工后7天内编制施工场地治安管理计划，并制定应对突发治安事件的紧急预案。在工程施工过程中，发生暴乱、爆炸等恐怖事件，以及群殴、械斗等群体性突发治安事件的，承包人应立即向当地政府报告</w:t>
      </w:r>
      <w:r>
        <w:rPr>
          <w:rFonts w:hint="eastAsia" w:ascii="宋体" w:hAnsi="宋体"/>
          <w:sz w:val="24"/>
          <w:szCs w:val="24"/>
          <w:u w:val="single"/>
        </w:rPr>
        <w:t>，同时向监理人和发包人报告</w:t>
      </w:r>
      <w:r>
        <w:rPr>
          <w:rFonts w:ascii="宋体" w:hAnsi="宋体"/>
          <w:sz w:val="24"/>
          <w:szCs w:val="24"/>
          <w:u w:val="single"/>
        </w:rPr>
        <w:t>。承包人应积极协助当地有关部门采取措施平息事态，防止事态扩大，尽量避免人员伤亡</w:t>
      </w:r>
      <w:r>
        <w:rPr>
          <w:rFonts w:hint="eastAsia" w:ascii="宋体" w:hAnsi="宋体"/>
          <w:sz w:val="24"/>
          <w:szCs w:val="24"/>
          <w:u w:val="single"/>
        </w:rPr>
        <w:t>和</w:t>
      </w:r>
      <w:r>
        <w:rPr>
          <w:rFonts w:ascii="宋体" w:hAnsi="宋体"/>
          <w:sz w:val="24"/>
          <w:szCs w:val="24"/>
          <w:u w:val="single"/>
        </w:rPr>
        <w:t xml:space="preserve">财产损失 </w:t>
      </w:r>
      <w:r>
        <w:rPr>
          <w:rFonts w:hint="eastAsia" w:ascii="宋体" w:hAnsi="宋体" w:cs="宋体"/>
          <w:sz w:val="24"/>
          <w:szCs w:val="24"/>
        </w:rPr>
        <w:t>。</w:t>
      </w:r>
    </w:p>
    <w:p w14:paraId="10A6EBE1">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关于编制施工场地治安管理计划的约定：</w:t>
      </w:r>
      <w:r>
        <w:rPr>
          <w:rFonts w:hint="eastAsia" w:ascii="宋体" w:hAnsi="宋体"/>
          <w:sz w:val="24"/>
          <w:szCs w:val="24"/>
          <w:u w:val="single"/>
        </w:rPr>
        <w:t>由承包人制定</w:t>
      </w:r>
      <w:r>
        <w:rPr>
          <w:rFonts w:ascii="宋体" w:hAnsi="宋体"/>
          <w:sz w:val="24"/>
          <w:szCs w:val="24"/>
          <w:u w:val="single"/>
        </w:rPr>
        <w:t xml:space="preserve"> </w:t>
      </w:r>
      <w:r>
        <w:rPr>
          <w:rFonts w:hint="eastAsia" w:ascii="宋体" w:hAnsi="宋体"/>
          <w:sz w:val="24"/>
          <w:szCs w:val="24"/>
          <w:u w:val="single"/>
        </w:rPr>
        <w:t>，报监理审核，发包人审定</w:t>
      </w:r>
      <w:r>
        <w:rPr>
          <w:rFonts w:ascii="宋体" w:hAnsi="宋体"/>
          <w:sz w:val="24"/>
          <w:szCs w:val="24"/>
          <w:u w:val="single"/>
        </w:rPr>
        <w:t xml:space="preserve"> </w:t>
      </w:r>
      <w:r>
        <w:rPr>
          <w:rFonts w:ascii="宋体" w:hAnsi="宋体"/>
          <w:sz w:val="24"/>
          <w:szCs w:val="24"/>
        </w:rPr>
        <w:t>。</w:t>
      </w:r>
    </w:p>
    <w:p w14:paraId="4CEEC191">
      <w:pPr>
        <w:tabs>
          <w:tab w:val="left" w:pos="3845"/>
        </w:tabs>
        <w:spacing w:after="140" w:line="360" w:lineRule="auto"/>
        <w:ind w:firstLine="240"/>
        <w:jc w:val="left"/>
        <w:rPr>
          <w:rFonts w:hint="eastAsia" w:ascii="宋体" w:hAnsi="宋体" w:cs="宋体"/>
          <w:szCs w:val="21"/>
          <w:lang w:val="zh-TW" w:eastAsia="zh-TW" w:bidi="zh-TW"/>
        </w:rPr>
      </w:pPr>
      <w:r>
        <w:rPr>
          <w:rFonts w:hint="eastAsia" w:ascii="宋体" w:hAnsi="宋体" w:cs="宋体"/>
          <w:szCs w:val="21"/>
          <w:u w:val="single"/>
          <w:lang w:val="zh-TW" w:eastAsia="zh-TW" w:bidi="zh-TW"/>
        </w:rPr>
        <w:tab/>
      </w:r>
    </w:p>
    <w:p w14:paraId="4E3DCC11">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第3条承包人</w:t>
      </w:r>
    </w:p>
    <w:p w14:paraId="4DB317C7">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3.1</w:t>
      </w:r>
      <w:r>
        <w:rPr>
          <w:rFonts w:hint="eastAsia" w:ascii="宋体" w:hAnsi="宋体" w:cs="宋体"/>
          <w:color w:val="000000"/>
          <w:szCs w:val="21"/>
          <w:lang w:val="zh-TW" w:eastAsia="zh-TW" w:bidi="zh-TW"/>
        </w:rPr>
        <w:t>承包人的主要权利和义务</w:t>
      </w:r>
    </w:p>
    <w:p w14:paraId="273389AD">
      <w:pPr>
        <w:spacing w:line="360" w:lineRule="auto"/>
        <w:ind w:firstLine="422" w:firstLineChars="200"/>
        <w:rPr>
          <w:rFonts w:hint="eastAsia" w:ascii="宋体" w:hAnsi="宋体" w:cs="宋体"/>
          <w:color w:val="000000"/>
          <w:sz w:val="24"/>
          <w:szCs w:val="24"/>
        </w:rPr>
      </w:pPr>
      <w:r>
        <w:rPr>
          <w:rFonts w:hint="eastAsia" w:ascii="Times New Roman" w:hAnsi="Times New Roman"/>
          <w:b/>
          <w:bCs/>
          <w:color w:val="000000"/>
          <w:szCs w:val="21"/>
          <w:lang w:bidi="en-US"/>
        </w:rPr>
        <w:t>3.1.3</w:t>
      </w:r>
      <w:r>
        <w:rPr>
          <w:rFonts w:hint="eastAsia" w:ascii="Times New Roman" w:hAnsi="Times New Roman"/>
          <w:color w:val="000000"/>
          <w:szCs w:val="21"/>
        </w:rPr>
        <w:t>经合同双方商定，承包人应提交的报表类别、名称、内容、报告期、 提交的时间和份数：</w:t>
      </w:r>
      <w:r>
        <w:rPr>
          <w:rFonts w:hint="eastAsia" w:ascii="宋体" w:hAnsi="宋体" w:cs="宋体"/>
          <w:color w:val="000000"/>
          <w:sz w:val="24"/>
          <w:szCs w:val="24"/>
          <w:highlight w:val="yellow"/>
          <w:u w:val="single"/>
        </w:rPr>
        <w:t>施工图、</w:t>
      </w:r>
      <w:r>
        <w:rPr>
          <w:rFonts w:hint="eastAsia" w:ascii="宋体" w:hAnsi="宋体" w:cs="宋体"/>
          <w:color w:val="000000"/>
          <w:sz w:val="24"/>
          <w:szCs w:val="24"/>
          <w:u w:val="single"/>
        </w:rPr>
        <w:t>按发包人施工管理要求及现行施工要求提供与工程施工、验收、质量保修、安全环保、质量、进度、结算等相关文件。包括但不限于</w:t>
      </w:r>
      <w:r>
        <w:rPr>
          <w:rFonts w:hint="eastAsia" w:ascii="宋体" w:hAnsi="宋体" w:cs="宋体"/>
          <w:color w:val="0000FF"/>
          <w:sz w:val="24"/>
          <w:szCs w:val="24"/>
          <w:u w:val="single"/>
        </w:rPr>
        <w:t>详细施工进度计划、施工方案及说明、施工控制网资料、施工安全措施计划、施工工艺及技术、施工技术标准变更、材料变更及部分工程的大样图、竣工图、施工组织设计（包括单项施工组织设计）</w:t>
      </w:r>
      <w:r>
        <w:rPr>
          <w:rFonts w:hint="eastAsia" w:ascii="宋体" w:hAnsi="宋体" w:cs="宋体"/>
          <w:color w:val="000000"/>
          <w:sz w:val="24"/>
          <w:szCs w:val="24"/>
        </w:rPr>
        <w:t>承包人提供的文件的期限为：</w:t>
      </w:r>
      <w:r>
        <w:rPr>
          <w:rFonts w:hint="eastAsia" w:ascii="宋体" w:hAnsi="宋体" w:cs="宋体"/>
          <w:color w:val="0000FF"/>
          <w:sz w:val="24"/>
          <w:szCs w:val="24"/>
          <w:u w:val="single"/>
        </w:rPr>
        <w:t>该项工作实施前的14天内</w:t>
      </w:r>
      <w:r>
        <w:rPr>
          <w:rFonts w:hint="eastAsia" w:ascii="宋体" w:hAnsi="宋体" w:cs="宋体"/>
          <w:color w:val="000000"/>
          <w:sz w:val="24"/>
          <w:szCs w:val="24"/>
        </w:rPr>
        <w:t>；</w:t>
      </w:r>
    </w:p>
    <w:p w14:paraId="6E830E65">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承包人提供的文件的数量为：</w:t>
      </w:r>
      <w:r>
        <w:rPr>
          <w:rFonts w:hint="eastAsia" w:ascii="宋体" w:hAnsi="宋体" w:cs="宋体"/>
          <w:color w:val="0000FF"/>
          <w:sz w:val="24"/>
          <w:szCs w:val="24"/>
          <w:u w:val="single"/>
        </w:rPr>
        <w:t>8套</w:t>
      </w:r>
      <w:r>
        <w:rPr>
          <w:rFonts w:hint="eastAsia" w:ascii="宋体" w:hAnsi="宋体" w:cs="宋体"/>
          <w:color w:val="000000"/>
          <w:sz w:val="24"/>
          <w:szCs w:val="24"/>
        </w:rPr>
        <w:t>；</w:t>
      </w:r>
    </w:p>
    <w:p w14:paraId="289AC263">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承包人提供的文件的形式为：</w:t>
      </w:r>
      <w:r>
        <w:rPr>
          <w:rFonts w:hint="eastAsia" w:ascii="宋体" w:hAnsi="宋体" w:cs="宋体"/>
          <w:color w:val="0000FF"/>
          <w:sz w:val="24"/>
          <w:szCs w:val="24"/>
          <w:u w:val="single"/>
        </w:rPr>
        <w:t>书面文件（纸质和电子）</w:t>
      </w:r>
      <w:r>
        <w:rPr>
          <w:rFonts w:hint="eastAsia" w:ascii="宋体" w:hAnsi="宋体" w:cs="宋体"/>
          <w:color w:val="000000"/>
          <w:sz w:val="24"/>
          <w:szCs w:val="24"/>
        </w:rPr>
        <w:t>；</w:t>
      </w:r>
    </w:p>
    <w:p w14:paraId="39B66925">
      <w:pPr>
        <w:tabs>
          <w:tab w:val="left" w:pos="3845"/>
        </w:tabs>
        <w:spacing w:after="60" w:line="360" w:lineRule="auto"/>
        <w:ind w:firstLine="240"/>
        <w:jc w:val="left"/>
        <w:rPr>
          <w:rFonts w:hint="eastAsia" w:ascii="宋体" w:hAnsi="宋体" w:cs="宋体"/>
          <w:szCs w:val="21"/>
          <w:lang w:val="zh-TW" w:eastAsia="zh-TW" w:bidi="zh-TW"/>
        </w:rPr>
      </w:pPr>
      <w:r>
        <w:rPr>
          <w:rFonts w:hint="eastAsia" w:ascii="宋体" w:hAnsi="宋体" w:cs="宋体"/>
          <w:szCs w:val="21"/>
          <w:u w:val="single"/>
          <w:lang w:val="zh-TW" w:eastAsia="zh-TW" w:bidi="zh-TW"/>
        </w:rPr>
        <w:tab/>
      </w:r>
    </w:p>
    <w:p w14:paraId="27BBE343">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3.2</w:t>
      </w:r>
      <w:r>
        <w:rPr>
          <w:rFonts w:hint="eastAsia" w:ascii="宋体" w:hAnsi="宋体" w:cs="宋体"/>
          <w:color w:val="000000"/>
          <w:szCs w:val="21"/>
          <w:lang w:val="zh-TW" w:eastAsia="zh-TW" w:bidi="zh-TW"/>
        </w:rPr>
        <w:t>项目经理</w:t>
      </w:r>
    </w:p>
    <w:p w14:paraId="265B229C">
      <w:pPr>
        <w:tabs>
          <w:tab w:val="left" w:pos="2165"/>
        </w:tabs>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3.2.1</w:t>
      </w:r>
      <w:r>
        <w:rPr>
          <w:rFonts w:hint="eastAsia" w:ascii="宋体" w:hAnsi="宋体" w:cs="宋体"/>
          <w:color w:val="000000"/>
          <w:szCs w:val="21"/>
          <w:lang w:val="zh-TW" w:eastAsia="zh-TW" w:bidi="zh-TW"/>
        </w:rPr>
        <w:t>项目经理姓名：</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val="en-US" w:eastAsia="zh-CN" w:bidi="zh-TW"/>
        </w:rPr>
        <w:t xml:space="preserve"> </w:t>
      </w:r>
      <w:r>
        <w:rPr>
          <w:rFonts w:hint="eastAsia" w:ascii="宋体" w:hAnsi="宋体" w:cs="宋体"/>
          <w:szCs w:val="21"/>
          <w:lang w:val="en-US" w:eastAsia="zh-CN" w:bidi="zh-TW"/>
        </w:rPr>
        <w:t xml:space="preserve">   </w:t>
      </w:r>
      <w:r>
        <w:rPr>
          <w:rFonts w:hint="eastAsia" w:ascii="宋体" w:hAnsi="宋体" w:cs="宋体"/>
          <w:szCs w:val="21"/>
          <w:lang w:val="zh-TW" w:eastAsia="zh-CN" w:bidi="zh-TW"/>
        </w:rPr>
        <w:t>联系电话：</w:t>
      </w:r>
      <w:r>
        <w:rPr>
          <w:rFonts w:hint="eastAsia" w:ascii="宋体" w:hAnsi="宋体" w:cs="宋体"/>
          <w:szCs w:val="21"/>
          <w:u w:val="single"/>
          <w:lang w:bidi="zh-TW"/>
        </w:rPr>
        <w:t xml:space="preserve">         </w:t>
      </w:r>
    </w:p>
    <w:p w14:paraId="7517FF1C">
      <w:pPr>
        <w:tabs>
          <w:tab w:val="left" w:pos="3797"/>
        </w:tabs>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项目经理职责：</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6C2A7EF3">
      <w:pPr>
        <w:tabs>
          <w:tab w:val="left" w:pos="2338"/>
          <w:tab w:val="left" w:pos="3797"/>
        </w:tabs>
        <w:spacing w:line="360" w:lineRule="auto"/>
        <w:ind w:left="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项目经理权限：</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项目经理每月在现场时间不得少于</w:t>
      </w:r>
      <w:r>
        <w:rPr>
          <w:rFonts w:hint="eastAsia" w:ascii="宋体" w:hAnsi="宋体" w:cs="宋体"/>
          <w:szCs w:val="21"/>
          <w:u w:val="single"/>
          <w:lang w:val="zh-TW" w:eastAsia="zh-TW" w:bidi="zh-TW"/>
        </w:rPr>
        <w:t xml:space="preserve"> </w:t>
      </w:r>
      <w:r>
        <w:rPr>
          <w:rFonts w:hint="eastAsia" w:ascii="宋体" w:hAnsi="宋体" w:cs="宋体"/>
          <w:szCs w:val="21"/>
          <w:u w:val="single"/>
          <w:lang w:val="zh-TW" w:bidi="zh-TW"/>
        </w:rPr>
        <w:t>24</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日</w:t>
      </w:r>
    </w:p>
    <w:p w14:paraId="492F16AA">
      <w:pPr>
        <w:spacing w:line="360" w:lineRule="auto"/>
        <w:ind w:firstLine="420" w:firstLineChars="200"/>
        <w:rPr>
          <w:rFonts w:hint="eastAsia" w:ascii="宋体" w:hAnsi="宋体" w:cs="宋体"/>
          <w:color w:val="000000"/>
          <w:sz w:val="24"/>
          <w:szCs w:val="24"/>
        </w:rPr>
      </w:pPr>
      <w:r>
        <w:rPr>
          <w:rFonts w:hint="eastAsia" w:ascii="Times New Roman" w:hAnsi="Times New Roman"/>
          <w:color w:val="000000"/>
          <w:szCs w:val="21"/>
        </w:rPr>
        <w:t>因擅自更换项目经理或项目经理兼职其他项目经理的违约约定：</w:t>
      </w:r>
      <w:r>
        <w:rPr>
          <w:rFonts w:hint="eastAsia" w:ascii="Times New Roman" w:hAnsi="Times New Roman"/>
          <w:szCs w:val="21"/>
          <w:u w:val="single"/>
        </w:rPr>
        <w:t xml:space="preserve">    </w:t>
      </w:r>
      <w:r>
        <w:rPr>
          <w:rFonts w:hint="eastAsia" w:ascii="宋体" w:hAnsi="宋体" w:cs="宋体"/>
          <w:color w:val="0000FF"/>
          <w:sz w:val="24"/>
          <w:szCs w:val="24"/>
          <w:u w:val="single"/>
        </w:rPr>
        <w:t>在收到发包人电话或书面通知后5天内更换为发包人认可的项目经理，发包人视更换情况有权处违约金</w:t>
      </w:r>
      <w:r>
        <w:rPr>
          <w:rFonts w:hint="eastAsia" w:ascii="宋体" w:hAnsi="宋体" w:cs="宋体"/>
          <w:color w:val="FF0000"/>
          <w:sz w:val="24"/>
          <w:szCs w:val="24"/>
          <w:u w:val="single"/>
        </w:rPr>
        <w:t xml:space="preserve"> 2</w:t>
      </w:r>
      <w:r>
        <w:rPr>
          <w:rFonts w:hint="eastAsia" w:ascii="宋体" w:hAnsi="宋体" w:cs="宋体"/>
          <w:color w:val="0000FF"/>
          <w:sz w:val="24"/>
          <w:szCs w:val="24"/>
          <w:u w:val="single"/>
        </w:rPr>
        <w:t>万元。</w:t>
      </w:r>
      <w:r>
        <w:rPr>
          <w:rFonts w:hint="eastAsia" w:ascii="宋体" w:hAnsi="宋体" w:cs="宋体"/>
          <w:color w:val="000000"/>
          <w:sz w:val="24"/>
          <w:szCs w:val="24"/>
        </w:rPr>
        <w:t xml:space="preserve">    </w:t>
      </w:r>
    </w:p>
    <w:p w14:paraId="6C6FC423">
      <w:pPr>
        <w:spacing w:line="360" w:lineRule="auto"/>
        <w:ind w:firstLine="420" w:firstLineChars="200"/>
        <w:rPr>
          <w:rFonts w:hint="eastAsia" w:ascii="宋体" w:hAnsi="宋体" w:cs="宋体"/>
          <w:color w:val="0000FF"/>
          <w:sz w:val="24"/>
          <w:szCs w:val="24"/>
          <w:u w:val="single"/>
        </w:rPr>
      </w:pPr>
      <w:r>
        <w:rPr>
          <w:rFonts w:hint="eastAsia" w:ascii="宋体" w:hAnsi="宋体" w:cs="宋体"/>
          <w:szCs w:val="21"/>
          <w:u w:val="single"/>
          <w:lang w:bidi="zh-TW"/>
        </w:rPr>
        <w:t xml:space="preserve">   </w:t>
      </w:r>
      <w:r>
        <w:rPr>
          <w:rFonts w:hint="eastAsia" w:ascii="宋体" w:hAnsi="宋体" w:cs="宋体"/>
          <w:color w:val="0000FF"/>
          <w:sz w:val="24"/>
          <w:szCs w:val="24"/>
          <w:u w:val="single"/>
        </w:rPr>
        <w:t xml:space="preserve">   承包人未提交劳动合同，以及没有为项目经理缴纳社会保险证明的违约责任：未签订合同的，可视为承包人放弃中标资格，发包人有权不予退还承包人投标保证金，如投标保证金不能弥补第一与第二中标候选价的差额的，发包人有权追偿；已签订合同的，发包人有权要求更换项目经理，由此增加的费用和（或）延误的工期由承包人承担。发包人也有权解除合同，不予退还承包人履约保证金，如履约保证金不能弥补第一与第二中标候选价的差额的，发包人有权追偿。</w:t>
      </w:r>
    </w:p>
    <w:p w14:paraId="546CB650">
      <w:pPr>
        <w:spacing w:line="360" w:lineRule="auto"/>
        <w:ind w:firstLine="480" w:firstLineChars="200"/>
        <w:rPr>
          <w:rFonts w:hint="eastAsia" w:ascii="宋体" w:hAnsi="宋体" w:cs="宋体"/>
          <w:color w:val="0000FF"/>
          <w:sz w:val="24"/>
          <w:szCs w:val="24"/>
          <w:u w:val="single"/>
        </w:rPr>
      </w:pPr>
      <w:r>
        <w:rPr>
          <w:rFonts w:hint="eastAsia" w:ascii="宋体" w:hAnsi="宋体" w:cs="宋体"/>
          <w:color w:val="0000FF"/>
          <w:sz w:val="24"/>
          <w:szCs w:val="24"/>
          <w:u w:val="single"/>
        </w:rPr>
        <w:t xml:space="preserve">项目经理未经批准，擅自离开施工现场的违约责任：发包人有权要求承包人承担 </w:t>
      </w:r>
      <w:r>
        <w:rPr>
          <w:rFonts w:hint="eastAsia" w:ascii="宋体" w:hAnsi="宋体" w:cs="宋体"/>
          <w:color w:val="FF0000"/>
          <w:sz w:val="24"/>
          <w:szCs w:val="24"/>
          <w:u w:val="single"/>
        </w:rPr>
        <w:t xml:space="preserve">  1000  </w:t>
      </w:r>
      <w:r>
        <w:rPr>
          <w:rFonts w:hint="eastAsia" w:ascii="宋体" w:hAnsi="宋体" w:cs="宋体"/>
          <w:color w:val="0000FF"/>
          <w:sz w:val="24"/>
          <w:szCs w:val="24"/>
          <w:u w:val="single"/>
        </w:rPr>
        <w:t>元/天的违约金，承担由此增加的费用和（或）延误的工期。</w:t>
      </w:r>
    </w:p>
    <w:p w14:paraId="286451C6">
      <w:pPr>
        <w:tabs>
          <w:tab w:val="left" w:pos="811"/>
        </w:tabs>
        <w:spacing w:after="140" w:line="360" w:lineRule="auto"/>
        <w:ind w:firstLine="24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项目经理每月在现场时间未达到合同约定天数的，每少一天应向发包人支付 违约金</w:t>
      </w:r>
    </w:p>
    <w:p w14:paraId="24DFC404">
      <w:pPr>
        <w:tabs>
          <w:tab w:val="left" w:pos="811"/>
        </w:tabs>
        <w:spacing w:after="140" w:line="360" w:lineRule="auto"/>
        <w:ind w:firstLine="240"/>
        <w:jc w:val="left"/>
        <w:rPr>
          <w:rFonts w:hint="eastAsia" w:ascii="宋体" w:hAnsi="宋体" w:cs="宋体"/>
          <w:color w:val="000000"/>
          <w:szCs w:val="21"/>
          <w:lang w:val="zh-TW" w:bidi="zh-TW"/>
        </w:rPr>
      </w:pPr>
      <w:r>
        <w:rPr>
          <w:rFonts w:hint="eastAsia" w:ascii="宋体" w:hAnsi="宋体" w:cs="宋体"/>
          <w:szCs w:val="21"/>
          <w:u w:val="single"/>
          <w:lang w:val="zh-TW" w:bidi="zh-TW"/>
        </w:rPr>
        <w:t>1000</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元。</w:t>
      </w:r>
    </w:p>
    <w:p w14:paraId="50838AA5">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3.2.3 承包人擅自更换项目经理的违约责任：</w:t>
      </w:r>
    </w:p>
    <w:p w14:paraId="38C756E8">
      <w:pPr>
        <w:spacing w:line="360" w:lineRule="auto"/>
        <w:ind w:firstLine="480" w:firstLineChars="200"/>
        <w:rPr>
          <w:rFonts w:hint="eastAsia" w:ascii="宋体" w:hAnsi="宋体" w:cs="宋体"/>
          <w:color w:val="000000"/>
          <w:sz w:val="24"/>
          <w:szCs w:val="24"/>
        </w:rPr>
      </w:pPr>
      <w:r>
        <w:rPr>
          <w:rFonts w:hint="eastAsia" w:ascii="宋体" w:hAnsi="宋体" w:cs="宋体"/>
          <w:color w:val="0000FF"/>
          <w:sz w:val="24"/>
          <w:szCs w:val="24"/>
          <w:u w:val="single"/>
        </w:rPr>
        <w:t>在收到发包人电话或书面通知后5天内更换为发包人认可的项目经理，发包人视更换情况有权处违约金</w:t>
      </w:r>
      <w:r>
        <w:rPr>
          <w:rFonts w:hint="eastAsia" w:ascii="宋体" w:hAnsi="宋体" w:cs="宋体"/>
          <w:color w:val="FF0000"/>
          <w:sz w:val="24"/>
          <w:szCs w:val="24"/>
          <w:u w:val="single"/>
          <w:lang w:val="en-US" w:eastAsia="zh-CN"/>
        </w:rPr>
        <w:t>2</w:t>
      </w:r>
      <w:r>
        <w:rPr>
          <w:rFonts w:hint="eastAsia" w:ascii="宋体" w:hAnsi="宋体" w:cs="宋体"/>
          <w:color w:val="0000FF"/>
          <w:sz w:val="24"/>
          <w:szCs w:val="24"/>
          <w:u w:val="single"/>
        </w:rPr>
        <w:t>万元。</w:t>
      </w:r>
      <w:r>
        <w:rPr>
          <w:rFonts w:hint="eastAsia" w:ascii="宋体" w:hAnsi="宋体" w:cs="宋体"/>
          <w:color w:val="000000"/>
          <w:sz w:val="24"/>
          <w:szCs w:val="24"/>
        </w:rPr>
        <w:t xml:space="preserve">    </w:t>
      </w:r>
    </w:p>
    <w:p w14:paraId="40712809">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3.2.4 承包人无正当理由拒绝更换项目经理的违约责任：</w:t>
      </w:r>
      <w:r>
        <w:rPr>
          <w:rFonts w:hint="eastAsia" w:ascii="宋体" w:hAnsi="宋体" w:cs="宋体"/>
          <w:color w:val="0000FF"/>
          <w:sz w:val="24"/>
          <w:szCs w:val="24"/>
          <w:u w:val="single"/>
        </w:rPr>
        <w:t>发包人有权解除合同，不予退还承包人履约保证金，如履约保证金不能弥补第一与第二中标候选价的差额的，发包人有权追偿 。</w:t>
      </w:r>
    </w:p>
    <w:p w14:paraId="38F3F808">
      <w:pPr>
        <w:spacing w:after="120"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3.3 承包人人员</w:t>
      </w:r>
    </w:p>
    <w:p w14:paraId="4174174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3.3.1 承包人提交项目管理机构及施工现场管理人员安排报告的期限：</w:t>
      </w:r>
      <w:r>
        <w:rPr>
          <w:rFonts w:hint="eastAsia" w:ascii="宋体" w:hAnsi="宋体" w:cs="宋体"/>
          <w:color w:val="0000FF"/>
          <w:sz w:val="24"/>
          <w:szCs w:val="24"/>
          <w:u w:val="single"/>
        </w:rPr>
        <w:t xml:space="preserve">收到中标通知书后签订合同前  </w:t>
      </w:r>
      <w:r>
        <w:rPr>
          <w:rFonts w:hint="eastAsia" w:ascii="宋体" w:hAnsi="宋体" w:cs="宋体"/>
          <w:color w:val="000000"/>
          <w:sz w:val="24"/>
          <w:szCs w:val="24"/>
        </w:rPr>
        <w:t>。</w:t>
      </w:r>
    </w:p>
    <w:p w14:paraId="713FB97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3.3.3 承包人无正当理由拒绝撤换主要施工管理人员的违约责任：</w:t>
      </w:r>
      <w:r>
        <w:rPr>
          <w:rFonts w:hint="eastAsia" w:ascii="宋体" w:hAnsi="宋体" w:cs="宋体"/>
          <w:color w:val="0000FF"/>
          <w:sz w:val="24"/>
          <w:szCs w:val="24"/>
          <w:u w:val="single"/>
        </w:rPr>
        <w:t xml:space="preserve">  0.5万元/人·次（技术负责人、施工员、安全员、预算员、测量员、质检员、劳资员等）。</w:t>
      </w:r>
    </w:p>
    <w:p w14:paraId="6ED2343A">
      <w:pPr>
        <w:spacing w:line="360" w:lineRule="auto"/>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3.3.4 承包人主要施工管理人员离开施工现场的批准要求：</w:t>
      </w:r>
      <w:r>
        <w:rPr>
          <w:rFonts w:hint="eastAsia" w:ascii="宋体" w:hAnsi="宋体"/>
          <w:sz w:val="24"/>
          <w:szCs w:val="24"/>
          <w:u w:val="single"/>
        </w:rPr>
        <w:t>经发包人代表书面同意</w:t>
      </w:r>
      <w:r>
        <w:rPr>
          <w:rFonts w:hint="eastAsia" w:ascii="宋体" w:hAnsi="宋体" w:cs="宋体"/>
          <w:color w:val="000000"/>
          <w:sz w:val="24"/>
          <w:szCs w:val="24"/>
        </w:rPr>
        <w:t>。</w:t>
      </w:r>
    </w:p>
    <w:p w14:paraId="4D5D9765">
      <w:pPr>
        <w:spacing w:line="360" w:lineRule="auto"/>
        <w:ind w:firstLine="480" w:firstLineChars="200"/>
        <w:rPr>
          <w:rFonts w:ascii="宋体" w:hAnsi="宋体"/>
          <w:sz w:val="24"/>
          <w:szCs w:val="24"/>
        </w:rPr>
      </w:pPr>
      <w:r>
        <w:rPr>
          <w:rFonts w:ascii="宋体" w:hAnsi="宋体"/>
          <w:sz w:val="24"/>
          <w:szCs w:val="24"/>
        </w:rPr>
        <w:t>3.3.5承包人擅自更换主要施工管理人员的违约责任：</w:t>
      </w:r>
      <w:r>
        <w:rPr>
          <w:rFonts w:hint="eastAsia" w:ascii="宋体" w:hAnsi="宋体"/>
          <w:sz w:val="24"/>
          <w:szCs w:val="24"/>
          <w:u w:val="single"/>
        </w:rPr>
        <w:t>在收到发包人电话或书面通知后5天内更换为发包人认可的施工管理人员，发包人视更换情况有权处违约金0.5万元/次.人</w:t>
      </w:r>
      <w:r>
        <w:rPr>
          <w:rFonts w:ascii="宋体" w:hAnsi="宋体"/>
          <w:sz w:val="24"/>
          <w:szCs w:val="24"/>
          <w:u w:val="single"/>
        </w:rPr>
        <w:t xml:space="preserve"> </w:t>
      </w:r>
      <w:r>
        <w:rPr>
          <w:rFonts w:ascii="宋体" w:hAnsi="宋体"/>
          <w:sz w:val="24"/>
          <w:szCs w:val="24"/>
        </w:rPr>
        <w:t>。</w:t>
      </w:r>
    </w:p>
    <w:p w14:paraId="28DF2491">
      <w:pPr>
        <w:spacing w:line="360" w:lineRule="auto"/>
        <w:ind w:firstLine="480" w:firstLineChars="200"/>
        <w:rPr>
          <w:rFonts w:ascii="宋体" w:hAnsi="宋体"/>
          <w:sz w:val="24"/>
          <w:szCs w:val="24"/>
        </w:rPr>
      </w:pPr>
      <w:r>
        <w:rPr>
          <w:rFonts w:ascii="宋体" w:hAnsi="宋体"/>
          <w:sz w:val="24"/>
          <w:szCs w:val="24"/>
        </w:rPr>
        <w:t>承包人主要施工管理人员擅自离开施工现场的违约责任：</w:t>
      </w:r>
      <w:r>
        <w:rPr>
          <w:rFonts w:hint="eastAsia" w:ascii="宋体" w:hAnsi="宋体"/>
          <w:sz w:val="24"/>
          <w:szCs w:val="24"/>
          <w:u w:val="single"/>
        </w:rPr>
        <w:t xml:space="preserve">   0.2万元/</w:t>
      </w:r>
      <w:r>
        <w:rPr>
          <w:rFonts w:ascii="宋体" w:hAnsi="宋体"/>
          <w:sz w:val="24"/>
          <w:szCs w:val="24"/>
          <w:u w:val="single"/>
        </w:rPr>
        <w:t>人·次</w:t>
      </w:r>
      <w:r>
        <w:rPr>
          <w:rFonts w:hint="eastAsia" w:ascii="宋体" w:hAnsi="宋体"/>
          <w:sz w:val="24"/>
          <w:szCs w:val="24"/>
          <w:u w:val="single"/>
        </w:rPr>
        <w:t>（技术负责人、施工员、安全员、预算员、测量员、质检员、劳资员等）</w:t>
      </w:r>
      <w:r>
        <w:rPr>
          <w:rFonts w:ascii="宋体" w:hAnsi="宋体"/>
          <w:sz w:val="24"/>
          <w:szCs w:val="24"/>
          <w:u w:val="single"/>
        </w:rPr>
        <w:t xml:space="preserve">  </w:t>
      </w:r>
      <w:r>
        <w:rPr>
          <w:rFonts w:ascii="宋体" w:hAnsi="宋体"/>
          <w:sz w:val="24"/>
          <w:szCs w:val="24"/>
        </w:rPr>
        <w:t>。</w:t>
      </w:r>
    </w:p>
    <w:p w14:paraId="1FD7758F">
      <w:pPr>
        <w:tabs>
          <w:tab w:val="left" w:pos="811"/>
        </w:tabs>
        <w:spacing w:after="140" w:line="360" w:lineRule="auto"/>
        <w:ind w:firstLine="240"/>
        <w:jc w:val="left"/>
        <w:rPr>
          <w:rFonts w:hint="eastAsia" w:ascii="宋体" w:hAnsi="宋体" w:cs="宋体"/>
          <w:szCs w:val="21"/>
          <w:lang w:eastAsia="zh-TW" w:bidi="zh-TW"/>
        </w:rPr>
      </w:pPr>
    </w:p>
    <w:p w14:paraId="7A816003">
      <w:pPr>
        <w:spacing w:after="14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3.8</w:t>
      </w:r>
      <w:r>
        <w:rPr>
          <w:rFonts w:hint="eastAsia" w:ascii="宋体" w:hAnsi="宋体" w:cs="宋体"/>
          <w:color w:val="000000"/>
          <w:szCs w:val="21"/>
          <w:lang w:val="zh-TW" w:eastAsia="zh-TW" w:bidi="zh-TW"/>
        </w:rPr>
        <w:t>分包</w:t>
      </w:r>
    </w:p>
    <w:p w14:paraId="4B16D392">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3.8.1</w:t>
      </w:r>
      <w:r>
        <w:rPr>
          <w:rFonts w:hint="eastAsia" w:ascii="宋体" w:hAnsi="宋体" w:cs="宋体"/>
          <w:color w:val="000000"/>
          <w:szCs w:val="21"/>
          <w:lang w:val="zh-TW" w:eastAsia="zh-TW" w:bidi="zh-TW"/>
        </w:rPr>
        <w:t>分包约定</w:t>
      </w:r>
    </w:p>
    <w:p w14:paraId="40F0BCE3">
      <w:pPr>
        <w:tabs>
          <w:tab w:val="left" w:pos="3619"/>
        </w:tabs>
        <w:spacing w:after="140" w:line="360" w:lineRule="auto"/>
        <w:ind w:firstLine="240"/>
        <w:jc w:val="left"/>
        <w:rPr>
          <w:rFonts w:hint="eastAsia" w:ascii="宋体" w:hAnsi="宋体" w:cs="宋体"/>
          <w:szCs w:val="21"/>
          <w:lang w:bidi="zh-TW"/>
        </w:rPr>
      </w:pPr>
      <w:r>
        <w:rPr>
          <w:rFonts w:hint="eastAsia" w:ascii="宋体" w:hAnsi="宋体" w:cs="宋体"/>
          <w:color w:val="000000"/>
          <w:szCs w:val="21"/>
          <w:lang w:val="zh-TW" w:eastAsia="zh-TW" w:bidi="zh-TW"/>
        </w:rPr>
        <w:t>约定的分包工作事项：</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val="zh-TW" w:eastAsia="zh-TW" w:bidi="zh-TW"/>
        </w:rPr>
        <w:t>主体及关键工程</w:t>
      </w:r>
      <w:r>
        <w:rPr>
          <w:rFonts w:hint="eastAsia" w:ascii="宋体" w:hAnsi="宋体" w:cs="宋体"/>
          <w:szCs w:val="21"/>
          <w:u w:val="single"/>
          <w:lang w:val="zh-TW" w:bidi="zh-TW"/>
        </w:rPr>
        <w:t>、</w:t>
      </w:r>
      <w:r>
        <w:rPr>
          <w:rFonts w:hint="eastAsia" w:ascii="宋体" w:hAnsi="宋体" w:cs="宋体"/>
          <w:szCs w:val="21"/>
          <w:u w:val="single"/>
          <w:lang w:val="zh-TW" w:eastAsia="zh-TW" w:bidi="zh-TW"/>
        </w:rPr>
        <w:t>关键工作不允许</w:t>
      </w:r>
      <w:r>
        <w:rPr>
          <w:rFonts w:hint="eastAsia" w:ascii="宋体" w:hAnsi="宋体" w:cs="宋体"/>
          <w:szCs w:val="21"/>
          <w:u w:val="single"/>
          <w:lang w:bidi="zh-TW"/>
        </w:rPr>
        <w:t xml:space="preserve"> 分包                                    </w:t>
      </w:r>
    </w:p>
    <w:p w14:paraId="6CD94BBB">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第4条 进度计划、延误和暂停</w:t>
      </w:r>
    </w:p>
    <w:p w14:paraId="452C37F8">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4.1</w:t>
      </w:r>
      <w:r>
        <w:rPr>
          <w:rFonts w:hint="eastAsia" w:ascii="宋体" w:hAnsi="宋体" w:cs="宋体"/>
          <w:color w:val="000000"/>
          <w:szCs w:val="21"/>
          <w:lang w:val="zh-TW" w:eastAsia="zh-TW" w:bidi="zh-TW"/>
        </w:rPr>
        <w:t>项目进度计划</w:t>
      </w:r>
    </w:p>
    <w:p w14:paraId="16B0D72B">
      <w:pPr>
        <w:tabs>
          <w:tab w:val="left" w:pos="3739"/>
          <w:tab w:val="left" w:pos="3941"/>
        </w:tabs>
        <w:spacing w:after="140" w:line="360" w:lineRule="auto"/>
        <w:ind w:left="540" w:hanging="300"/>
        <w:jc w:val="left"/>
        <w:rPr>
          <w:rFonts w:hint="eastAsia" w:ascii="宋体" w:hAnsi="宋体" w:cs="宋体"/>
          <w:color w:val="000000"/>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color w:val="000000"/>
          <w:szCs w:val="21"/>
          <w:lang w:val="zh-TW" w:bidi="zh-TW"/>
        </w:rPr>
        <w:t>.1.</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项目进度计划中的关键路径及关键路径变化的确定原则：</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施工组织设计中明确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259FB68D">
      <w:pPr>
        <w:tabs>
          <w:tab w:val="left" w:pos="3739"/>
          <w:tab w:val="left" w:pos="3941"/>
        </w:tabs>
        <w:spacing w:after="140" w:line="360" w:lineRule="auto"/>
        <w:ind w:left="540" w:hanging="30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承包人提交项目进度计划的份数和时间：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每月25日提交                     </w:t>
      </w:r>
      <w:r>
        <w:rPr>
          <w:rFonts w:hint="eastAsia" w:ascii="宋体" w:hAnsi="宋体" w:cs="宋体"/>
          <w:szCs w:val="21"/>
          <w:u w:val="single"/>
          <w:lang w:val="zh-TW" w:eastAsia="zh-TW" w:bidi="zh-TW"/>
        </w:rPr>
        <w:tab/>
      </w:r>
    </w:p>
    <w:p w14:paraId="6F6D4E0F">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4.3</w:t>
      </w:r>
      <w:r>
        <w:rPr>
          <w:rFonts w:hint="eastAsia" w:ascii="宋体" w:hAnsi="宋体" w:cs="宋体"/>
          <w:color w:val="000000"/>
          <w:szCs w:val="21"/>
          <w:lang w:val="zh-TW" w:eastAsia="zh-TW" w:bidi="zh-TW"/>
        </w:rPr>
        <w:t>采购进度计划</w:t>
      </w:r>
    </w:p>
    <w:p w14:paraId="07B1EDD9">
      <w:pPr>
        <w:tabs>
          <w:tab w:val="left" w:pos="3724"/>
        </w:tabs>
        <w:spacing w:line="360" w:lineRule="auto"/>
        <w:ind w:firstLine="220"/>
        <w:rPr>
          <w:rFonts w:hint="eastAsia" w:ascii="宋体" w:hAnsi="宋体" w:cs="宋体"/>
          <w:szCs w:val="21"/>
          <w:lang w:val="zh-TW" w:eastAsia="zh-TW" w:bidi="zh-TW"/>
        </w:rPr>
      </w:pPr>
      <w:r>
        <w:rPr>
          <w:rFonts w:hint="eastAsia" w:ascii="宋体" w:hAnsi="宋体" w:cs="宋体"/>
          <w:b/>
          <w:bCs/>
          <w:color w:val="000000"/>
          <w:szCs w:val="21"/>
          <w:lang w:bidi="en-US"/>
        </w:rPr>
        <w:t>4.3.1</w:t>
      </w:r>
      <w:r>
        <w:rPr>
          <w:rFonts w:hint="eastAsia" w:ascii="宋体" w:hAnsi="宋体" w:cs="宋体"/>
          <w:color w:val="000000"/>
          <w:szCs w:val="21"/>
          <w:lang w:val="zh-TW" w:eastAsia="zh-TW" w:bidi="zh-TW"/>
        </w:rPr>
        <w:t>釆购进度计划提交的份数和日期：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73E3C76">
      <w:pPr>
        <w:tabs>
          <w:tab w:val="left" w:pos="2438"/>
        </w:tabs>
        <w:spacing w:after="60" w:line="360" w:lineRule="auto"/>
        <w:ind w:firstLine="220"/>
        <w:rPr>
          <w:rFonts w:hint="eastAsia" w:ascii="宋体" w:hAnsi="宋体" w:cs="宋体"/>
          <w:szCs w:val="21"/>
          <w:lang w:val="zh-TW" w:eastAsia="zh-TW" w:bidi="zh-TW"/>
        </w:rPr>
      </w:pPr>
      <w:r>
        <w:rPr>
          <w:rFonts w:hint="eastAsia" w:ascii="宋体" w:hAnsi="宋体" w:cs="宋体"/>
          <w:b/>
          <w:bCs/>
          <w:color w:val="000000"/>
          <w:szCs w:val="21"/>
          <w:lang w:bidi="en-US"/>
        </w:rPr>
        <w:t>4.3.2</w:t>
      </w:r>
      <w:r>
        <w:rPr>
          <w:rFonts w:hint="eastAsia" w:ascii="宋体" w:hAnsi="宋体" w:cs="宋体"/>
          <w:color w:val="000000"/>
          <w:szCs w:val="21"/>
          <w:lang w:val="zh-TW" w:eastAsia="zh-TW" w:bidi="zh-TW"/>
        </w:rPr>
        <w:t>釆购开始日期：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6885D54">
      <w:pPr>
        <w:spacing w:after="60" w:line="360" w:lineRule="auto"/>
        <w:ind w:firstLine="220"/>
        <w:rPr>
          <w:rFonts w:hint="eastAsia" w:ascii="宋体" w:hAnsi="宋体" w:cs="宋体"/>
          <w:szCs w:val="21"/>
          <w:lang w:val="zh-TW" w:eastAsia="zh-TW" w:bidi="zh-TW"/>
        </w:rPr>
      </w:pPr>
      <w:r>
        <w:rPr>
          <w:rFonts w:hint="eastAsia" w:ascii="宋体" w:hAnsi="宋体" w:cs="宋体"/>
          <w:b/>
          <w:bCs/>
          <w:color w:val="000000"/>
          <w:szCs w:val="21"/>
          <w:lang w:bidi="en-US"/>
        </w:rPr>
        <w:t xml:space="preserve">4.4 </w:t>
      </w:r>
      <w:r>
        <w:rPr>
          <w:rFonts w:hint="eastAsia" w:ascii="宋体" w:hAnsi="宋体" w:cs="宋体"/>
          <w:color w:val="000000"/>
          <w:szCs w:val="21"/>
          <w:lang w:val="zh-TW" w:eastAsia="zh-TW" w:bidi="zh-TW"/>
        </w:rPr>
        <w:t>施工进度计划</w:t>
      </w:r>
    </w:p>
    <w:p w14:paraId="1CD7C0DF">
      <w:pPr>
        <w:spacing w:line="360" w:lineRule="auto"/>
        <w:ind w:firstLine="220"/>
        <w:rPr>
          <w:rFonts w:hint="eastAsia" w:ascii="宋体" w:hAnsi="宋体" w:cs="宋体"/>
          <w:szCs w:val="21"/>
          <w:lang w:val="zh-TW" w:eastAsia="zh-TW" w:bidi="zh-TW"/>
        </w:rPr>
      </w:pPr>
      <w:r>
        <w:rPr>
          <w:rFonts w:hint="eastAsia" w:ascii="宋体" w:hAnsi="宋体" w:cs="宋体"/>
          <w:b/>
          <w:bCs/>
          <w:color w:val="000000"/>
          <w:szCs w:val="21"/>
          <w:lang w:bidi="en-US"/>
        </w:rPr>
        <w:t>4.4.1</w:t>
      </w:r>
      <w:r>
        <w:rPr>
          <w:rFonts w:hint="eastAsia" w:ascii="宋体" w:hAnsi="宋体" w:cs="宋体"/>
          <w:color w:val="000000"/>
          <w:szCs w:val="21"/>
          <w:lang w:val="zh-TW" w:eastAsia="zh-TW" w:bidi="zh-TW"/>
        </w:rPr>
        <w:t>施工进度计划（以表格或文字表述）</w:t>
      </w:r>
    </w:p>
    <w:p w14:paraId="1A2BC697">
      <w:pPr>
        <w:tabs>
          <w:tab w:val="left" w:pos="3834"/>
        </w:tabs>
        <w:spacing w:after="60" w:line="360" w:lineRule="auto"/>
        <w:ind w:left="220" w:firstLine="20"/>
        <w:rPr>
          <w:rFonts w:hint="eastAsia" w:ascii="宋体" w:hAnsi="宋体" w:cs="宋体"/>
          <w:szCs w:val="21"/>
          <w:lang w:val="zh-TW" w:eastAsia="zh-TW" w:bidi="zh-TW"/>
        </w:rPr>
      </w:pPr>
      <w:r>
        <w:rPr>
          <w:rFonts w:hint="eastAsia" w:ascii="宋体" w:hAnsi="宋体" w:cs="宋体"/>
          <w:color w:val="000000"/>
          <w:szCs w:val="21"/>
          <w:lang w:val="zh-TW" w:eastAsia="zh-TW" w:bidi="zh-TW"/>
        </w:rPr>
        <w:t>提交关键单项工程施工计划的名称、份数和时间：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提交关键分部分项工程施工计划的名称、份数和时间：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1FF72BA3">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4.5</w:t>
      </w:r>
      <w:r>
        <w:rPr>
          <w:rFonts w:hint="eastAsia" w:ascii="宋体" w:hAnsi="宋体" w:cs="宋体"/>
          <w:color w:val="000000"/>
          <w:szCs w:val="21"/>
          <w:lang w:val="zh-TW" w:eastAsia="zh-TW" w:bidi="zh-TW"/>
        </w:rPr>
        <w:t>误期损害赔偿</w:t>
      </w:r>
    </w:p>
    <w:p w14:paraId="06AE5CAB">
      <w:pPr>
        <w:tabs>
          <w:tab w:val="left" w:pos="998"/>
          <w:tab w:val="left" w:pos="1862"/>
          <w:tab w:val="left" w:pos="2861"/>
          <w:tab w:val="left" w:pos="3763"/>
        </w:tabs>
        <w:spacing w:after="14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因承包人原因使竣工日期延误，每延误</w:t>
      </w: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天的误期赔偿金额为合同协议书的 合同价格的</w:t>
      </w:r>
      <w:r>
        <w:rPr>
          <w:rFonts w:hint="eastAsia" w:ascii="宋体" w:hAnsi="宋体" w:cs="宋体"/>
          <w:szCs w:val="21"/>
          <w:u w:val="single"/>
          <w:lang w:val="zh-TW" w:eastAsia="zh-TW" w:bidi="zh-TW"/>
        </w:rPr>
        <w:t xml:space="preserve"> </w:t>
      </w:r>
      <w:r>
        <w:rPr>
          <w:rFonts w:hint="eastAsia" w:ascii="宋体" w:hAnsi="宋体" w:cs="宋体"/>
          <w:szCs w:val="21"/>
          <w:u w:val="single"/>
          <w:lang w:val="zh-TW" w:bidi="zh-TW"/>
        </w:rPr>
        <w:t>0.1</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%或人民币金额为：</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、累计最高赔偿金额为合同协议书的合同价格的：</w:t>
      </w:r>
      <w:r>
        <w:rPr>
          <w:rFonts w:hint="eastAsia" w:ascii="宋体" w:hAnsi="宋体" w:cs="宋体"/>
          <w:szCs w:val="21"/>
          <w:u w:val="single"/>
          <w:lang w:val="zh-TW" w:eastAsia="zh-TW" w:bidi="zh-TW"/>
        </w:rPr>
        <w:t xml:space="preserve"> </w:t>
      </w:r>
      <w:r>
        <w:rPr>
          <w:rFonts w:hint="eastAsia" w:ascii="宋体" w:hAnsi="宋体" w:cs="宋体"/>
          <w:szCs w:val="21"/>
          <w:u w:val="single"/>
          <w:lang w:val="zh-TW" w:bidi="zh-TW"/>
        </w:rPr>
        <w:t>5</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%或人民币金额为：</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w:t>
      </w:r>
    </w:p>
    <w:p w14:paraId="021D456A">
      <w:pPr>
        <w:keepNext/>
        <w:keepLines/>
        <w:spacing w:after="100" w:line="360" w:lineRule="auto"/>
        <w:ind w:firstLine="220"/>
        <w:outlineLvl w:val="1"/>
        <w:rPr>
          <w:rFonts w:hint="eastAsia" w:ascii="宋体" w:hAnsi="宋体" w:cs="宋体"/>
          <w:b/>
          <w:bCs/>
          <w:color w:val="000000"/>
          <w:szCs w:val="21"/>
          <w:lang w:bidi="zh-TW"/>
        </w:rPr>
      </w:pPr>
      <w:r>
        <w:rPr>
          <w:rFonts w:hint="eastAsia" w:ascii="宋体" w:hAnsi="宋体" w:cs="宋体"/>
          <w:b/>
          <w:bCs/>
          <w:color w:val="000000"/>
          <w:szCs w:val="21"/>
          <w:lang w:bidi="zh-TW"/>
        </w:rPr>
        <w:t>第5条技术与设计</w:t>
      </w:r>
    </w:p>
    <w:p w14:paraId="6E64093F">
      <w:pPr>
        <w:spacing w:after="60" w:line="360" w:lineRule="auto"/>
        <w:ind w:firstLine="220"/>
        <w:rPr>
          <w:rFonts w:hint="eastAsia" w:ascii="宋体" w:hAnsi="宋体" w:cs="宋体"/>
          <w:szCs w:val="21"/>
          <w:lang w:val="zh-TW" w:eastAsia="zh-TW" w:bidi="zh-TW"/>
        </w:rPr>
      </w:pPr>
      <w:r>
        <w:rPr>
          <w:rFonts w:hint="eastAsia" w:ascii="宋体" w:hAnsi="宋体" w:cs="宋体"/>
          <w:color w:val="000000"/>
          <w:szCs w:val="21"/>
          <w:lang w:bidi="zh-TW"/>
        </w:rPr>
        <w:t>5.1</w:t>
      </w:r>
      <w:r>
        <w:rPr>
          <w:rFonts w:hint="eastAsia" w:ascii="宋体" w:hAnsi="宋体" w:cs="宋体"/>
          <w:color w:val="000000"/>
          <w:szCs w:val="21"/>
          <w:lang w:val="zh-TW" w:eastAsia="zh-TW" w:bidi="zh-TW"/>
        </w:rPr>
        <w:t>生产工艺技术、建筑设计方案</w:t>
      </w:r>
    </w:p>
    <w:p w14:paraId="64EDD7B7">
      <w:pPr>
        <w:spacing w:line="360" w:lineRule="auto"/>
        <w:ind w:firstLine="221"/>
        <w:rPr>
          <w:rFonts w:hint="eastAsia" w:ascii="宋体" w:hAnsi="宋体" w:cs="宋体"/>
          <w:szCs w:val="21"/>
          <w:lang w:val="zh-TW" w:eastAsia="zh-TW" w:bidi="zh-TW"/>
        </w:rPr>
      </w:pPr>
      <w:r>
        <w:rPr>
          <w:rFonts w:hint="eastAsia" w:ascii="宋体" w:hAnsi="宋体" w:cs="宋体"/>
          <w:b/>
          <w:bCs/>
          <w:color w:val="000000"/>
          <w:szCs w:val="21"/>
          <w:lang w:bidi="en-US"/>
        </w:rPr>
        <w:t>5.1.1</w:t>
      </w:r>
      <w:r>
        <w:rPr>
          <w:rFonts w:hint="eastAsia" w:ascii="宋体" w:hAnsi="宋体" w:cs="宋体"/>
          <w:color w:val="000000"/>
          <w:szCs w:val="21"/>
          <w:lang w:val="zh-TW" w:eastAsia="zh-TW" w:bidi="zh-TW"/>
        </w:rPr>
        <w:t>承包人提供的生产工艺技术和（或）建筑设计方案</w:t>
      </w:r>
    </w:p>
    <w:p w14:paraId="3546B702">
      <w:pPr>
        <w:spacing w:line="360" w:lineRule="auto"/>
        <w:ind w:firstLine="221"/>
        <w:rPr>
          <w:rFonts w:hint="eastAsia" w:ascii="宋体" w:hAnsi="宋体" w:cs="宋体"/>
          <w:szCs w:val="21"/>
          <w:lang w:val="zh-TW" w:eastAsia="zh-TW" w:bidi="zh-TW"/>
        </w:rPr>
      </w:pPr>
      <w:r>
        <w:rPr>
          <w:rFonts w:hint="eastAsia" w:ascii="宋体" w:hAnsi="宋体" w:cs="宋体"/>
          <w:color w:val="000000"/>
          <w:szCs w:val="21"/>
          <w:lang w:val="zh-TW" w:eastAsia="zh-TW" w:bidi="zh-TW"/>
        </w:rPr>
        <w:t>根据工程考核特点，在以下类型中选择其一，作为双方的约定。</w:t>
      </w:r>
    </w:p>
    <w:p w14:paraId="0B51EBEE">
      <w:pPr>
        <w:spacing w:line="360" w:lineRule="auto"/>
        <w:ind w:firstLine="221"/>
        <w:rPr>
          <w:rFonts w:hint="eastAsia" w:ascii="宋体" w:hAnsi="宋体" w:cs="宋体"/>
          <w:color w:val="000000"/>
          <w:szCs w:val="21"/>
          <w:u w:val="single"/>
          <w:lang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按工程考核，工程考核保证值和（或）使用功能说明：</w:t>
      </w:r>
      <w:r>
        <w:rPr>
          <w:rFonts w:hint="eastAsia" w:ascii="宋体" w:hAnsi="宋体" w:cs="宋体"/>
          <w:color w:val="000000"/>
          <w:szCs w:val="21"/>
          <w:u w:val="single"/>
          <w:lang w:bidi="zh-TW"/>
        </w:rPr>
        <w:t xml:space="preserve">                        </w:t>
      </w:r>
    </w:p>
    <w:p w14:paraId="1F6B0B05">
      <w:pPr>
        <w:spacing w:line="360" w:lineRule="auto"/>
        <w:ind w:firstLine="221"/>
        <w:rPr>
          <w:rFonts w:hint="eastAsia" w:ascii="宋体" w:hAnsi="宋体" w:cs="宋体"/>
          <w:color w:val="000000"/>
          <w:szCs w:val="21"/>
          <w:u w:val="single"/>
          <w:lang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按单项工程考核，各单项工程考核保证值和（或）使用功能说明:</w:t>
      </w:r>
      <w:r>
        <w:rPr>
          <w:rFonts w:hint="eastAsia" w:ascii="宋体" w:hAnsi="宋体" w:cs="宋体"/>
          <w:color w:val="000000"/>
          <w:szCs w:val="21"/>
          <w:u w:val="single"/>
          <w:lang w:bidi="zh-TW"/>
        </w:rPr>
        <w:t xml:space="preserve">               </w:t>
      </w:r>
    </w:p>
    <w:p w14:paraId="4B49F589">
      <w:pPr>
        <w:spacing w:line="360" w:lineRule="auto"/>
        <w:ind w:firstLine="221"/>
        <w:rPr>
          <w:rFonts w:hint="eastAsia" w:ascii="宋体" w:hAnsi="宋体" w:cs="宋体"/>
          <w:szCs w:val="21"/>
          <w:lang w:val="zh-TW" w:eastAsia="zh-TW" w:bidi="zh-TW"/>
        </w:rPr>
      </w:pPr>
      <w:r>
        <w:rPr>
          <w:rFonts w:hint="eastAsia" w:ascii="宋体" w:hAnsi="宋体" w:cs="宋体"/>
          <w:b/>
          <w:bCs/>
          <w:color w:val="000000"/>
          <w:szCs w:val="21"/>
          <w:lang w:bidi="en-US"/>
        </w:rPr>
        <w:t>5.1.2</w:t>
      </w:r>
      <w:r>
        <w:rPr>
          <w:rFonts w:hint="eastAsia" w:ascii="宋体" w:hAnsi="宋体" w:cs="宋体"/>
          <w:color w:val="000000"/>
          <w:szCs w:val="21"/>
          <w:lang w:val="zh-TW" w:eastAsia="zh-TW" w:bidi="zh-TW"/>
        </w:rPr>
        <w:t>发包人提供的生产工艺技术和（或）建筑设计方案</w:t>
      </w:r>
    </w:p>
    <w:p w14:paraId="68144BB0">
      <w:pPr>
        <w:spacing w:line="360" w:lineRule="auto"/>
        <w:ind w:firstLine="220"/>
        <w:rPr>
          <w:rFonts w:hint="eastAsia" w:ascii="宋体" w:hAnsi="宋体" w:cs="宋体"/>
          <w:szCs w:val="21"/>
          <w:lang w:bidi="zh-TW"/>
        </w:rPr>
      </w:pPr>
      <w:r>
        <w:rPr>
          <w:rFonts w:hint="eastAsia" w:ascii="宋体" w:hAnsi="宋体" w:cs="宋体"/>
          <w:color w:val="000000"/>
          <w:szCs w:val="21"/>
          <w:lang w:val="zh-TW" w:eastAsia="zh-TW" w:bidi="zh-TW"/>
        </w:rPr>
        <w:t>其中，发包人应承担的工程和（或）单项工程试运行考核保证值和（或）使用功能说明如下：</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r>
        <w:rPr>
          <w:rFonts w:hint="eastAsia" w:ascii="宋体" w:hAnsi="宋体" w:cs="宋体"/>
          <w:szCs w:val="21"/>
          <w:lang w:bidi="zh-TW"/>
        </w:rPr>
        <w:t xml:space="preserve"> </w:t>
      </w:r>
    </w:p>
    <w:p w14:paraId="61E2257F">
      <w:pPr>
        <w:spacing w:line="360" w:lineRule="auto"/>
        <w:ind w:firstLine="220"/>
        <w:rPr>
          <w:rFonts w:hint="eastAsia" w:ascii="宋体" w:hAnsi="宋体" w:cs="宋体"/>
          <w:szCs w:val="21"/>
          <w:lang w:bidi="zh-TW"/>
        </w:rPr>
      </w:pPr>
      <w:r>
        <w:rPr>
          <w:rFonts w:hint="eastAsia" w:ascii="宋体" w:hAnsi="宋体" w:cs="宋体"/>
          <w:color w:val="000000"/>
          <w:szCs w:val="21"/>
          <w:lang w:val="zh-TW" w:eastAsia="zh-TW" w:bidi="zh-TW"/>
        </w:rPr>
        <w:t>承包人应承担的工程和（或）单项工程试运行考核保证值和（或）使用功能说明如下：</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7164CE93">
      <w:pPr>
        <w:keepNext/>
        <w:keepLines/>
        <w:spacing w:after="60" w:line="360" w:lineRule="auto"/>
        <w:ind w:firstLine="220"/>
        <w:outlineLvl w:val="1"/>
        <w:rPr>
          <w:rFonts w:hint="eastAsia" w:ascii="宋体" w:hAnsi="宋体" w:cs="宋体"/>
          <w:color w:val="000000"/>
          <w:szCs w:val="21"/>
          <w:lang w:val="zh-TW" w:eastAsia="zh-TW" w:bidi="zh-TW"/>
        </w:rPr>
      </w:pPr>
      <w:r>
        <w:rPr>
          <w:rFonts w:hint="eastAsia" w:ascii="宋体" w:hAnsi="宋体" w:cs="宋体"/>
          <w:color w:val="000000"/>
          <w:szCs w:val="21"/>
          <w:lang w:bidi="zh-TW"/>
        </w:rPr>
        <w:t>5.2</w:t>
      </w:r>
      <w:r>
        <w:rPr>
          <w:rFonts w:hint="eastAsia" w:ascii="宋体" w:hAnsi="宋体" w:cs="宋体"/>
          <w:color w:val="000000"/>
          <w:szCs w:val="21"/>
          <w:lang w:val="zh-TW" w:eastAsia="zh-TW" w:bidi="zh-TW"/>
        </w:rPr>
        <w:t>设计</w:t>
      </w:r>
    </w:p>
    <w:p w14:paraId="7CCF6DFF">
      <w:pPr>
        <w:tabs>
          <w:tab w:val="left" w:pos="641"/>
        </w:tabs>
        <w:spacing w:line="360" w:lineRule="auto"/>
        <w:ind w:left="220"/>
        <w:rPr>
          <w:rFonts w:hint="eastAsia" w:ascii="宋体" w:hAnsi="宋体" w:cs="宋体"/>
          <w:szCs w:val="21"/>
          <w:lang w:val="zh-TW" w:eastAsia="zh-TW" w:bidi="zh-TW"/>
        </w:rPr>
      </w:pPr>
      <w:r>
        <w:rPr>
          <w:rFonts w:hint="eastAsia" w:ascii="宋体" w:hAnsi="宋体" w:cs="宋体"/>
          <w:color w:val="000000"/>
          <w:szCs w:val="21"/>
          <w:lang w:bidi="zh-TW"/>
        </w:rPr>
        <w:t>5.2.1</w:t>
      </w:r>
      <w:r>
        <w:rPr>
          <w:rFonts w:hint="eastAsia" w:ascii="宋体" w:hAnsi="宋体" w:cs="宋体"/>
          <w:color w:val="000000"/>
          <w:szCs w:val="21"/>
          <w:lang w:val="zh-TW" w:eastAsia="zh-TW" w:bidi="zh-TW"/>
        </w:rPr>
        <w:t>发包人的义务</w:t>
      </w:r>
    </w:p>
    <w:p w14:paraId="1006A731">
      <w:pPr>
        <w:tabs>
          <w:tab w:val="left" w:pos="656"/>
          <w:tab w:val="left" w:pos="3202"/>
        </w:tabs>
        <w:spacing w:line="360" w:lineRule="auto"/>
        <w:ind w:firstLine="240"/>
        <w:rPr>
          <w:rFonts w:hint="eastAsia" w:ascii="宋体" w:hAnsi="宋体" w:cs="宋体"/>
          <w:szCs w:val="21"/>
          <w:lang w:bidi="zh-TW"/>
        </w:rPr>
      </w:pPr>
      <w:r>
        <w:rPr>
          <w:rFonts w:hint="eastAsia" w:ascii="宋体" w:hAnsi="宋体" w:cs="宋体"/>
          <w:color w:val="000000"/>
          <w:szCs w:val="21"/>
          <w:lang w:val="zh-TW" w:eastAsia="zh-TW" w:bidi="zh-TW"/>
        </w:rPr>
        <w:t>（1）提供项目基础资料。发包人提供的项目基础资料的类别、内容、份数和时间：</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599E039E">
      <w:pPr>
        <w:tabs>
          <w:tab w:val="left" w:pos="656"/>
          <w:tab w:val="left" w:pos="3202"/>
        </w:tabs>
        <w:spacing w:line="360" w:lineRule="auto"/>
        <w:ind w:firstLine="240"/>
        <w:rPr>
          <w:rFonts w:hint="eastAsia" w:ascii="宋体" w:hAnsi="宋体" w:cs="宋体"/>
          <w:szCs w:val="21"/>
          <w:lang w:bidi="zh-TW"/>
        </w:rPr>
      </w:pPr>
      <w:r>
        <w:rPr>
          <w:rFonts w:hint="eastAsia" w:ascii="宋体" w:hAnsi="宋体" w:cs="宋体"/>
          <w:color w:val="000000"/>
          <w:szCs w:val="21"/>
          <w:lang w:val="zh-TW" w:eastAsia="zh-TW" w:bidi="zh-TW"/>
        </w:rPr>
        <w:t>（2）提供现场障碍资料。发包人提供的现场障碍资料的类别、内容、份数和时间：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144DC3F8">
      <w:pPr>
        <w:tabs>
          <w:tab w:val="left" w:pos="650"/>
        </w:tabs>
        <w:spacing w:after="60" w:line="360" w:lineRule="auto"/>
        <w:ind w:left="220"/>
        <w:rPr>
          <w:rFonts w:hint="eastAsia" w:ascii="宋体" w:hAnsi="宋体" w:cs="宋体"/>
          <w:szCs w:val="21"/>
          <w:lang w:val="zh-TW" w:eastAsia="zh-TW" w:bidi="zh-TW"/>
        </w:rPr>
      </w:pPr>
      <w:r>
        <w:rPr>
          <w:rFonts w:hint="eastAsia" w:ascii="宋体" w:hAnsi="宋体" w:cs="宋体"/>
          <w:color w:val="000000"/>
          <w:szCs w:val="21"/>
          <w:lang w:bidi="zh-TW"/>
        </w:rPr>
        <w:t>5.2.2</w:t>
      </w:r>
      <w:r>
        <w:rPr>
          <w:rFonts w:hint="eastAsia" w:ascii="宋体" w:hAnsi="宋体" w:cs="宋体"/>
          <w:color w:val="000000"/>
          <w:szCs w:val="21"/>
          <w:lang w:val="zh-TW" w:eastAsia="zh-TW" w:bidi="zh-TW"/>
        </w:rPr>
        <w:t>承包人的义务</w:t>
      </w:r>
    </w:p>
    <w:p w14:paraId="5D3E8889">
      <w:pPr>
        <w:tabs>
          <w:tab w:val="left" w:pos="3902"/>
        </w:tabs>
        <w:spacing w:line="360" w:lineRule="auto"/>
        <w:ind w:firstLine="320"/>
        <w:jc w:val="left"/>
        <w:rPr>
          <w:rFonts w:hint="eastAsia" w:ascii="宋体" w:hAnsi="宋体" w:cs="宋体"/>
          <w:szCs w:val="21"/>
          <w:u w:val="single"/>
          <w:lang w:val="zh-TW" w:bidi="zh-TW"/>
        </w:rPr>
      </w:pPr>
      <w:r>
        <w:rPr>
          <w:rFonts w:hint="eastAsia" w:ascii="宋体" w:hAnsi="宋体" w:cs="宋体"/>
          <w:color w:val="000000"/>
          <w:szCs w:val="21"/>
          <w:lang w:val="zh-CN" w:bidi="zh-CN"/>
        </w:rPr>
        <w:t>(1)</w:t>
      </w:r>
      <w:r>
        <w:rPr>
          <w:rFonts w:hint="eastAsia" w:ascii="宋体" w:hAnsi="宋体" w:cs="宋体"/>
          <w:color w:val="000000"/>
          <w:szCs w:val="21"/>
          <w:lang w:val="zh-TW" w:eastAsia="zh-TW" w:bidi="zh-TW"/>
        </w:rPr>
        <w:t>经合同双方商定，发包人提供的项目基础资料、现场障碍资料的如下部分，可按本款中约定的如下时间期限，提出进一步要求：</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15A9B9D">
      <w:pPr>
        <w:spacing w:after="120" w:line="360" w:lineRule="auto"/>
        <w:rPr>
          <w:rFonts w:hint="eastAsia" w:ascii="Times New Roman" w:hAnsi="Times New Roman" w:eastAsia="仿宋_GB2312"/>
          <w:color w:val="000000"/>
          <w:kern w:val="0"/>
          <w:sz w:val="30"/>
          <w:szCs w:val="32"/>
        </w:rPr>
      </w:pPr>
      <w:r>
        <w:rPr>
          <w:rFonts w:hint="eastAsia" w:ascii="仿宋_GB2312" w:hAnsi="仿宋_GB2312" w:eastAsia="仿宋_GB2312"/>
          <w:color w:val="000000"/>
          <w:sz w:val="30"/>
          <w:szCs w:val="32"/>
        </w:rPr>
        <w:t>：</w:t>
      </w:r>
      <w:r>
        <w:rPr>
          <w:rFonts w:hint="eastAsia" w:ascii="仿宋_GB2312" w:hAnsi="宋体" w:eastAsia="仿宋_GB2312" w:cs="宋体"/>
          <w:color w:val="0000FF"/>
          <w:sz w:val="30"/>
          <w:szCs w:val="30"/>
          <w:u w:val="single"/>
        </w:rPr>
        <w:t xml:space="preserve"> （2）其他义务1 ：①保证设计质量。②各设计阶段的工作任务，包括但不限于：施工图设计、变更设计、优化设计。③配合施工现场的义务，包括：a.设计交底；b.施工阶段工程遇到需设计人协助或解决的问题时，设计人保证24小时内赶赴现场提供服务；c.工程验收；d.竣工备案相关资料资料及结算工作。④保护发包人的知识产权</w:t>
      </w:r>
      <w:r>
        <w:rPr>
          <w:rFonts w:hint="eastAsia" w:ascii="Times New Roman" w:hAnsi="Times New Roman" w:eastAsia="仿宋_GB2312"/>
          <w:color w:val="000000"/>
          <w:kern w:val="0"/>
          <w:sz w:val="30"/>
          <w:szCs w:val="32"/>
        </w:rPr>
        <w:t>。</w:t>
      </w:r>
    </w:p>
    <w:p w14:paraId="729DAADF">
      <w:pPr>
        <w:spacing w:line="520" w:lineRule="exact"/>
        <w:ind w:firstLine="420" w:firstLineChars="200"/>
        <w:rPr>
          <w:rFonts w:ascii="仿宋_GB2312" w:hAnsi="宋体" w:eastAsia="仿宋_GB2312" w:cs="宋体"/>
          <w:color w:val="0000FF"/>
          <w:sz w:val="30"/>
          <w:szCs w:val="30"/>
          <w:u w:val="single"/>
        </w:rPr>
      </w:pPr>
      <w:r>
        <w:rPr>
          <w:rFonts w:hint="eastAsia" w:ascii="仿宋_GB2312" w:hAnsi="仿宋_GB2312" w:eastAsia="仿宋_GB2312"/>
        </w:rPr>
        <w:t xml:space="preserve"> </w:t>
      </w:r>
      <w:r>
        <w:rPr>
          <w:rFonts w:hint="eastAsia" w:ascii="仿宋_GB2312" w:hAnsi="仿宋_GB2312" w:eastAsia="仿宋_GB2312"/>
          <w:u w:val="single"/>
        </w:rPr>
        <w:t xml:space="preserve"> </w:t>
      </w:r>
      <w:r>
        <w:rPr>
          <w:rFonts w:hint="eastAsia" w:ascii="仿宋_GB2312" w:hAnsi="宋体" w:eastAsia="仿宋_GB2312" w:cs="宋体"/>
          <w:color w:val="0000FF"/>
          <w:sz w:val="30"/>
          <w:szCs w:val="30"/>
          <w:u w:val="single"/>
        </w:rPr>
        <w:t xml:space="preserve"> 2、（1）按川府发[2007</w:t>
      </w:r>
      <w:r>
        <w:rPr>
          <w:rFonts w:ascii="仿宋_GB2312" w:hAnsi="宋体" w:eastAsia="仿宋_GB2312" w:cs="宋体"/>
          <w:color w:val="0000FF"/>
          <w:sz w:val="30"/>
          <w:szCs w:val="30"/>
          <w:u w:val="single"/>
        </w:rPr>
        <w:t>]</w:t>
      </w:r>
      <w:r>
        <w:rPr>
          <w:rFonts w:hint="eastAsia" w:ascii="仿宋_GB2312" w:hAnsi="宋体" w:eastAsia="仿宋_GB2312" w:cs="宋体"/>
          <w:color w:val="0000FF"/>
          <w:sz w:val="30"/>
          <w:szCs w:val="30"/>
          <w:u w:val="single"/>
        </w:rPr>
        <w:t>14号之规定：“因设计单位原因造成施工单位低价中标高价结算的，设计单位应该承担工程价款的增加额，且免收全部设计费”。</w:t>
      </w:r>
    </w:p>
    <w:p w14:paraId="468BAA39">
      <w:pPr>
        <w:spacing w:line="520" w:lineRule="exact"/>
        <w:ind w:firstLine="600" w:firstLineChars="200"/>
        <w:rPr>
          <w:rFonts w:hint="eastAsia" w:ascii="仿宋_GB2312" w:hAnsi="宋体" w:eastAsia="仿宋_GB2312" w:cs="宋体"/>
          <w:color w:val="0000FF"/>
          <w:sz w:val="30"/>
          <w:szCs w:val="30"/>
          <w:u w:val="single"/>
        </w:rPr>
      </w:pPr>
      <w:r>
        <w:rPr>
          <w:rFonts w:hint="eastAsia" w:ascii="仿宋_GB2312" w:hAnsi="宋体" w:eastAsia="仿宋_GB2312" w:cs="宋体"/>
          <w:color w:val="0000FF"/>
          <w:sz w:val="30"/>
          <w:szCs w:val="30"/>
          <w:u w:val="single"/>
        </w:rPr>
        <w:t>（2）按照工程进展，设计人在接到甲方通知后，应在24小时内派遣经授权的专业技术人员处理施工中的问题，保证施工进度。否则，发包人有权按设计人违约处理，并按1000元/每人·天收取违约金。如设计人三次未按发包人要求到达现场配合完成工作，发包人有权解除合同，要求设计人退还发包人已支付的设计费，同时设计人按合同金额的10%支付发包人违约金。</w:t>
      </w:r>
    </w:p>
    <w:p w14:paraId="28CF76E4">
      <w:pPr>
        <w:spacing w:line="520" w:lineRule="exact"/>
        <w:ind w:firstLine="600" w:firstLineChars="200"/>
        <w:rPr>
          <w:rFonts w:ascii="仿宋_GB2312" w:hAnsi="宋体" w:eastAsia="仿宋_GB2312" w:cs="宋体"/>
          <w:color w:val="FF0000"/>
          <w:sz w:val="30"/>
          <w:szCs w:val="30"/>
          <w:u w:val="single"/>
        </w:rPr>
      </w:pPr>
      <w:r>
        <w:rPr>
          <w:rFonts w:hint="eastAsia" w:ascii="仿宋_GB2312" w:hAnsi="宋体" w:eastAsia="仿宋_GB2312" w:cs="宋体"/>
          <w:color w:val="FF0000"/>
          <w:sz w:val="30"/>
          <w:szCs w:val="30"/>
          <w:u w:val="single"/>
        </w:rPr>
        <w:t>（3）按照工程进展，若需</w:t>
      </w:r>
      <w:r>
        <w:rPr>
          <w:rFonts w:hint="eastAsia" w:ascii="仿宋_GB2312" w:hAnsi="仿宋_GB2312" w:eastAsia="仿宋_GB2312"/>
          <w:color w:val="FF0000"/>
          <w:sz w:val="30"/>
          <w:szCs w:val="28"/>
          <w:u w:val="single"/>
        </w:rPr>
        <w:t>长期驻现场的设计工地代表，设计人应保证驻场代表每月考勤达到当月工作日的80%。若考勤不达标，发包人有权</w:t>
      </w:r>
      <w:r>
        <w:rPr>
          <w:rFonts w:hint="eastAsia" w:ascii="仿宋_GB2312" w:hAnsi="宋体" w:eastAsia="仿宋_GB2312" w:cs="宋体"/>
          <w:color w:val="FF0000"/>
          <w:sz w:val="30"/>
          <w:szCs w:val="30"/>
          <w:u w:val="single"/>
        </w:rPr>
        <w:t>按设计人违约处理，并按1000元/每人·天收取违约金。</w:t>
      </w:r>
    </w:p>
    <w:p w14:paraId="0186529C">
      <w:pPr>
        <w:spacing w:line="520" w:lineRule="exact"/>
        <w:ind w:firstLine="600" w:firstLineChars="200"/>
        <w:rPr>
          <w:rFonts w:ascii="仿宋_GB2312" w:hAnsi="宋体" w:eastAsia="仿宋_GB2312" w:cs="宋体"/>
          <w:color w:val="0000FF"/>
          <w:sz w:val="30"/>
          <w:szCs w:val="30"/>
          <w:u w:val="single"/>
        </w:rPr>
      </w:pPr>
      <w:r>
        <w:rPr>
          <w:rFonts w:hint="eastAsia" w:ascii="仿宋_GB2312" w:hAnsi="宋体" w:eastAsia="仿宋_GB2312" w:cs="宋体"/>
          <w:color w:val="0000FF"/>
          <w:sz w:val="30"/>
          <w:szCs w:val="30"/>
          <w:u w:val="single"/>
        </w:rPr>
        <w:t>（4）设计人发现需要发包人补充的资料和明确的问题，应该在中标后2日内以书面形式提出，发包人在2日内予以完善和答复，不因为补充资料和答复问题推迟设计时间。</w:t>
      </w:r>
    </w:p>
    <w:p w14:paraId="7A0BEF72">
      <w:pPr>
        <w:spacing w:line="520" w:lineRule="exact"/>
        <w:ind w:firstLine="600" w:firstLineChars="200"/>
        <w:rPr>
          <w:rFonts w:hint="eastAsia" w:ascii="仿宋_GB2312" w:hAnsi="宋体" w:eastAsia="仿宋_GB2312" w:cs="宋体"/>
          <w:color w:val="FF0000"/>
          <w:sz w:val="30"/>
          <w:szCs w:val="30"/>
          <w:u w:val="single"/>
        </w:rPr>
      </w:pPr>
      <w:r>
        <w:rPr>
          <w:rFonts w:hint="eastAsia" w:ascii="仿宋_GB2312" w:hAnsi="宋体" w:eastAsia="仿宋_GB2312" w:cs="宋体"/>
          <w:color w:val="0000FF"/>
          <w:sz w:val="30"/>
          <w:szCs w:val="30"/>
          <w:u w:val="single"/>
        </w:rPr>
        <w:t>（5）施工图设计审查阶段一次性审查未通过，由此产生的一切费用（包括但不限于专家咨询费、图纸审查费、清单编制费等）由设计单位自行支付。</w:t>
      </w:r>
    </w:p>
    <w:p w14:paraId="75ED5EA8">
      <w:pPr>
        <w:spacing w:line="520" w:lineRule="exact"/>
        <w:ind w:firstLine="600" w:firstLineChars="200"/>
        <w:rPr>
          <w:rFonts w:hint="eastAsia" w:ascii="仿宋_GB2312" w:hAnsi="宋体" w:eastAsia="仿宋_GB2312" w:cs="宋体"/>
          <w:color w:val="FF0000"/>
          <w:sz w:val="30"/>
          <w:szCs w:val="30"/>
          <w:u w:val="single"/>
        </w:rPr>
      </w:pPr>
      <w:r>
        <w:rPr>
          <w:rFonts w:hint="eastAsia" w:ascii="仿宋_GB2312" w:hAnsi="宋体" w:eastAsia="仿宋_GB2312" w:cs="宋体"/>
          <w:color w:val="FF0000"/>
          <w:sz w:val="30"/>
          <w:szCs w:val="30"/>
          <w:u w:val="single"/>
        </w:rPr>
        <w:t>（6）施工图设计审查阶段一次性审查未通过或因设计人原因修改施工图设计延长审查时间的，延长的时间视为设计人逾期提交设计资料的时间，每延误一天，应减收该项目应收设计费的万分之三。</w:t>
      </w:r>
    </w:p>
    <w:p w14:paraId="02265D82">
      <w:pPr>
        <w:spacing w:line="520" w:lineRule="exact"/>
        <w:ind w:firstLine="600" w:firstLineChars="200"/>
        <w:rPr>
          <w:rFonts w:hint="eastAsia" w:ascii="宋体" w:hAnsi="宋体" w:cs="宋体"/>
          <w:szCs w:val="21"/>
          <w:lang w:val="zh-TW" w:bidi="zh-TW"/>
        </w:rPr>
      </w:pPr>
      <w:r>
        <w:rPr>
          <w:rFonts w:hint="eastAsia" w:ascii="仿宋_GB2312" w:hAnsi="宋体" w:eastAsia="仿宋_GB2312" w:cs="宋体"/>
          <w:color w:val="FF0000"/>
          <w:sz w:val="30"/>
          <w:szCs w:val="30"/>
          <w:u w:val="single"/>
        </w:rPr>
        <w:t>（7）发包人向设计人支付设计费前，设计人应提供合法有效的增值税专用发票</w:t>
      </w:r>
      <w:r>
        <w:rPr>
          <w:rFonts w:hint="eastAsia" w:ascii="仿宋_GB2312" w:hAnsi="宋体" w:eastAsia="仿宋_GB2312" w:cs="宋体"/>
          <w:color w:val="FF0000"/>
          <w:sz w:val="30"/>
          <w:szCs w:val="30"/>
          <w:u w:val="single"/>
          <w:lang w:eastAsia="zh-CN"/>
        </w:rPr>
        <w:t>（税率）</w:t>
      </w:r>
      <w:r>
        <w:rPr>
          <w:rFonts w:hint="eastAsia" w:ascii="仿宋_GB2312" w:hAnsi="宋体" w:eastAsia="仿宋_GB2312" w:cs="宋体"/>
          <w:color w:val="FF0000"/>
          <w:sz w:val="30"/>
          <w:szCs w:val="30"/>
          <w:u w:val="single"/>
        </w:rPr>
        <w:t>。设计人提供发票后，发包人才具有支付义务。</w:t>
      </w:r>
    </w:p>
    <w:p w14:paraId="49040113">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5.2.4</w:t>
      </w:r>
      <w:r>
        <w:rPr>
          <w:rFonts w:hint="eastAsia" w:ascii="宋体" w:hAnsi="宋体" w:cs="宋体"/>
          <w:color w:val="000000"/>
          <w:szCs w:val="21"/>
          <w:lang w:val="zh-TW" w:eastAsia="zh-TW" w:bidi="zh-TW"/>
        </w:rPr>
        <w:t>操作维修手册</w:t>
      </w:r>
    </w:p>
    <w:p w14:paraId="04280393">
      <w:pPr>
        <w:tabs>
          <w:tab w:val="left" w:pos="3912"/>
        </w:tabs>
        <w:spacing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发包人提交的操作指南、分析手册的份数和提交期限：</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48C0B78C">
      <w:pPr>
        <w:tabs>
          <w:tab w:val="left" w:pos="3912"/>
        </w:tabs>
        <w:spacing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承包人提交的操作维修手册的份数和最终提交期限：</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20CFB58E">
      <w:pPr>
        <w:tabs>
          <w:tab w:val="left" w:pos="3912"/>
        </w:tabs>
        <w:spacing w:line="360" w:lineRule="auto"/>
        <w:ind w:left="240" w:firstLine="20"/>
        <w:jc w:val="left"/>
        <w:rPr>
          <w:rFonts w:hint="eastAsia" w:ascii="宋体" w:hAnsi="宋体" w:cs="宋体"/>
          <w:szCs w:val="21"/>
          <w:lang w:val="zh-TW" w:eastAsia="zh-TW" w:bidi="zh-TW"/>
        </w:rPr>
      </w:pPr>
      <w:r>
        <w:rPr>
          <w:rFonts w:hint="eastAsia" w:ascii="宋体" w:hAnsi="宋体" w:cs="宋体"/>
          <w:b/>
          <w:bCs/>
          <w:color w:val="000000"/>
          <w:szCs w:val="21"/>
          <w:lang w:bidi="en-US"/>
        </w:rPr>
        <w:t>5.2.5</w:t>
      </w:r>
      <w:r>
        <w:rPr>
          <w:rFonts w:hint="eastAsia" w:ascii="宋体" w:hAnsi="宋体" w:cs="宋体"/>
          <w:color w:val="000000"/>
          <w:szCs w:val="21"/>
          <w:lang w:val="zh-TW" w:eastAsia="zh-TW" w:bidi="zh-TW"/>
        </w:rPr>
        <w:t>设计文件的份数和提交时间</w:t>
      </w:r>
    </w:p>
    <w:p w14:paraId="4C4C1806">
      <w:pPr>
        <w:tabs>
          <w:tab w:val="left" w:pos="3970"/>
          <w:tab w:val="left" w:pos="4042"/>
        </w:tabs>
        <w:spacing w:after="60"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规划设计阶段设计文件、资料和图纸的份数和提交时间：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30DB63D0">
      <w:pPr>
        <w:tabs>
          <w:tab w:val="left" w:pos="3970"/>
          <w:tab w:val="left" w:pos="4042"/>
        </w:tabs>
        <w:spacing w:after="60"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初步设计阶段设计文件、资料和图纸的份数和提交时间：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3F4DFB5E">
      <w:pPr>
        <w:tabs>
          <w:tab w:val="left" w:pos="3970"/>
          <w:tab w:val="left" w:pos="4042"/>
        </w:tabs>
        <w:spacing w:after="60"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技术设计阶段设计文件、资料和图纸的份数和提交时间：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7674A190">
      <w:pPr>
        <w:tabs>
          <w:tab w:val="left" w:pos="3970"/>
          <w:tab w:val="left" w:pos="4042"/>
        </w:tabs>
        <w:spacing w:after="60" w:line="360" w:lineRule="auto"/>
        <w:ind w:left="24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施工图设计阶段设计文件、资料和图纸的份数和提交时间：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6AD58263">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5.3</w:t>
      </w:r>
      <w:r>
        <w:rPr>
          <w:rFonts w:hint="eastAsia" w:ascii="宋体" w:hAnsi="宋体" w:cs="宋体"/>
          <w:color w:val="000000"/>
          <w:szCs w:val="21"/>
          <w:lang w:val="zh-TW" w:eastAsia="zh-TW" w:bidi="zh-TW"/>
        </w:rPr>
        <w:t>设计阶段审査</w:t>
      </w:r>
    </w:p>
    <w:p w14:paraId="0A6ECED7">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5.3.1</w:t>
      </w:r>
      <w:r>
        <w:rPr>
          <w:rFonts w:hint="eastAsia" w:ascii="宋体" w:hAnsi="宋体" w:cs="宋体"/>
          <w:color w:val="000000"/>
          <w:szCs w:val="21"/>
          <w:lang w:val="zh-TW" w:eastAsia="zh-TW" w:bidi="zh-TW"/>
        </w:rPr>
        <w:t>设计审査阶段及审査会议时间</w:t>
      </w:r>
    </w:p>
    <w:p w14:paraId="7A525481">
      <w:pPr>
        <w:tabs>
          <w:tab w:val="left" w:pos="3739"/>
        </w:tabs>
        <w:spacing w:after="160"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本工程的设计审査阶段(名称)：</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45862F04">
      <w:pPr>
        <w:tabs>
          <w:tab w:val="left" w:pos="3739"/>
        </w:tabs>
        <w:spacing w:after="160" w:line="360" w:lineRule="auto"/>
        <w:ind w:left="240" w:firstLine="20"/>
        <w:jc w:val="left"/>
        <w:rPr>
          <w:rFonts w:hint="eastAsia" w:ascii="宋体" w:hAnsi="宋体" w:cs="宋体"/>
          <w:szCs w:val="21"/>
          <w:lang w:bidi="zh-TW"/>
        </w:rPr>
      </w:pPr>
      <w:r>
        <w:rPr>
          <w:rFonts w:hint="eastAsia" w:ascii="宋体" w:hAnsi="宋体" w:cs="宋体"/>
          <w:color w:val="000000"/>
          <w:szCs w:val="21"/>
          <w:lang w:val="zh-TW" w:eastAsia="zh-TW" w:bidi="zh-TW"/>
        </w:rPr>
        <w:t xml:space="preserve">设计审査阶段及其审査会议的时间安排： </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7DAAF1FD">
      <w:pPr>
        <w:keepNext/>
        <w:keepLines/>
        <w:spacing w:after="12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6</w:t>
      </w:r>
      <w:r>
        <w:rPr>
          <w:rFonts w:hint="eastAsia" w:ascii="宋体" w:hAnsi="宋体" w:cs="宋体"/>
          <w:color w:val="000000"/>
          <w:szCs w:val="21"/>
          <w:lang w:val="zh-TW" w:eastAsia="zh-TW" w:bidi="zh-TW"/>
        </w:rPr>
        <w:t>条工程物资</w:t>
      </w:r>
    </w:p>
    <w:p w14:paraId="0503A723">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6.1</w:t>
      </w:r>
      <w:r>
        <w:rPr>
          <w:rFonts w:hint="eastAsia" w:ascii="宋体" w:hAnsi="宋体" w:cs="宋体"/>
          <w:color w:val="000000"/>
          <w:szCs w:val="21"/>
          <w:lang w:val="zh-TW" w:eastAsia="zh-TW" w:bidi="zh-TW"/>
        </w:rPr>
        <w:t>工程物资的提供</w:t>
      </w:r>
    </w:p>
    <w:p w14:paraId="5429BBB8">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6.1.1</w:t>
      </w:r>
      <w:r>
        <w:rPr>
          <w:rFonts w:hint="eastAsia" w:ascii="宋体" w:hAnsi="宋体" w:cs="宋体"/>
          <w:color w:val="000000"/>
          <w:szCs w:val="21"/>
          <w:lang w:val="zh-TW" w:eastAsia="zh-TW" w:bidi="zh-TW"/>
        </w:rPr>
        <w:t>发包人提供的工程物资</w:t>
      </w:r>
    </w:p>
    <w:p w14:paraId="42DEE194">
      <w:pPr>
        <w:tabs>
          <w:tab w:val="left" w:pos="3774"/>
        </w:tabs>
        <w:spacing w:line="360" w:lineRule="auto"/>
        <w:ind w:firstLine="280"/>
        <w:jc w:val="left"/>
        <w:rPr>
          <w:rFonts w:hint="eastAsia" w:ascii="宋体" w:hAnsi="宋体" w:cs="宋体"/>
          <w:szCs w:val="21"/>
          <w:lang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工程物资的类别、估算数量：</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4685116E">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6.1.2</w:t>
      </w:r>
      <w:r>
        <w:rPr>
          <w:rFonts w:hint="eastAsia" w:ascii="宋体" w:hAnsi="宋体" w:cs="宋体"/>
          <w:color w:val="000000"/>
          <w:szCs w:val="21"/>
          <w:lang w:val="zh-TW" w:eastAsia="zh-TW" w:bidi="zh-TW"/>
        </w:rPr>
        <w:t>承包人提供的工程物资</w:t>
      </w:r>
    </w:p>
    <w:p w14:paraId="07F7951B">
      <w:pPr>
        <w:tabs>
          <w:tab w:val="left" w:pos="3774"/>
        </w:tabs>
        <w:spacing w:line="360" w:lineRule="auto"/>
        <w:ind w:firstLine="280"/>
        <w:jc w:val="left"/>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1</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工程物资的类别、估算数量：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1742179">
      <w:pPr>
        <w:tabs>
          <w:tab w:val="left" w:pos="3774"/>
        </w:tabs>
        <w:spacing w:after="120" w:line="360" w:lineRule="auto"/>
        <w:ind w:left="280"/>
        <w:jc w:val="left"/>
        <w:rPr>
          <w:rFonts w:hint="eastAsia" w:ascii="宋体" w:hAnsi="宋体" w:cs="宋体"/>
          <w:szCs w:val="21"/>
          <w:lang w:val="zh-TW" w:eastAsia="zh-TW" w:bidi="zh-TW"/>
        </w:rPr>
      </w:pPr>
      <w:r>
        <w:rPr>
          <w:rFonts w:hint="eastAsia" w:ascii="宋体" w:hAnsi="宋体" w:cs="宋体"/>
          <w:color w:val="000000"/>
          <w:szCs w:val="21"/>
          <w:lang w:val="zh-TW" w:bidi="zh-TW"/>
        </w:rPr>
        <w:t>（</w:t>
      </w:r>
      <w:r>
        <w:rPr>
          <w:rFonts w:hint="eastAsia" w:ascii="宋体" w:hAnsi="宋体" w:cs="宋体"/>
          <w:color w:val="000000"/>
          <w:szCs w:val="21"/>
          <w:lang w:bidi="zh-TW"/>
        </w:rPr>
        <w:t>2</w:t>
      </w:r>
      <w:r>
        <w:rPr>
          <w:rFonts w:hint="eastAsia" w:ascii="宋体" w:hAnsi="宋体" w:cs="宋体"/>
          <w:color w:val="000000"/>
          <w:szCs w:val="21"/>
          <w:lang w:val="zh-TW" w:bidi="zh-TW"/>
        </w:rPr>
        <w:t>）</w:t>
      </w:r>
      <w:r>
        <w:rPr>
          <w:rFonts w:hint="eastAsia" w:ascii="宋体" w:hAnsi="宋体" w:cs="宋体"/>
          <w:color w:val="000000"/>
          <w:szCs w:val="21"/>
          <w:lang w:val="zh-TW" w:eastAsia="zh-TW" w:bidi="zh-TW"/>
        </w:rPr>
        <w:t>竣工后试验的生产性材料的类别或(和)清单：</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7FCB5D8">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6.2</w:t>
      </w:r>
      <w:r>
        <w:rPr>
          <w:rFonts w:hint="eastAsia" w:ascii="宋体" w:hAnsi="宋体" w:cs="宋体"/>
          <w:color w:val="000000"/>
          <w:szCs w:val="21"/>
          <w:lang w:val="zh-TW" w:eastAsia="zh-TW" w:bidi="zh-TW"/>
        </w:rPr>
        <w:t>检验</w:t>
      </w:r>
    </w:p>
    <w:p w14:paraId="01CCBCD4">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6.2.1</w:t>
      </w:r>
      <w:r>
        <w:rPr>
          <w:rFonts w:hint="eastAsia" w:ascii="宋体" w:hAnsi="宋体" w:cs="宋体"/>
          <w:color w:val="000000"/>
          <w:szCs w:val="21"/>
          <w:lang w:val="zh-TW" w:eastAsia="zh-TW" w:bidi="zh-TW"/>
        </w:rPr>
        <w:t>工厂检验与报告</w:t>
      </w:r>
    </w:p>
    <w:p w14:paraId="300516F6">
      <w:pPr>
        <w:tabs>
          <w:tab w:val="left" w:pos="4019"/>
        </w:tabs>
        <w:spacing w:after="60" w:line="360" w:lineRule="auto"/>
        <w:ind w:firstLine="28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报告提交日期、报告内容和提交份数：</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6DF6EA62">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6.3</w:t>
      </w:r>
      <w:r>
        <w:rPr>
          <w:rFonts w:hint="eastAsia" w:ascii="宋体" w:hAnsi="宋体" w:cs="宋体"/>
          <w:color w:val="000000"/>
          <w:szCs w:val="21"/>
          <w:lang w:val="zh-TW" w:eastAsia="zh-TW" w:bidi="zh-TW"/>
        </w:rPr>
        <w:t>进口工程物资的釆购、报关和清关</w:t>
      </w:r>
    </w:p>
    <w:p w14:paraId="11143C86">
      <w:pPr>
        <w:tabs>
          <w:tab w:val="left" w:pos="3797"/>
        </w:tabs>
        <w:spacing w:after="60" w:line="360" w:lineRule="auto"/>
        <w:ind w:firstLine="240"/>
        <w:jc w:val="left"/>
        <w:rPr>
          <w:rFonts w:hint="eastAsia" w:ascii="宋体" w:hAnsi="宋体" w:cs="宋体"/>
          <w:szCs w:val="21"/>
          <w:lang w:bidi="zh-TW"/>
        </w:rPr>
      </w:pPr>
      <w:r>
        <w:rPr>
          <w:rFonts w:hint="eastAsia" w:ascii="宋体" w:hAnsi="宋体" w:cs="宋体"/>
          <w:b/>
          <w:bCs/>
          <w:color w:val="000000"/>
          <w:szCs w:val="21"/>
          <w:lang w:bidi="en-US"/>
        </w:rPr>
        <w:t>6.3.1</w:t>
      </w:r>
      <w:r>
        <w:rPr>
          <w:rFonts w:hint="eastAsia" w:ascii="宋体" w:hAnsi="宋体" w:cs="宋体"/>
          <w:color w:val="000000"/>
          <w:szCs w:val="21"/>
          <w:lang w:val="zh-TW" w:eastAsia="zh-TW" w:bidi="zh-TW"/>
        </w:rPr>
        <w:t>釆购责任方及釆购方式：</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55441A78">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6.6</w:t>
      </w:r>
      <w:r>
        <w:rPr>
          <w:rFonts w:hint="eastAsia" w:ascii="宋体" w:hAnsi="宋体" w:cs="宋体"/>
          <w:color w:val="000000"/>
          <w:szCs w:val="21"/>
          <w:lang w:val="zh-TW" w:eastAsia="zh-TW" w:bidi="zh-TW"/>
        </w:rPr>
        <w:t>工程物资保管与剩余</w:t>
      </w:r>
    </w:p>
    <w:p w14:paraId="4A7ECB6C">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6.6.1</w:t>
      </w:r>
      <w:r>
        <w:rPr>
          <w:rFonts w:hint="eastAsia" w:ascii="宋体" w:hAnsi="宋体" w:cs="宋体"/>
          <w:color w:val="000000"/>
          <w:szCs w:val="21"/>
          <w:lang w:val="zh-TW" w:eastAsia="zh-TW" w:bidi="zh-TW"/>
        </w:rPr>
        <w:t>工程物资保管</w:t>
      </w:r>
    </w:p>
    <w:p w14:paraId="13A3E414">
      <w:pPr>
        <w:tabs>
          <w:tab w:val="left" w:pos="3792"/>
          <w:tab w:val="left" w:pos="3850"/>
        </w:tabs>
        <w:spacing w:after="60" w:line="360" w:lineRule="auto"/>
        <w:ind w:left="24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委托承包人保管的工程物资的类别和估算数量：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4589501A">
      <w:pPr>
        <w:tabs>
          <w:tab w:val="left" w:pos="3792"/>
          <w:tab w:val="left" w:pos="3850"/>
        </w:tabs>
        <w:spacing w:after="60" w:line="360" w:lineRule="auto"/>
        <w:ind w:left="24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承包人提交保管、维护方案的时间：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2535D4B">
      <w:pPr>
        <w:tabs>
          <w:tab w:val="left" w:pos="3820"/>
        </w:tabs>
        <w:spacing w:after="180" w:line="360" w:lineRule="auto"/>
        <w:ind w:firstLine="2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由发包人提供的库房、堆场、设施及设备：</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14AC1E09">
      <w:pPr>
        <w:keepNext/>
        <w:keepLines/>
        <w:spacing w:after="120" w:line="360" w:lineRule="auto"/>
        <w:ind w:firstLine="22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7</w:t>
      </w:r>
      <w:r>
        <w:rPr>
          <w:rFonts w:hint="eastAsia" w:ascii="宋体" w:hAnsi="宋体" w:cs="宋体"/>
          <w:color w:val="000000"/>
          <w:szCs w:val="21"/>
          <w:lang w:val="zh-TW" w:eastAsia="zh-TW" w:bidi="zh-TW"/>
        </w:rPr>
        <w:t>条施工</w:t>
      </w:r>
    </w:p>
    <w:p w14:paraId="1E3CA087">
      <w:pPr>
        <w:spacing w:after="60"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7.1</w:t>
      </w:r>
      <w:r>
        <w:rPr>
          <w:rFonts w:hint="eastAsia" w:ascii="宋体" w:hAnsi="宋体" w:cs="宋体"/>
          <w:color w:val="000000"/>
          <w:szCs w:val="21"/>
          <w:lang w:val="zh-TW" w:eastAsia="zh-TW" w:bidi="zh-TW"/>
        </w:rPr>
        <w:t>发包人的义务</w:t>
      </w:r>
    </w:p>
    <w:p w14:paraId="57069C02">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7.1.3</w:t>
      </w:r>
      <w:r>
        <w:rPr>
          <w:rFonts w:hint="eastAsia" w:ascii="宋体" w:hAnsi="宋体" w:cs="宋体"/>
          <w:color w:val="000000"/>
          <w:szCs w:val="21"/>
          <w:lang w:val="zh-TW" w:eastAsia="zh-TW" w:bidi="zh-TW"/>
        </w:rPr>
        <w:t>进场条件和进场日期</w:t>
      </w:r>
    </w:p>
    <w:p w14:paraId="3E206575">
      <w:pPr>
        <w:tabs>
          <w:tab w:val="left" w:pos="2025"/>
          <w:tab w:val="left" w:pos="3830"/>
        </w:tabs>
        <w:spacing w:line="360" w:lineRule="auto"/>
        <w:ind w:left="22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承包人的进场条件：</w:t>
      </w:r>
      <w:r>
        <w:rPr>
          <w:rFonts w:hint="eastAsia" w:ascii="宋体" w:hAnsi="宋体" w:cs="宋体"/>
          <w:szCs w:val="21"/>
          <w:u w:val="single"/>
          <w:lang w:val="zh-TW" w:eastAsia="zh-TW" w:bidi="zh-TW"/>
        </w:rPr>
        <w:t xml:space="preserve"> 具备三通一平条件</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承包人的进厂日期：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1FCC2E2">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7.1.4</w:t>
      </w:r>
      <w:r>
        <w:rPr>
          <w:rFonts w:hint="eastAsia" w:ascii="宋体" w:hAnsi="宋体" w:cs="宋体"/>
          <w:color w:val="000000"/>
          <w:szCs w:val="21"/>
          <w:lang w:val="zh-TW" w:eastAsia="zh-TW" w:bidi="zh-TW"/>
        </w:rPr>
        <w:t>临时用水电等提供和节点铺设</w:t>
      </w:r>
    </w:p>
    <w:p w14:paraId="6BEEE327">
      <w:pPr>
        <w:tabs>
          <w:tab w:val="left" w:pos="3834"/>
        </w:tabs>
        <w:spacing w:after="60" w:line="360" w:lineRule="auto"/>
        <w:ind w:left="22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发包人提供的临时用水、用电等类别、取费单价：</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r>
        <w:rPr>
          <w:rFonts w:hint="eastAsia" w:ascii="宋体" w:hAnsi="宋体" w:cs="宋体"/>
          <w:b/>
          <w:bCs/>
          <w:color w:val="000000"/>
          <w:szCs w:val="21"/>
          <w:lang w:bidi="en-US"/>
        </w:rPr>
        <w:t>7.1.10</w:t>
      </w:r>
      <w:r>
        <w:rPr>
          <w:rFonts w:hint="eastAsia" w:ascii="宋体" w:hAnsi="宋体" w:cs="宋体"/>
          <w:color w:val="000000"/>
          <w:szCs w:val="21"/>
          <w:lang w:val="zh-TW" w:eastAsia="zh-TW" w:bidi="zh-TW"/>
        </w:rPr>
        <w:t>由发包人履行的其它义务：</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102380A0">
      <w:pPr>
        <w:spacing w:after="60"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7.2</w:t>
      </w:r>
      <w:r>
        <w:rPr>
          <w:rFonts w:hint="eastAsia" w:ascii="宋体" w:hAnsi="宋体" w:cs="宋体"/>
          <w:color w:val="000000"/>
          <w:szCs w:val="21"/>
          <w:lang w:val="zh-TW" w:eastAsia="zh-TW" w:bidi="zh-TW"/>
        </w:rPr>
        <w:t>承包人的义务</w:t>
      </w:r>
    </w:p>
    <w:p w14:paraId="4D4BCE57">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7.2.2</w:t>
      </w:r>
      <w:r>
        <w:rPr>
          <w:rFonts w:hint="eastAsia" w:ascii="宋体" w:hAnsi="宋体" w:cs="宋体"/>
          <w:color w:val="000000"/>
          <w:szCs w:val="21"/>
          <w:lang w:val="zh-TW" w:eastAsia="zh-TW" w:bidi="zh-TW"/>
        </w:rPr>
        <w:t>施工组织设计</w:t>
      </w:r>
    </w:p>
    <w:p w14:paraId="02466040">
      <w:pPr>
        <w:tabs>
          <w:tab w:val="left" w:pos="3830"/>
        </w:tabs>
        <w:spacing w:line="360" w:lineRule="auto"/>
        <w:ind w:left="220" w:firstLine="20"/>
        <w:jc w:val="left"/>
        <w:rPr>
          <w:rFonts w:hint="eastAsia" w:ascii="宋体" w:hAnsi="宋体" w:cs="宋体"/>
          <w:szCs w:val="21"/>
          <w:u w:val="single"/>
          <w:lang w:bidi="zh-TW"/>
        </w:rPr>
      </w:pPr>
      <w:r>
        <w:rPr>
          <w:rFonts w:hint="eastAsia" w:ascii="宋体" w:hAnsi="宋体" w:cs="宋体"/>
          <w:color w:val="000000"/>
          <w:szCs w:val="21"/>
          <w:lang w:val="zh-TW" w:eastAsia="zh-TW" w:bidi="zh-TW"/>
        </w:rPr>
        <w:t>提交工程总体施工组织设计的份数和时间：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p>
    <w:p w14:paraId="0CD04222">
      <w:pPr>
        <w:tabs>
          <w:tab w:val="left" w:pos="3830"/>
        </w:tabs>
        <w:spacing w:line="360" w:lineRule="auto"/>
        <w:ind w:left="220" w:firstLine="20"/>
        <w:jc w:val="left"/>
        <w:rPr>
          <w:rFonts w:hint="eastAsia" w:ascii="宋体" w:hAnsi="宋体" w:cs="宋体"/>
          <w:szCs w:val="21"/>
          <w:u w:val="single"/>
          <w:lang w:val="zh-TW" w:eastAsia="zh-TW" w:bidi="zh-TW"/>
        </w:rPr>
      </w:pPr>
      <w:r>
        <w:rPr>
          <w:rFonts w:hint="eastAsia" w:ascii="宋体" w:hAnsi="宋体" w:cs="宋体"/>
          <w:color w:val="000000"/>
          <w:szCs w:val="21"/>
          <w:lang w:val="zh-TW" w:eastAsia="zh-TW" w:bidi="zh-TW"/>
        </w:rPr>
        <w:t>需要提交的主要单项工程、主要分部分项工程施工组织设计的名称、份数和时间：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1D826FD3">
      <w:pPr>
        <w:tabs>
          <w:tab w:val="left" w:pos="3830"/>
        </w:tabs>
        <w:spacing w:line="360" w:lineRule="auto"/>
        <w:ind w:left="220" w:firstLine="20"/>
        <w:jc w:val="left"/>
        <w:rPr>
          <w:rFonts w:hint="eastAsia" w:ascii="宋体" w:hAnsi="宋体" w:cs="宋体"/>
          <w:szCs w:val="21"/>
          <w:u w:val="single"/>
          <w:lang w:bidi="zh-TW"/>
        </w:rPr>
      </w:pPr>
      <w:r>
        <w:rPr>
          <w:rFonts w:hint="eastAsia" w:ascii="宋体" w:hAnsi="宋体" w:cs="宋体"/>
          <w:szCs w:val="21"/>
          <w:u w:val="single"/>
          <w:lang w:bidi="zh-TW"/>
        </w:rPr>
        <w:t xml:space="preserve">                                                                        </w:t>
      </w:r>
    </w:p>
    <w:p w14:paraId="12906B09">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7.2.3</w:t>
      </w:r>
      <w:r>
        <w:rPr>
          <w:rFonts w:hint="eastAsia" w:ascii="宋体" w:hAnsi="宋体" w:cs="宋体"/>
          <w:color w:val="000000"/>
          <w:szCs w:val="21"/>
          <w:lang w:val="zh-TW" w:eastAsia="zh-TW" w:bidi="zh-TW"/>
        </w:rPr>
        <w:t>提交临时占地资料</w:t>
      </w:r>
    </w:p>
    <w:p w14:paraId="74BFE8C1">
      <w:pPr>
        <w:tabs>
          <w:tab w:val="left" w:pos="3834"/>
        </w:tabs>
        <w:spacing w:line="360" w:lineRule="auto"/>
        <w:ind w:left="22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提交临时占地资料的份数和时间：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210C4A5B">
      <w:pPr>
        <w:tabs>
          <w:tab w:val="left" w:pos="3834"/>
        </w:tabs>
        <w:spacing w:line="360" w:lineRule="auto"/>
        <w:ind w:left="220" w:firstLine="20"/>
        <w:jc w:val="left"/>
        <w:rPr>
          <w:rFonts w:hint="eastAsia" w:ascii="宋体" w:hAnsi="宋体" w:cs="宋体"/>
          <w:szCs w:val="21"/>
          <w:lang w:val="zh-TW" w:eastAsia="zh-TW" w:bidi="zh-TW"/>
        </w:rPr>
      </w:pPr>
      <w:r>
        <w:rPr>
          <w:rFonts w:hint="eastAsia" w:ascii="宋体" w:hAnsi="宋体" w:cs="宋体"/>
          <w:b/>
          <w:bCs/>
          <w:color w:val="000000"/>
          <w:szCs w:val="21"/>
          <w:lang w:bidi="en-US"/>
        </w:rPr>
        <w:t>7.2.4</w:t>
      </w:r>
      <w:r>
        <w:rPr>
          <w:rFonts w:hint="eastAsia" w:ascii="宋体" w:hAnsi="宋体" w:cs="宋体"/>
          <w:color w:val="000000"/>
          <w:szCs w:val="21"/>
          <w:lang w:val="zh-TW" w:eastAsia="zh-TW" w:bidi="zh-TW"/>
        </w:rPr>
        <w:t>提供临时用水电等资料</w:t>
      </w:r>
    </w:p>
    <w:p w14:paraId="22DB7D88">
      <w:pPr>
        <w:tabs>
          <w:tab w:val="left" w:pos="2553"/>
          <w:tab w:val="left" w:pos="3830"/>
          <w:tab w:val="left" w:pos="3834"/>
        </w:tabs>
        <w:spacing w:line="360" w:lineRule="auto"/>
        <w:ind w:left="220" w:firstLine="2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承包人需要水电等品质、正常用量、高峰用量和使用时间：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施工组织设计中约定</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57002F74">
      <w:pPr>
        <w:tabs>
          <w:tab w:val="left" w:pos="2553"/>
          <w:tab w:val="left" w:pos="3830"/>
          <w:tab w:val="left" w:pos="3834"/>
        </w:tabs>
        <w:spacing w:line="360" w:lineRule="auto"/>
        <w:ind w:left="220" w:firstLine="2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发包人能够满足施工临时用水、电等类别和数量：</w:t>
      </w:r>
      <w:r>
        <w:rPr>
          <w:rFonts w:hint="eastAsia" w:ascii="宋体" w:hAnsi="宋体" w:cs="宋体"/>
          <w:szCs w:val="21"/>
          <w:u w:val="single"/>
          <w:lang w:bidi="zh-TW"/>
        </w:rPr>
        <w:t>施工组织设计中约定</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水电等节点位置资料的提交时间：</w:t>
      </w:r>
      <w:r>
        <w:rPr>
          <w:rFonts w:hint="eastAsia" w:ascii="宋体" w:hAnsi="宋体" w:cs="宋体"/>
          <w:szCs w:val="21"/>
          <w:u w:val="single"/>
          <w:lang w:bidi="zh-TW"/>
        </w:rPr>
        <w:t>施工组织设计中约定</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10D3A6F9">
      <w:pPr>
        <w:tabs>
          <w:tab w:val="left" w:pos="2553"/>
          <w:tab w:val="left" w:pos="3830"/>
          <w:tab w:val="left" w:pos="3834"/>
        </w:tabs>
        <w:spacing w:line="360" w:lineRule="auto"/>
        <w:ind w:left="220" w:firstLine="20"/>
        <w:rPr>
          <w:rFonts w:hint="eastAsia" w:ascii="宋体" w:hAnsi="宋体" w:cs="宋体"/>
          <w:szCs w:val="21"/>
          <w:lang w:bidi="zh-TW"/>
        </w:rPr>
      </w:pPr>
      <w:r>
        <w:rPr>
          <w:rFonts w:hint="eastAsia" w:ascii="宋体" w:hAnsi="宋体" w:cs="宋体"/>
          <w:b/>
          <w:bCs/>
          <w:color w:val="000000"/>
          <w:szCs w:val="21"/>
          <w:lang w:bidi="en-US"/>
        </w:rPr>
        <w:t>7.2.12</w:t>
      </w:r>
      <w:r>
        <w:rPr>
          <w:rFonts w:hint="eastAsia" w:ascii="宋体" w:hAnsi="宋体" w:cs="宋体"/>
          <w:color w:val="000000"/>
          <w:szCs w:val="21"/>
          <w:lang w:val="zh-TW" w:eastAsia="zh-TW" w:bidi="zh-TW"/>
        </w:rPr>
        <w:t>清理现场的费用：</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55FA2983">
      <w:pPr>
        <w:adjustRightInd w:val="0"/>
        <w:snapToGrid w:val="0"/>
        <w:spacing w:line="360" w:lineRule="auto"/>
        <w:ind w:firstLine="422" w:firstLineChars="200"/>
        <w:jc w:val="left"/>
        <w:rPr>
          <w:rFonts w:ascii="宋体" w:hAnsi="宋体" w:cs="宋体"/>
          <w:szCs w:val="21"/>
          <w:u w:val="single"/>
          <w:lang w:val="zh-TW" w:eastAsia="zh-TW" w:bidi="zh-TW"/>
        </w:rPr>
      </w:pPr>
      <w:r>
        <w:rPr>
          <w:rFonts w:hint="eastAsia" w:ascii="Times New Roman" w:hAnsi="Times New Roman"/>
          <w:b/>
          <w:bCs/>
          <w:color w:val="000000"/>
          <w:szCs w:val="21"/>
          <w:lang w:bidi="en-US"/>
        </w:rPr>
        <w:t>7.2.13</w:t>
      </w:r>
      <w:r>
        <w:rPr>
          <w:rFonts w:hint="eastAsia" w:ascii="Times New Roman" w:hAnsi="Times New Roman"/>
          <w:color w:val="000000"/>
          <w:szCs w:val="21"/>
        </w:rPr>
        <w:t>由承包人履行的其它义务：</w:t>
      </w:r>
      <w:r>
        <w:rPr>
          <w:rFonts w:hint="eastAsia" w:ascii="Times New Roman" w:hAnsi="Times New Roman"/>
          <w:szCs w:val="21"/>
          <w:u w:val="single"/>
        </w:rPr>
        <w:t xml:space="preserve">   </w:t>
      </w:r>
    </w:p>
    <w:p w14:paraId="22A2F520">
      <w:pPr>
        <w:tabs>
          <w:tab w:val="left" w:pos="3834"/>
        </w:tabs>
        <w:spacing w:after="60" w:line="360" w:lineRule="auto"/>
        <w:ind w:firstLine="220"/>
        <w:jc w:val="left"/>
        <w:rPr>
          <w:rFonts w:hint="eastAsia" w:ascii="宋体" w:hAnsi="宋体" w:cs="宋体"/>
          <w:szCs w:val="21"/>
          <w:lang w:val="zh-TW" w:eastAsia="zh-TW" w:bidi="zh-TW"/>
        </w:rPr>
      </w:pPr>
      <w:r>
        <w:rPr>
          <w:rFonts w:hint="eastAsia" w:ascii="宋体" w:hAnsi="宋体" w:cs="宋体"/>
          <w:szCs w:val="21"/>
          <w:u w:val="single"/>
          <w:lang w:val="zh-TW" w:eastAsia="zh-TW" w:bidi="zh-TW"/>
        </w:rPr>
        <w:tab/>
      </w:r>
    </w:p>
    <w:p w14:paraId="013EDADA">
      <w:pPr>
        <w:spacing w:after="60"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7.4</w:t>
      </w:r>
      <w:r>
        <w:rPr>
          <w:rFonts w:hint="eastAsia" w:ascii="宋体" w:hAnsi="宋体" w:cs="宋体"/>
          <w:color w:val="000000"/>
          <w:szCs w:val="21"/>
          <w:lang w:val="zh-TW" w:eastAsia="zh-TW" w:bidi="zh-TW"/>
        </w:rPr>
        <w:t>人力和机具资源</w:t>
      </w:r>
    </w:p>
    <w:p w14:paraId="3148C196">
      <w:pPr>
        <w:tabs>
          <w:tab w:val="left" w:pos="3834"/>
          <w:tab w:val="left" w:pos="3839"/>
        </w:tabs>
        <w:spacing w:after="60" w:line="360" w:lineRule="auto"/>
        <w:ind w:left="220" w:firstLine="20"/>
        <w:rPr>
          <w:rFonts w:hint="eastAsia" w:ascii="宋体" w:hAnsi="宋体" w:cs="宋体"/>
          <w:color w:val="000000"/>
          <w:szCs w:val="21"/>
          <w:lang w:val="zh-TW" w:eastAsia="zh-TW" w:bidi="zh-TW"/>
        </w:rPr>
      </w:pPr>
      <w:r>
        <w:rPr>
          <w:rFonts w:hint="eastAsia" w:ascii="宋体" w:hAnsi="宋体" w:cs="宋体"/>
          <w:b/>
          <w:bCs/>
          <w:color w:val="000000"/>
          <w:szCs w:val="21"/>
          <w:lang w:bidi="en-US"/>
        </w:rPr>
        <w:t>7.4.1</w:t>
      </w:r>
      <w:r>
        <w:rPr>
          <w:rFonts w:hint="eastAsia" w:ascii="宋体" w:hAnsi="宋体" w:cs="宋体"/>
          <w:color w:val="000000"/>
          <w:szCs w:val="21"/>
          <w:lang w:val="zh-TW" w:eastAsia="zh-TW" w:bidi="zh-TW"/>
        </w:rPr>
        <w:t>人力资源计划一览表的格式、内容、份数和提交时间：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施工组织设计中明确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054027CB">
      <w:pPr>
        <w:tabs>
          <w:tab w:val="left" w:pos="3834"/>
          <w:tab w:val="left" w:pos="3839"/>
        </w:tabs>
        <w:spacing w:after="60" w:line="360" w:lineRule="auto"/>
        <w:ind w:left="220" w:firstLine="20"/>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人力资源实际进场的报表格式、份数和报告期：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施工组织设计中明确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5A904EE3">
      <w:pPr>
        <w:tabs>
          <w:tab w:val="left" w:pos="3834"/>
          <w:tab w:val="left" w:pos="3839"/>
        </w:tabs>
        <w:spacing w:after="60" w:line="360" w:lineRule="auto"/>
        <w:ind w:left="220" w:firstLine="20"/>
        <w:rPr>
          <w:rFonts w:hint="eastAsia" w:ascii="宋体" w:hAnsi="宋体" w:cs="宋体"/>
          <w:color w:val="000000"/>
          <w:szCs w:val="21"/>
          <w:lang w:val="zh-TW" w:eastAsia="zh-TW" w:bidi="zh-TW"/>
        </w:rPr>
      </w:pPr>
      <w:r>
        <w:rPr>
          <w:rFonts w:hint="eastAsia" w:ascii="宋体" w:hAnsi="宋体" w:cs="宋体"/>
          <w:b/>
          <w:bCs/>
          <w:color w:val="000000"/>
          <w:szCs w:val="21"/>
          <w:lang w:bidi="en-US"/>
        </w:rPr>
        <w:t>7.4.2</w:t>
      </w:r>
      <w:r>
        <w:rPr>
          <w:rFonts w:hint="eastAsia" w:ascii="宋体" w:hAnsi="宋体" w:cs="宋体"/>
          <w:color w:val="000000"/>
          <w:szCs w:val="21"/>
          <w:lang w:val="zh-TW" w:eastAsia="zh-TW" w:bidi="zh-TW"/>
        </w:rPr>
        <w:t>提交主要机具计划一览表的格式、内容、份数和时间：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施工组织设计中明确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42EB1DD1">
      <w:pPr>
        <w:tabs>
          <w:tab w:val="left" w:pos="3834"/>
          <w:tab w:val="left" w:pos="3839"/>
        </w:tabs>
        <w:spacing w:after="60" w:line="360" w:lineRule="auto"/>
        <w:ind w:left="220" w:firstLine="20"/>
        <w:rPr>
          <w:rFonts w:hint="eastAsia" w:ascii="宋体" w:hAnsi="宋体" w:cs="宋体"/>
          <w:szCs w:val="21"/>
          <w:lang w:bidi="zh-TW"/>
        </w:rPr>
      </w:pPr>
      <w:r>
        <w:rPr>
          <w:rFonts w:hint="eastAsia" w:ascii="宋体" w:hAnsi="宋体" w:cs="宋体"/>
          <w:color w:val="000000"/>
          <w:szCs w:val="21"/>
          <w:lang w:val="zh-TW" w:eastAsia="zh-TW" w:bidi="zh-TW"/>
        </w:rPr>
        <w:t>主要机具实际进场的报表格式、份数和报告期：</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施工组织设计中明确               </w:t>
      </w:r>
    </w:p>
    <w:p w14:paraId="53990858">
      <w:pPr>
        <w:spacing w:after="60"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7.5</w:t>
      </w:r>
      <w:r>
        <w:rPr>
          <w:rFonts w:hint="eastAsia" w:ascii="宋体" w:hAnsi="宋体" w:cs="宋体"/>
          <w:color w:val="000000"/>
          <w:szCs w:val="21"/>
          <w:lang w:val="zh-TW" w:eastAsia="zh-TW" w:bidi="zh-TW"/>
        </w:rPr>
        <w:t>质量与检验</w:t>
      </w:r>
    </w:p>
    <w:p w14:paraId="6418800D">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7.5.2</w:t>
      </w:r>
      <w:r>
        <w:rPr>
          <w:rFonts w:hint="eastAsia" w:ascii="宋体" w:hAnsi="宋体" w:cs="宋体"/>
          <w:color w:val="000000"/>
          <w:szCs w:val="21"/>
          <w:lang w:val="zh-TW" w:eastAsia="zh-TW" w:bidi="zh-TW"/>
        </w:rPr>
        <w:t>质检部位与参检方</w:t>
      </w:r>
    </w:p>
    <w:p w14:paraId="24429879">
      <w:pPr>
        <w:tabs>
          <w:tab w:val="left" w:pos="3834"/>
        </w:tabs>
        <w:spacing w:after="120" w:line="360" w:lineRule="auto"/>
        <w:ind w:left="220" w:firstLine="20"/>
        <w:jc w:val="left"/>
        <w:rPr>
          <w:rFonts w:hint="eastAsia" w:ascii="宋体" w:hAnsi="宋体" w:cs="宋体"/>
          <w:szCs w:val="21"/>
          <w:u w:val="single"/>
          <w:lang w:val="zh-TW" w:eastAsia="zh-TW" w:bidi="zh-TW"/>
        </w:rPr>
      </w:pPr>
      <w:r>
        <w:rPr>
          <w:rFonts w:hint="eastAsia" w:ascii="宋体" w:hAnsi="宋体" w:cs="宋体"/>
          <w:color w:val="000000"/>
          <w:szCs w:val="21"/>
          <w:lang w:val="zh-TW" w:eastAsia="zh-TW" w:bidi="zh-TW"/>
        </w:rPr>
        <w:t>三方参检的部位、标准及表格形式：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8A47279">
      <w:pPr>
        <w:tabs>
          <w:tab w:val="left" w:pos="3834"/>
        </w:tabs>
        <w:spacing w:after="120" w:line="360" w:lineRule="auto"/>
        <w:ind w:left="22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 xml:space="preserve"> 两方参检的部位、标准及表格形式：</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r>
        <w:rPr>
          <w:rFonts w:hint="eastAsia" w:ascii="宋体" w:hAnsi="宋体" w:cs="宋体"/>
          <w:color w:val="000000"/>
          <w:szCs w:val="21"/>
          <w:lang w:val="zh-TW" w:eastAsia="zh-TW" w:bidi="zh-TW"/>
        </w:rPr>
        <w:t xml:space="preserve"> </w:t>
      </w:r>
    </w:p>
    <w:p w14:paraId="054A78FF">
      <w:pPr>
        <w:tabs>
          <w:tab w:val="left" w:pos="3834"/>
        </w:tabs>
        <w:spacing w:after="120" w:line="360" w:lineRule="auto"/>
        <w:ind w:left="220" w:firstLine="20"/>
        <w:jc w:val="left"/>
        <w:rPr>
          <w:rFonts w:hint="eastAsia" w:ascii="宋体" w:hAnsi="宋体" w:cs="宋体"/>
          <w:color w:val="000000"/>
          <w:szCs w:val="21"/>
          <w:lang w:val="zh-TW" w:eastAsia="zh-TW" w:bidi="zh-TW"/>
        </w:rPr>
      </w:pPr>
      <w:r>
        <w:rPr>
          <w:rFonts w:hint="eastAsia" w:ascii="宋体" w:hAnsi="宋体" w:cs="宋体"/>
          <w:color w:val="000000"/>
          <w:szCs w:val="21"/>
          <w:lang w:val="zh-TW" w:eastAsia="zh-TW" w:bidi="zh-TW"/>
        </w:rPr>
        <w:t>第三方检査的部位、标准及表格形式：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7080B8C2">
      <w:pPr>
        <w:tabs>
          <w:tab w:val="left" w:pos="3834"/>
        </w:tabs>
        <w:spacing w:after="120" w:line="360" w:lineRule="auto"/>
        <w:ind w:left="22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承包人自检的部位、标准及表格形式：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4AC0BBDB">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bidi="zh-TW"/>
        </w:rPr>
        <w:t>7.6</w:t>
      </w:r>
      <w:r>
        <w:rPr>
          <w:rFonts w:hint="eastAsia" w:ascii="宋体" w:hAnsi="宋体" w:cs="宋体"/>
          <w:color w:val="000000"/>
          <w:szCs w:val="21"/>
          <w:lang w:val="zh-TW" w:eastAsia="zh-TW" w:bidi="zh-TW"/>
        </w:rPr>
        <w:t>隐蔽工程和中间验收</w:t>
      </w:r>
    </w:p>
    <w:p w14:paraId="04456B5E">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7.6.1</w:t>
      </w:r>
      <w:r>
        <w:rPr>
          <w:rFonts w:hint="eastAsia" w:ascii="宋体" w:hAnsi="宋体" w:cs="宋体"/>
          <w:color w:val="000000"/>
          <w:szCs w:val="21"/>
          <w:lang w:val="zh-TW" w:eastAsia="zh-TW" w:bidi="zh-TW"/>
        </w:rPr>
        <w:t>隐蔽工程和中间验收</w:t>
      </w:r>
    </w:p>
    <w:p w14:paraId="4BE8DA13">
      <w:pPr>
        <w:spacing w:line="360" w:lineRule="auto"/>
        <w:ind w:firstLine="240"/>
        <w:rPr>
          <w:rFonts w:hint="eastAsia" w:ascii="宋体" w:hAnsi="宋体" w:cs="宋体"/>
          <w:sz w:val="24"/>
          <w:szCs w:val="24"/>
          <w:u w:val="single"/>
        </w:rPr>
      </w:pPr>
      <w:r>
        <w:rPr>
          <w:rFonts w:hint="eastAsia" w:ascii="宋体" w:hAnsi="宋体" w:cs="宋体"/>
          <w:color w:val="000000"/>
          <w:szCs w:val="21"/>
          <w:lang w:val="zh-TW" w:eastAsia="zh-TW" w:bidi="zh-TW"/>
        </w:rPr>
        <w:t>需要质检的隐蔽工程和中间验收部位的分类、部位、质检内容、标准、表格</w:t>
      </w:r>
      <w:r>
        <w:rPr>
          <w:rFonts w:hint="eastAsia" w:ascii="Times New Roman" w:hAnsi="Times New Roman"/>
          <w:color w:val="000000"/>
          <w:szCs w:val="21"/>
        </w:rPr>
        <w:t>和参检方的约定：</w:t>
      </w:r>
      <w:r>
        <w:rPr>
          <w:rFonts w:hint="eastAsia" w:ascii="宋体" w:hAnsi="宋体"/>
          <w:sz w:val="24"/>
          <w:szCs w:val="24"/>
          <w:u w:val="single"/>
        </w:rPr>
        <w:t>提前48小时，承包人、监理人、发包人三方共同检查、分别留影像资料和共同记录收方资料（工程量最终按真实竣工图和工程计量规则计算为准）</w:t>
      </w:r>
      <w:r>
        <w:rPr>
          <w:rFonts w:ascii="宋体" w:hAnsi="宋体"/>
          <w:sz w:val="24"/>
          <w:szCs w:val="24"/>
          <w:u w:val="single"/>
        </w:rPr>
        <w:t>。</w:t>
      </w:r>
    </w:p>
    <w:p w14:paraId="219EE3C5">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监理人不能按时进行检查时，应提前</w:t>
      </w:r>
      <w:r>
        <w:rPr>
          <w:rFonts w:hint="eastAsia" w:ascii="宋体" w:hAnsi="宋体" w:cs="宋体"/>
          <w:color w:val="0000FF"/>
          <w:sz w:val="24"/>
          <w:szCs w:val="24"/>
          <w:u w:val="single"/>
        </w:rPr>
        <w:t xml:space="preserve">24 </w:t>
      </w:r>
      <w:r>
        <w:rPr>
          <w:rFonts w:hint="eastAsia" w:ascii="宋体" w:hAnsi="宋体" w:cs="宋体"/>
          <w:sz w:val="24"/>
          <w:szCs w:val="24"/>
        </w:rPr>
        <w:t>小时提交书面延期要求。</w:t>
      </w:r>
    </w:p>
    <w:p w14:paraId="0C744C82">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关于延期最长不得超过：</w:t>
      </w:r>
      <w:r>
        <w:rPr>
          <w:rFonts w:hint="eastAsia" w:ascii="宋体" w:hAnsi="宋体" w:cs="宋体"/>
          <w:color w:val="0000FF"/>
          <w:sz w:val="24"/>
          <w:szCs w:val="24"/>
          <w:u w:val="single"/>
        </w:rPr>
        <w:t>48</w:t>
      </w:r>
      <w:r>
        <w:rPr>
          <w:rFonts w:hint="eastAsia" w:ascii="宋体" w:hAnsi="宋体" w:cs="宋体"/>
          <w:sz w:val="24"/>
          <w:szCs w:val="24"/>
        </w:rPr>
        <w:t>小时。</w:t>
      </w:r>
    </w:p>
    <w:p w14:paraId="65B5D468">
      <w:pPr>
        <w:tabs>
          <w:tab w:val="left" w:pos="3730"/>
        </w:tabs>
        <w:spacing w:after="120" w:line="360" w:lineRule="auto"/>
        <w:jc w:val="left"/>
        <w:rPr>
          <w:rFonts w:hint="eastAsia" w:ascii="宋体" w:hAnsi="宋体" w:cs="宋体"/>
          <w:szCs w:val="21"/>
          <w:lang w:bidi="zh-TW"/>
        </w:rPr>
      </w:pP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3550B5F0">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bidi="zh-TW"/>
        </w:rPr>
        <w:t>7.8</w:t>
      </w:r>
      <w:r>
        <w:rPr>
          <w:rFonts w:hint="eastAsia" w:ascii="宋体" w:hAnsi="宋体" w:cs="宋体"/>
          <w:color w:val="000000"/>
          <w:szCs w:val="21"/>
          <w:lang w:val="zh-TW" w:eastAsia="zh-TW" w:bidi="zh-TW"/>
        </w:rPr>
        <w:t>职业健康、安全、环境保护</w:t>
      </w:r>
    </w:p>
    <w:p w14:paraId="24871FD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7.8.1</w:t>
      </w:r>
      <w:r>
        <w:rPr>
          <w:rFonts w:hint="eastAsia" w:ascii="宋体" w:hAnsi="宋体" w:cs="宋体"/>
          <w:color w:val="000000"/>
          <w:szCs w:val="21"/>
          <w:lang w:val="zh-TW" w:eastAsia="zh-TW" w:bidi="zh-TW"/>
        </w:rPr>
        <w:t>职业健康、安全、环境保护管理</w:t>
      </w:r>
    </w:p>
    <w:p w14:paraId="07E3CCAA">
      <w:pPr>
        <w:spacing w:line="360" w:lineRule="auto"/>
        <w:ind w:firstLine="240"/>
        <w:rPr>
          <w:rFonts w:hint="eastAsia" w:ascii="宋体" w:hAnsi="宋体" w:cs="宋体"/>
          <w:szCs w:val="21"/>
          <w:u w:val="single"/>
          <w:lang w:val="zh-TW" w:eastAsia="zh-TW" w:bidi="zh-TW"/>
        </w:rPr>
      </w:pP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提交职业健康、安全、环境保护管理实施计划的份数和时间：</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 xml:space="preserve"> </w:t>
      </w:r>
    </w:p>
    <w:p w14:paraId="461647E1">
      <w:pPr>
        <w:spacing w:line="360" w:lineRule="auto"/>
        <w:jc w:val="left"/>
        <w:rPr>
          <w:rFonts w:hint="eastAsia" w:ascii="宋体" w:hAnsi="宋体" w:cs="宋体"/>
          <w:sz w:val="24"/>
          <w:szCs w:val="24"/>
        </w:rPr>
      </w:pPr>
      <w:r>
        <w:rPr>
          <w:rFonts w:hint="eastAsia" w:ascii="宋体" w:hAnsi="宋体" w:cs="宋体"/>
          <w:color w:val="000000"/>
          <w:sz w:val="24"/>
          <w:szCs w:val="24"/>
        </w:rPr>
        <w:t>项目安全生产的达标目标及相应事项的约定：</w:t>
      </w:r>
      <w:r>
        <w:rPr>
          <w:rFonts w:hint="eastAsia" w:ascii="宋体" w:hAnsi="宋体" w:cs="宋体"/>
          <w:color w:val="0000FF"/>
          <w:sz w:val="24"/>
          <w:szCs w:val="24"/>
          <w:u w:val="single"/>
        </w:rPr>
        <w:t xml:space="preserve"> </w:t>
      </w:r>
      <w:r>
        <w:rPr>
          <w:rFonts w:hint="eastAsia" w:ascii="宋体" w:hAnsi="宋体"/>
          <w:sz w:val="24"/>
          <w:szCs w:val="24"/>
          <w:u w:val="single"/>
        </w:rPr>
        <w:t>除按通用合同条款执行外，承包人应服从发包人及行业主管部门要求（包括检查、调查）。发包人有权对现场安全问题及安全隐患进行检查、处理，处违约金 1000 元/项。如果承包人拒不整改、消除的，发包人有权根据实际情况处违约金5000   元/次，违约金在工程款中直接扣除</w:t>
      </w:r>
      <w:r>
        <w:rPr>
          <w:rFonts w:hint="eastAsia" w:ascii="宋体" w:hAnsi="宋体" w:cs="宋体"/>
          <w:sz w:val="24"/>
          <w:szCs w:val="24"/>
        </w:rPr>
        <w:t>。</w:t>
      </w:r>
    </w:p>
    <w:p w14:paraId="3DC4FB97">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文明施工</w:t>
      </w:r>
    </w:p>
    <w:p w14:paraId="604687F3">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合同当事人对文明施工的要求：</w:t>
      </w:r>
      <w:r>
        <w:rPr>
          <w:rFonts w:hint="eastAsia" w:ascii="宋体" w:hAnsi="宋体"/>
          <w:sz w:val="24"/>
          <w:szCs w:val="24"/>
          <w:u w:val="single"/>
        </w:rPr>
        <w:t>除按通用合同条款执行外 ，承包人应服从发包人及行业主管部门要求（包括检查、调查）。发包人有权对现场文明施工问题进行处理，处违约金 1000  元/项。如果承包人拒不整改、消除的，发包人有权根据实际情况处违约金  5000 元/次，违约金在工程款中直接扣除</w:t>
      </w:r>
      <w:r>
        <w:rPr>
          <w:rFonts w:hint="eastAsia" w:ascii="宋体" w:hAnsi="宋体" w:cs="宋体"/>
          <w:sz w:val="24"/>
          <w:szCs w:val="24"/>
        </w:rPr>
        <w:t>。</w:t>
      </w:r>
    </w:p>
    <w:p w14:paraId="7AE9D886">
      <w:pPr>
        <w:tabs>
          <w:tab w:val="left" w:pos="657"/>
        </w:tabs>
        <w:spacing w:line="360" w:lineRule="auto"/>
        <w:jc w:val="left"/>
        <w:rPr>
          <w:rFonts w:hint="eastAsia" w:ascii="宋体" w:hAnsi="宋体" w:cs="宋体"/>
          <w:b/>
          <w:bCs/>
          <w:szCs w:val="21"/>
          <w:u w:val="single"/>
        </w:rPr>
      </w:pPr>
    </w:p>
    <w:p w14:paraId="5A21A79B">
      <w:pPr>
        <w:keepNext/>
        <w:keepLines/>
        <w:spacing w:after="120" w:line="360" w:lineRule="auto"/>
        <w:ind w:firstLine="240"/>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8</w:t>
      </w:r>
      <w:r>
        <w:rPr>
          <w:rFonts w:hint="eastAsia" w:ascii="宋体" w:hAnsi="宋体" w:cs="宋体"/>
          <w:color w:val="000000"/>
          <w:szCs w:val="21"/>
          <w:lang w:val="zh-TW" w:eastAsia="zh-TW" w:bidi="zh-TW"/>
        </w:rPr>
        <w:t>条竣工试验</w:t>
      </w:r>
    </w:p>
    <w:p w14:paraId="57E7E371">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本合同工程，包含竣工试验阶段/不包含竣工试验阶段。保留其一，作为双方约定。</w:t>
      </w:r>
    </w:p>
    <w:p w14:paraId="54F7D5A8">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bidi="zh-TW"/>
        </w:rPr>
        <w:t>8.1</w:t>
      </w:r>
      <w:r>
        <w:rPr>
          <w:rFonts w:hint="eastAsia" w:ascii="宋体" w:hAnsi="宋体" w:cs="宋体"/>
          <w:color w:val="000000"/>
          <w:szCs w:val="21"/>
          <w:lang w:val="zh-TW" w:eastAsia="zh-TW" w:bidi="zh-TW"/>
        </w:rPr>
        <w:t>竣工试验的义务</w:t>
      </w:r>
    </w:p>
    <w:p w14:paraId="693452D5">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8.1.1</w:t>
      </w:r>
      <w:r>
        <w:rPr>
          <w:rFonts w:hint="eastAsia" w:ascii="宋体" w:hAnsi="宋体" w:cs="宋体"/>
          <w:color w:val="000000"/>
          <w:szCs w:val="21"/>
          <w:lang w:val="zh-TW" w:eastAsia="zh-TW" w:bidi="zh-TW"/>
        </w:rPr>
        <w:t>承包人的一般义务</w:t>
      </w:r>
    </w:p>
    <w:p w14:paraId="1605A8EB">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val="zh-TW" w:eastAsia="zh-TW" w:bidi="zh-TW"/>
        </w:rPr>
        <w:t>（4）</w:t>
      </w:r>
      <w:r>
        <w:rPr>
          <w:rFonts w:hint="eastAsia" w:ascii="宋体" w:hAnsi="宋体" w:cs="宋体"/>
          <w:color w:val="000000"/>
          <w:szCs w:val="21"/>
          <w:lang w:val="zh-TW" w:eastAsia="zh-TW" w:bidi="zh-TW"/>
        </w:rPr>
        <w:t>竣工试验方案</w:t>
      </w:r>
    </w:p>
    <w:p w14:paraId="2DDF9E22">
      <w:pPr>
        <w:tabs>
          <w:tab w:val="left" w:pos="3504"/>
        </w:tabs>
        <w:spacing w:after="180" w:line="360" w:lineRule="auto"/>
        <w:ind w:firstLine="240"/>
        <w:rPr>
          <w:rFonts w:hint="eastAsia" w:ascii="宋体" w:hAnsi="宋体" w:cs="宋体"/>
          <w:szCs w:val="21"/>
          <w:lang w:bidi="zh-TW"/>
        </w:rPr>
      </w:pPr>
      <w:r>
        <w:rPr>
          <w:rFonts w:hint="eastAsia" w:ascii="宋体" w:hAnsi="宋体" w:cs="宋体"/>
          <w:color w:val="000000"/>
          <w:szCs w:val="21"/>
          <w:lang w:val="zh-TW" w:eastAsia="zh-TW" w:bidi="zh-TW"/>
        </w:rPr>
        <w:t>提交竣工试验方案的份数和时间：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50BFBC17">
      <w:pPr>
        <w:keepNext/>
        <w:keepLines/>
        <w:spacing w:after="120" w:line="360" w:lineRule="auto"/>
        <w:ind w:firstLine="240"/>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9</w:t>
      </w:r>
      <w:r>
        <w:rPr>
          <w:rFonts w:hint="eastAsia" w:ascii="宋体" w:hAnsi="宋体" w:cs="宋体"/>
          <w:color w:val="000000"/>
          <w:szCs w:val="21"/>
          <w:lang w:val="zh-TW" w:eastAsia="zh-TW" w:bidi="zh-TW"/>
        </w:rPr>
        <w:t>条工程接收</w:t>
      </w:r>
    </w:p>
    <w:p w14:paraId="6C92650A">
      <w:pPr>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bidi="zh-TW"/>
        </w:rPr>
        <w:t>9.1</w:t>
      </w:r>
      <w:r>
        <w:rPr>
          <w:rFonts w:hint="eastAsia" w:ascii="宋体" w:hAnsi="宋体" w:cs="宋体"/>
          <w:color w:val="000000"/>
          <w:szCs w:val="21"/>
          <w:lang w:val="zh-TW" w:eastAsia="zh-TW" w:bidi="zh-TW"/>
        </w:rPr>
        <w:t>工程接收</w:t>
      </w:r>
    </w:p>
    <w:p w14:paraId="2ED3FEEC">
      <w:pPr>
        <w:spacing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9.1.1</w:t>
      </w:r>
      <w:r>
        <w:rPr>
          <w:rFonts w:hint="eastAsia" w:ascii="宋体" w:hAnsi="宋体" w:cs="宋体"/>
          <w:color w:val="000000"/>
          <w:szCs w:val="21"/>
          <w:lang w:val="zh-TW" w:eastAsia="zh-TW" w:bidi="zh-TW"/>
        </w:rPr>
        <w:t>按单项工程（和）按工程接收</w:t>
      </w:r>
    </w:p>
    <w:p w14:paraId="4EF7757C">
      <w:pPr>
        <w:spacing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在以下两种情况中选择其一，作为双方对工程接收的约定。</w:t>
      </w:r>
    </w:p>
    <w:p w14:paraId="0B2E6876">
      <w:pPr>
        <w:tabs>
          <w:tab w:val="left" w:pos="3845"/>
        </w:tabs>
        <w:spacing w:after="180" w:line="360" w:lineRule="auto"/>
        <w:ind w:firstLine="480"/>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由承包人负责指导发包人进行单项工程或（和）工程竣工后试验， 并承担试运行考核责任的，接收单项工程的先后顺序及时间安排，或接收工程的 时间安排如下：</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6AB1CB7E">
      <w:pPr>
        <w:spacing w:line="360" w:lineRule="auto"/>
        <w:ind w:firstLine="480"/>
        <w:rPr>
          <w:rFonts w:hint="eastAsia" w:ascii="宋体" w:hAnsi="宋体" w:cs="宋体"/>
          <w:szCs w:val="21"/>
          <w:u w:val="single"/>
          <w:lang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由发包人负责单项工程或（和）工程竣工后试验及其试运行考核责 任的，接收单项工程的先后顺序及时间安排，或接收工程的时间安排如下：</w:t>
      </w:r>
      <w:r>
        <w:rPr>
          <w:rFonts w:hint="eastAsia" w:ascii="宋体" w:hAnsi="宋体" w:cs="宋体"/>
          <w:color w:val="000000"/>
          <w:szCs w:val="21"/>
          <w:u w:val="single"/>
          <w:lang w:bidi="zh-TW"/>
        </w:rPr>
        <w:t xml:space="preserve">                        </w:t>
      </w:r>
    </w:p>
    <w:p w14:paraId="68C4156D">
      <w:pPr>
        <w:tabs>
          <w:tab w:val="left" w:pos="2519"/>
        </w:tabs>
        <w:spacing w:line="360" w:lineRule="auto"/>
        <w:ind w:hanging="860"/>
        <w:jc w:val="left"/>
        <w:rPr>
          <w:rFonts w:hint="eastAsia" w:ascii="宋体" w:hAnsi="宋体" w:cs="宋体"/>
          <w:b/>
          <w:bCs/>
          <w:szCs w:val="21"/>
          <w:u w:val="single"/>
        </w:rPr>
      </w:pPr>
      <w:r>
        <w:rPr>
          <w:rFonts w:hint="eastAsia" w:ascii="宋体" w:hAnsi="宋体" w:cs="宋体"/>
          <w:b/>
          <w:bCs/>
          <w:szCs w:val="21"/>
          <w:u w:val="single"/>
        </w:rPr>
        <w:t xml:space="preserve"> </w:t>
      </w:r>
    </w:p>
    <w:p w14:paraId="54AEF0F1">
      <w:pPr>
        <w:spacing w:after="60" w:line="360" w:lineRule="auto"/>
        <w:ind w:firstLine="240"/>
        <w:rPr>
          <w:rFonts w:hint="eastAsia" w:ascii="宋体" w:hAnsi="宋体" w:cs="宋体"/>
          <w:szCs w:val="21"/>
          <w:lang w:val="zh-TW" w:eastAsia="zh-TW" w:bidi="zh-TW"/>
        </w:rPr>
      </w:pPr>
      <w:r>
        <w:rPr>
          <w:rFonts w:hint="eastAsia" w:ascii="宋体" w:hAnsi="宋体" w:cs="宋体"/>
          <w:b/>
          <w:bCs/>
          <w:color w:val="000000"/>
          <w:szCs w:val="21"/>
          <w:lang w:bidi="en-US"/>
        </w:rPr>
        <w:t>9.1.2</w:t>
      </w:r>
      <w:r>
        <w:rPr>
          <w:rFonts w:hint="eastAsia" w:ascii="宋体" w:hAnsi="宋体" w:cs="宋体"/>
          <w:color w:val="000000"/>
          <w:szCs w:val="21"/>
          <w:lang w:val="zh-TW" w:eastAsia="zh-TW" w:bidi="zh-TW"/>
        </w:rPr>
        <w:t>接收工程提交的资料</w:t>
      </w:r>
    </w:p>
    <w:p w14:paraId="5D995B47">
      <w:pPr>
        <w:tabs>
          <w:tab w:val="left" w:pos="3912"/>
        </w:tabs>
        <w:spacing w:after="60" w:line="360" w:lineRule="auto"/>
        <w:ind w:firstLine="240"/>
        <w:rPr>
          <w:rFonts w:hint="eastAsia" w:ascii="宋体" w:hAnsi="宋体" w:cs="宋体"/>
          <w:szCs w:val="21"/>
          <w:lang w:val="zh-TW" w:eastAsia="zh-TW" w:bidi="zh-TW"/>
        </w:rPr>
      </w:pPr>
      <w:r>
        <w:rPr>
          <w:rFonts w:hint="eastAsia" w:ascii="宋体" w:hAnsi="宋体" w:cs="宋体"/>
          <w:color w:val="000000"/>
          <w:szCs w:val="21"/>
          <w:lang w:val="zh-TW" w:eastAsia="zh-TW" w:bidi="zh-TW"/>
        </w:rPr>
        <w:t>提交竣工试验资料的类别、内容、份数和时间：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FCE996A">
      <w:pPr>
        <w:keepNext/>
        <w:keepLines/>
        <w:spacing w:after="100" w:line="360" w:lineRule="auto"/>
        <w:ind w:firstLine="24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CN" w:bidi="zh-CN"/>
        </w:rPr>
        <w:t>10</w:t>
      </w:r>
      <w:r>
        <w:rPr>
          <w:rFonts w:hint="eastAsia" w:ascii="宋体" w:hAnsi="宋体" w:cs="宋体"/>
          <w:color w:val="000000"/>
          <w:szCs w:val="21"/>
          <w:lang w:val="zh-TW" w:eastAsia="zh-TW" w:bidi="zh-TW"/>
        </w:rPr>
        <w:t>条竣工后试验</w:t>
      </w:r>
    </w:p>
    <w:p w14:paraId="06F2BAD3">
      <w:pPr>
        <w:spacing w:after="100" w:line="360" w:lineRule="auto"/>
        <w:ind w:firstLine="26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本合同包含承包人指导竣工后试验/不含承包人指导竣工后试验。保留其一， 作为双方约定。</w:t>
      </w:r>
    </w:p>
    <w:p w14:paraId="75F703EF">
      <w:pPr>
        <w:spacing w:after="60" w:line="360" w:lineRule="auto"/>
        <w:ind w:firstLine="260"/>
        <w:jc w:val="left"/>
        <w:rPr>
          <w:rFonts w:hint="eastAsia" w:ascii="宋体" w:hAnsi="宋体" w:cs="宋体"/>
          <w:szCs w:val="21"/>
          <w:lang w:val="zh-TW" w:eastAsia="zh-TW" w:bidi="zh-TW"/>
        </w:rPr>
      </w:pPr>
      <w:r>
        <w:rPr>
          <w:rFonts w:hint="eastAsia" w:ascii="宋体" w:hAnsi="宋体" w:cs="宋体"/>
          <w:color w:val="000000"/>
          <w:szCs w:val="21"/>
          <w:lang w:bidi="zh-TW"/>
        </w:rPr>
        <w:t>10.1</w:t>
      </w:r>
      <w:r>
        <w:rPr>
          <w:rFonts w:hint="eastAsia" w:ascii="宋体" w:hAnsi="宋体" w:cs="宋体"/>
          <w:color w:val="000000"/>
          <w:szCs w:val="21"/>
          <w:lang w:val="zh-TW" w:eastAsia="zh-TW" w:bidi="zh-TW"/>
        </w:rPr>
        <w:t>权利和义务</w:t>
      </w:r>
    </w:p>
    <w:p w14:paraId="67618EA9">
      <w:pPr>
        <w:spacing w:line="360" w:lineRule="auto"/>
        <w:ind w:firstLine="260"/>
        <w:jc w:val="left"/>
        <w:rPr>
          <w:rFonts w:hint="eastAsia" w:ascii="宋体" w:hAnsi="宋体" w:cs="宋体"/>
          <w:szCs w:val="21"/>
          <w:lang w:val="zh-TW" w:eastAsia="zh-TW" w:bidi="zh-TW"/>
        </w:rPr>
      </w:pPr>
      <w:r>
        <w:rPr>
          <w:rFonts w:hint="eastAsia" w:ascii="宋体" w:hAnsi="宋体" w:cs="宋体"/>
          <w:b/>
          <w:bCs/>
          <w:color w:val="000000"/>
          <w:szCs w:val="21"/>
          <w:lang w:bidi="en-US"/>
        </w:rPr>
        <w:t>10.1.1</w:t>
      </w:r>
      <w:r>
        <w:rPr>
          <w:rFonts w:hint="eastAsia" w:ascii="宋体" w:hAnsi="宋体" w:cs="宋体"/>
          <w:color w:val="000000"/>
          <w:szCs w:val="21"/>
          <w:lang w:val="zh-TW" w:eastAsia="zh-TW" w:bidi="zh-TW"/>
        </w:rPr>
        <w:t>发包人的权利和义务</w:t>
      </w:r>
    </w:p>
    <w:p w14:paraId="3735D0E5">
      <w:pPr>
        <w:spacing w:line="360" w:lineRule="auto"/>
        <w:ind w:firstLine="422" w:firstLineChars="200"/>
        <w:rPr>
          <w:rFonts w:hint="eastAsia" w:ascii="宋体" w:hAnsi="宋体" w:cs="宋体"/>
          <w:color w:val="0000FF"/>
          <w:sz w:val="24"/>
          <w:szCs w:val="24"/>
          <w:u w:val="single"/>
        </w:rPr>
      </w:pPr>
      <w:r>
        <w:rPr>
          <w:rFonts w:hint="eastAsia" w:ascii="宋体" w:hAnsi="宋体" w:cs="宋体"/>
          <w:b/>
          <w:bCs/>
          <w:color w:val="000000"/>
          <w:szCs w:val="21"/>
          <w:lang w:val="zh-TW" w:eastAsia="zh-TW" w:bidi="zh-TW"/>
        </w:rPr>
        <w:t>（6）</w:t>
      </w:r>
      <w:r>
        <w:rPr>
          <w:rFonts w:hint="eastAsia" w:ascii="宋体" w:hAnsi="宋体" w:cs="宋体"/>
          <w:color w:val="000000"/>
          <w:szCs w:val="21"/>
          <w:lang w:val="zh-TW" w:eastAsia="zh-TW" w:bidi="zh-TW"/>
        </w:rPr>
        <w:t>其它义务和工作：</w:t>
      </w:r>
      <w:r>
        <w:rPr>
          <w:rFonts w:hint="eastAsia" w:ascii="宋体" w:hAnsi="宋体" w:cs="宋体"/>
          <w:color w:val="000000"/>
          <w:sz w:val="24"/>
          <w:szCs w:val="24"/>
        </w:rPr>
        <w:t>发包人对发包人代表的授权范围如下：</w:t>
      </w:r>
      <w:r>
        <w:rPr>
          <w:rFonts w:hint="eastAsia" w:ascii="宋体" w:hAnsi="宋体" w:cs="宋体"/>
          <w:color w:val="0000FF"/>
          <w:sz w:val="24"/>
          <w:szCs w:val="24"/>
          <w:u w:val="single"/>
        </w:rPr>
        <w:t>项目施工期间质量、进度、安全、环保、投资等协调工作，负责接收施工单位提交且经监理审核签字的本项目施工相关书面资料，接收后按发包人业务审批流程报批，发包人负责人或授权负责人签字并盖章后才生效。其中，涉及技术变更或经济变更或索赔的业务，还应按雅安市变更相关规定经技术审批、经济审查或政府审议程序后生效，发包人代表仅作为变更经办人，其签字不作为变更计价依据</w:t>
      </w:r>
      <w:r>
        <w:rPr>
          <w:rFonts w:hint="eastAsia" w:ascii="宋体" w:hAnsi="宋体" w:cs="宋体"/>
          <w:color w:val="000000"/>
          <w:sz w:val="24"/>
          <w:szCs w:val="24"/>
        </w:rPr>
        <w:t>。</w:t>
      </w:r>
      <w:r>
        <w:rPr>
          <w:rFonts w:hint="eastAsia" w:ascii="宋体" w:hAnsi="宋体" w:cs="宋体"/>
          <w:color w:val="0000FF"/>
          <w:sz w:val="24"/>
          <w:szCs w:val="24"/>
          <w:u w:val="single"/>
        </w:rPr>
        <w:t>发包人与承包人之间涉及工程造价、工程质量、工期变化确认的文件无合同约定发包人代表签字且加盖发包人公章，均为无效文件，对发包人不产生约束力。发包人代表无权确认或同意任何增加或可能增加合同价款的文件。发包人代表在审核进度工程量或签证单等材料时，仅是根据合同约定及承包人提交的形象工程进度材料进行审核，不可能对合格实物工程量和工程质量进行精确核算和检测，签字仅代表已阅或初步审核，并不能代表实际施工状况，也不影响发包人及发包人委托的第三方机构对工程量和工程质量的专业核算和检测。无论何种确认文件，发包人代表签字只构成初步审查和初步确认，只有加盖发包人公章才能表明发包人予以明确和认可，且涉及工程质量、工程量、工程价款等核心问题的，须经发包人及发包人委托的第三方机构进行检测或审计后，再由发包人根据检测或审计结果及施工现场实际状况进行综合考量后予以确定。</w:t>
      </w:r>
    </w:p>
    <w:p w14:paraId="2DE72F67">
      <w:pPr>
        <w:spacing w:after="120"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（7）施工现场、施工条件和基础资料的提供</w:t>
      </w:r>
    </w:p>
    <w:p w14:paraId="020C1CC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（8）提供施工现场</w:t>
      </w:r>
    </w:p>
    <w:p w14:paraId="12473C4B">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关于发包人移交施工现场的期限要求：</w:t>
      </w:r>
      <w:r>
        <w:rPr>
          <w:rFonts w:hint="eastAsia" w:ascii="宋体" w:hAnsi="宋体" w:cs="宋体"/>
          <w:color w:val="0000FF"/>
          <w:sz w:val="24"/>
          <w:szCs w:val="24"/>
          <w:u w:val="single"/>
        </w:rPr>
        <w:t xml:space="preserve">合同签订后7日内 </w:t>
      </w:r>
      <w:r>
        <w:rPr>
          <w:rFonts w:hint="eastAsia" w:ascii="宋体" w:hAnsi="宋体" w:cs="宋体"/>
          <w:color w:val="000000"/>
          <w:sz w:val="24"/>
          <w:szCs w:val="24"/>
        </w:rPr>
        <w:t>。</w:t>
      </w:r>
    </w:p>
    <w:p w14:paraId="3B50432E">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（9）提供施工条件</w:t>
      </w:r>
    </w:p>
    <w:p w14:paraId="5BA129E8">
      <w:pPr>
        <w:spacing w:line="360" w:lineRule="auto"/>
        <w:ind w:firstLine="480" w:firstLineChars="200"/>
        <w:rPr>
          <w:rFonts w:hint="eastAsia" w:ascii="宋体" w:hAnsi="宋体" w:cs="宋体"/>
          <w:color w:val="0000FF"/>
          <w:sz w:val="24"/>
          <w:szCs w:val="24"/>
          <w:u w:val="single"/>
        </w:rPr>
      </w:pPr>
      <w:r>
        <w:rPr>
          <w:rFonts w:hint="eastAsia" w:ascii="宋体" w:hAnsi="宋体" w:cs="宋体"/>
          <w:color w:val="000000"/>
          <w:sz w:val="24"/>
          <w:szCs w:val="24"/>
        </w:rPr>
        <w:t>关于发包人应负责提供施工所需要的条件，包括：</w:t>
      </w:r>
      <w:r>
        <w:rPr>
          <w:rFonts w:hint="eastAsia" w:ascii="宋体" w:hAnsi="宋体" w:cs="宋体"/>
          <w:color w:val="000000"/>
          <w:sz w:val="24"/>
          <w:szCs w:val="24"/>
          <w:u w:val="single"/>
        </w:rPr>
        <w:t>本项目红线范围现状。</w:t>
      </w:r>
      <w:r>
        <w:rPr>
          <w:rFonts w:hint="eastAsia" w:ascii="宋体" w:hAnsi="宋体" w:cs="宋体"/>
          <w:color w:val="0000FF"/>
          <w:sz w:val="24"/>
          <w:szCs w:val="24"/>
          <w:u w:val="single"/>
        </w:rPr>
        <w:t>施工用水、施工用电由发包人指定接点，并满足施工要求。施工用电由本工程承包人接入施工现场，设置分电源箱，并单独装表计量。从发包人提供的电源至施工用电设备线路的安装由承包人负责实施，安装费、线路、设备购置费及施工过程中所发生的所有电费，无论承包人是否在投标报价中单独列支，发包人均认为此项费用包含在投标报价中。结算时，发包人将按照向供电部门缴纳电费的单价和承包人的实际用电数量扣回用电费用（含分摊的线路损耗费用）。</w:t>
      </w:r>
    </w:p>
    <w:p w14:paraId="53EE9687">
      <w:pPr>
        <w:spacing w:line="360" w:lineRule="auto"/>
        <w:ind w:firstLine="480" w:firstLineChars="200"/>
        <w:rPr>
          <w:rFonts w:hint="eastAsia" w:ascii="宋体" w:hAnsi="宋体" w:cs="宋体"/>
          <w:color w:val="000000"/>
          <w:sz w:val="24"/>
          <w:szCs w:val="24"/>
          <w:u w:val="single"/>
        </w:rPr>
      </w:pPr>
      <w:r>
        <w:rPr>
          <w:rFonts w:hint="eastAsia" w:ascii="宋体" w:hAnsi="宋体" w:cs="宋体"/>
          <w:color w:val="0000FF"/>
          <w:sz w:val="24"/>
          <w:szCs w:val="24"/>
          <w:u w:val="single"/>
        </w:rPr>
        <w:t>施工用水由本工程承包人接入施工现场，并单独装表计量。从发包人提供的水源至施工各个水电的管路安装、布置由承包人负责实施，安装费、管材、设备购置费及施工过程中所发生的所有水费，无论承包人是否在投标报价中单独列支，发包人均认为此项费用包含在投标报价中。结算时，发包人将按照向供电部门缴纳电费的单价和承包人的实际用电数量扣回用电费用（含分摊的线路损耗费用）</w:t>
      </w:r>
      <w:r>
        <w:rPr>
          <w:rFonts w:hint="eastAsia" w:ascii="宋体" w:hAnsi="宋体" w:cs="宋体"/>
          <w:color w:val="000000"/>
          <w:sz w:val="24"/>
          <w:szCs w:val="24"/>
        </w:rPr>
        <w:t>。</w:t>
      </w:r>
    </w:p>
    <w:p w14:paraId="3F03FEEE">
      <w:pPr>
        <w:tabs>
          <w:tab w:val="left" w:pos="640"/>
          <w:tab w:val="left" w:pos="3794"/>
        </w:tabs>
        <w:spacing w:line="360" w:lineRule="auto"/>
        <w:ind w:firstLine="300"/>
        <w:jc w:val="left"/>
        <w:rPr>
          <w:rFonts w:hint="eastAsia" w:ascii="宋体" w:hAnsi="宋体" w:cs="宋体"/>
          <w:szCs w:val="21"/>
          <w:lang w:bidi="zh-TW"/>
        </w:rPr>
      </w:pP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586B9A80">
      <w:pPr>
        <w:spacing w:line="360" w:lineRule="auto"/>
        <w:ind w:firstLine="240"/>
        <w:jc w:val="left"/>
        <w:rPr>
          <w:rFonts w:hint="eastAsia" w:ascii="宋体" w:hAnsi="宋体" w:cs="宋体"/>
          <w:color w:val="000000"/>
          <w:szCs w:val="21"/>
          <w:lang w:val="zh-TW" w:bidi="zh-TW"/>
        </w:rPr>
      </w:pPr>
      <w:r>
        <w:rPr>
          <w:rFonts w:hint="eastAsia" w:ascii="宋体" w:hAnsi="宋体" w:cs="宋体"/>
          <w:b/>
          <w:bCs/>
          <w:color w:val="000000"/>
          <w:szCs w:val="21"/>
          <w:lang w:bidi="en-US"/>
        </w:rPr>
        <w:t>10.1.2</w:t>
      </w:r>
      <w:r>
        <w:rPr>
          <w:rFonts w:hint="eastAsia" w:ascii="宋体" w:hAnsi="宋体" w:cs="宋体"/>
          <w:color w:val="000000"/>
          <w:szCs w:val="21"/>
          <w:lang w:val="zh-TW" w:eastAsia="zh-TW" w:bidi="zh-TW"/>
        </w:rPr>
        <w:t>承包人的责任和义务</w:t>
      </w:r>
    </w:p>
    <w:p w14:paraId="471BB8F8">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（1）</w:t>
      </w:r>
      <w:r>
        <w:rPr>
          <w:rFonts w:hint="eastAsia" w:ascii="宋体" w:hAnsi="宋体" w:cs="宋体"/>
          <w:color w:val="000000"/>
          <w:sz w:val="24"/>
          <w:szCs w:val="24"/>
        </w:rPr>
        <w:t>承包人提交的竣工资料的内容：</w:t>
      </w:r>
      <w:r>
        <w:rPr>
          <w:rFonts w:hint="eastAsia" w:ascii="宋体" w:hAnsi="宋体" w:cs="宋体"/>
          <w:color w:val="0000FF"/>
          <w:sz w:val="24"/>
          <w:szCs w:val="24"/>
          <w:u w:val="single"/>
        </w:rPr>
        <w:t>提供符合工程所在地建设行政主管部门、行政质检监督部门和城建档案馆要求的竣工图及竣工资料。具体包括但不限于工程法定建设程序必备条件、综合管理资料、工程质量控制资料（包括验收资料、施工技术管理资料、产品质量证明文件、检验报告、施工记录及检测报告）、工程安全和功能检验资料及主要功能抽查记录、检验批质量验收记录、施工日志、竣工图、变更资料（技术变更审批文件和经济变更审批文件）、竣工结算送审价、工程结算汇总表、工程结算书、承包人合同或协议书、原设计施工图及竣工图（电子文档）、招标文件、投标文件、中标通知书、隐蔽验收资料、设计变更、现场签证资料、安全文明施工措施评价及费率测定表、承发包双方确认的承发包双方确认的材料及设备单价表、图纸会审记录、工程会议纪要、承包方取费证及规费取费证、其他有关工程阶段资料等</w:t>
      </w:r>
      <w:r>
        <w:rPr>
          <w:rFonts w:hint="eastAsia" w:ascii="宋体" w:hAnsi="宋体" w:cs="宋体"/>
          <w:color w:val="000000"/>
          <w:sz w:val="24"/>
          <w:szCs w:val="24"/>
        </w:rPr>
        <w:t>。</w:t>
      </w:r>
    </w:p>
    <w:p w14:paraId="60486F8B">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承包人需要提交的竣工资料套数：</w:t>
      </w:r>
      <w:r>
        <w:rPr>
          <w:rFonts w:hint="eastAsia" w:ascii="宋体" w:hAnsi="宋体" w:cs="宋体"/>
          <w:color w:val="000000"/>
          <w:sz w:val="24"/>
          <w:szCs w:val="24"/>
          <w:u w:val="single"/>
        </w:rPr>
        <w:t>电子文件一份、纸质文件</w:t>
      </w:r>
      <w:r>
        <w:rPr>
          <w:rFonts w:hint="eastAsia" w:ascii="宋体" w:hAnsi="宋体" w:cs="宋体"/>
          <w:color w:val="0000FF"/>
          <w:sz w:val="24"/>
          <w:szCs w:val="24"/>
          <w:u w:val="single"/>
        </w:rPr>
        <w:t xml:space="preserve">五套 </w:t>
      </w:r>
      <w:r>
        <w:rPr>
          <w:rFonts w:hint="eastAsia" w:ascii="宋体" w:hAnsi="宋体" w:cs="宋体"/>
          <w:color w:val="000000"/>
          <w:sz w:val="24"/>
          <w:szCs w:val="24"/>
        </w:rPr>
        <w:t>。</w:t>
      </w:r>
    </w:p>
    <w:p w14:paraId="6383778C">
      <w:pPr>
        <w:spacing w:line="360" w:lineRule="auto"/>
        <w:ind w:left="638" w:leftChars="304"/>
        <w:jc w:val="left"/>
        <w:rPr>
          <w:rFonts w:hint="eastAsia" w:ascii="宋体" w:hAnsi="宋体" w:cs="宋体"/>
          <w:color w:val="000000"/>
          <w:sz w:val="24"/>
          <w:szCs w:val="24"/>
        </w:rPr>
      </w:pPr>
      <w:r>
        <w:rPr>
          <w:rFonts w:hint="eastAsia" w:ascii="宋体" w:hAnsi="宋体" w:cs="宋体"/>
          <w:color w:val="000000"/>
          <w:sz w:val="24"/>
          <w:szCs w:val="24"/>
        </w:rPr>
        <w:t>承包人提交的竣工资料的费用承担：</w:t>
      </w:r>
      <w:r>
        <w:rPr>
          <w:rFonts w:hint="eastAsia" w:ascii="宋体" w:hAnsi="宋体" w:cs="宋体"/>
          <w:color w:val="000000"/>
          <w:sz w:val="24"/>
          <w:szCs w:val="24"/>
          <w:u w:val="single"/>
        </w:rPr>
        <w:t xml:space="preserve"> </w:t>
      </w:r>
      <w:r>
        <w:rPr>
          <w:rFonts w:hint="eastAsia" w:ascii="宋体" w:hAnsi="宋体" w:cs="宋体"/>
          <w:color w:val="0000FF"/>
          <w:sz w:val="24"/>
          <w:szCs w:val="24"/>
          <w:u w:val="single"/>
        </w:rPr>
        <w:t xml:space="preserve"> 由承包人承担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5B66E09">
      <w:pPr>
        <w:spacing w:line="360" w:lineRule="auto"/>
        <w:ind w:left="638" w:leftChars="304"/>
        <w:jc w:val="left"/>
        <w:rPr>
          <w:rFonts w:hint="eastAsia" w:ascii="宋体" w:hAnsi="宋体" w:cs="宋体"/>
          <w:color w:val="000000"/>
          <w:sz w:val="24"/>
          <w:szCs w:val="24"/>
        </w:rPr>
      </w:pPr>
      <w:r>
        <w:rPr>
          <w:rFonts w:hint="eastAsia" w:ascii="宋体" w:hAnsi="宋体" w:cs="宋体"/>
          <w:color w:val="000000"/>
          <w:sz w:val="24"/>
          <w:szCs w:val="24"/>
        </w:rPr>
        <w:t>承包人提交的竣工资料移交时间：</w:t>
      </w:r>
      <w:r>
        <w:rPr>
          <w:rFonts w:hint="eastAsia" w:ascii="宋体" w:hAnsi="宋体" w:cs="宋体"/>
          <w:color w:val="0000FF"/>
          <w:sz w:val="24"/>
          <w:szCs w:val="24"/>
          <w:u w:val="single"/>
        </w:rPr>
        <w:t>工程竣工验收合格后28天内</w:t>
      </w:r>
      <w:r>
        <w:rPr>
          <w:rFonts w:hint="eastAsia" w:ascii="宋体" w:hAnsi="宋体" w:cs="宋体"/>
          <w:color w:val="000000"/>
          <w:sz w:val="24"/>
          <w:szCs w:val="24"/>
        </w:rPr>
        <w:t>。</w:t>
      </w:r>
    </w:p>
    <w:p w14:paraId="20E45DF0">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承包人提交的竣工资料形式要求：</w:t>
      </w:r>
      <w:r>
        <w:rPr>
          <w:rFonts w:hint="eastAsia" w:ascii="宋体" w:hAnsi="宋体" w:cs="宋体"/>
          <w:color w:val="000000"/>
          <w:sz w:val="24"/>
          <w:szCs w:val="24"/>
          <w:u w:val="single"/>
        </w:rPr>
        <w:t xml:space="preserve"> </w:t>
      </w:r>
      <w:r>
        <w:rPr>
          <w:rFonts w:hint="eastAsia" w:ascii="宋体" w:hAnsi="宋体" w:cs="宋体"/>
          <w:color w:val="0000FF"/>
          <w:sz w:val="24"/>
          <w:szCs w:val="24"/>
          <w:u w:val="single"/>
        </w:rPr>
        <w:t xml:space="preserve">承包人编制完整纸质（含电子）移交清单，发包人代表核实符合要求后书面移交  </w:t>
      </w:r>
      <w:r>
        <w:rPr>
          <w:rFonts w:hint="eastAsia" w:ascii="宋体" w:hAnsi="宋体" w:cs="宋体"/>
          <w:color w:val="000000"/>
          <w:sz w:val="24"/>
          <w:szCs w:val="24"/>
        </w:rPr>
        <w:t>。</w:t>
      </w:r>
    </w:p>
    <w:p w14:paraId="6D9D80CC">
      <w:pPr>
        <w:spacing w:line="360" w:lineRule="auto"/>
        <w:ind w:firstLine="422" w:firstLineChars="20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竣工后试验方案的份数和完成时间：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3651290C">
      <w:pPr>
        <w:adjustRightInd w:val="0"/>
        <w:snapToGrid w:val="0"/>
        <w:spacing w:line="360" w:lineRule="auto"/>
        <w:ind w:firstLine="422" w:firstLineChars="200"/>
        <w:jc w:val="left"/>
        <w:rPr>
          <w:rFonts w:hint="eastAsia" w:ascii="宋体" w:hAnsi="宋体" w:cs="宋体"/>
          <w:color w:val="0000FF"/>
          <w:sz w:val="24"/>
          <w:szCs w:val="24"/>
          <w:u w:val="single"/>
        </w:rPr>
      </w:pPr>
      <w:r>
        <w:rPr>
          <w:rFonts w:hint="eastAsia" w:ascii="宋体" w:hAnsi="宋体" w:cs="宋体"/>
          <w:b/>
          <w:bCs/>
          <w:color w:val="000000"/>
          <w:szCs w:val="21"/>
          <w:lang w:val="zh-TW" w:eastAsia="zh-TW" w:bidi="zh-TW"/>
        </w:rPr>
        <w:t>（7）</w:t>
      </w:r>
      <w:r>
        <w:rPr>
          <w:rFonts w:hint="eastAsia" w:ascii="宋体" w:hAnsi="宋体" w:cs="宋体"/>
          <w:color w:val="000000"/>
          <w:szCs w:val="21"/>
          <w:lang w:val="zh-TW" w:eastAsia="zh-TW" w:bidi="zh-TW"/>
        </w:rPr>
        <w:t>其它义务和工作：</w:t>
      </w:r>
      <w:r>
        <w:rPr>
          <w:rFonts w:hint="eastAsia" w:ascii="Times New Roman" w:hAnsi="Times New Roman"/>
          <w:szCs w:val="21"/>
          <w:u w:val="single"/>
        </w:rPr>
        <w:t xml:space="preserve">  </w:t>
      </w:r>
      <w:r>
        <w:rPr>
          <w:rFonts w:hint="eastAsia" w:ascii="宋体" w:hAnsi="宋体" w:cs="宋体"/>
          <w:color w:val="0000FF"/>
          <w:sz w:val="24"/>
          <w:szCs w:val="24"/>
          <w:u w:val="single"/>
        </w:rPr>
        <w:t>1.负责提供为完成合同工作所需的劳务、材料、施工设备、工程设备和其他物品，并负责临时设施的设计、建造、运行、维护、管理和拆除。配合设计单位完成变更设计，负责完成施工措施与方案的深化，经监理人审核发包人确认后实施。由承包人负责完成的设计文件属于承包人提供的文件，承包人应按照与发包人约定的期限和数量提交，由此发生的费用被认为已经包括在承包人的签约合同价（投标总报价）中。由承包人承担的施工图设计或与工程配套的设计工作内容： （根据具体项目约定）。</w:t>
      </w:r>
    </w:p>
    <w:p w14:paraId="436DFBF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承包人要制定工程项目现场管理办法并严格执行，按投标文件承诺配备与项目规模技术要求相适应的项目管理班子。项目经理、技术负责人、施工、技术、质量、安全等管理人员，每月在施工现场的生产时间不得低于本月施工时间的80%，否则视为转包。建筑施工企业负责人（指企业的法定代表人、总经理、主管质量安全和生产工作的副总经理、总工程师和副总工程师）要定期带班检查，每月检查时间不少于其工作日的25%。</w:t>
      </w:r>
    </w:p>
    <w:p w14:paraId="52E8B113">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3.按照《四川省住房和城乡建设厅 四川省人力资源和社会保障厅关于贯彻落实建筑工人实名制管理办法（试行）的通知》（ 川建建发〔2019〕167号）等规定及时、足额发放农民工工资 。在施工过程中若因承包人原因未支付承包人民工工资，造成民工到发包人或相关部门聚众上访或闹事，发包人概不负责，由此造成的损失由承包人承担，发包人有权单方终止合同，且不退还履约保证金。除由承包人自行落实解决外，承包人必须按次支付发包人违约金，违约金额为    元/次（签合同时根据项目实际情况约定），违约金由发包人在工程进度款或竣工结算款中直接扣除。</w:t>
      </w:r>
    </w:p>
    <w:p w14:paraId="4D340CC0">
      <w:pPr>
        <w:numPr>
          <w:ilvl w:val="0"/>
          <w:numId w:val="6"/>
        </w:numPr>
        <w:adjustRightInd w:val="0"/>
        <w:snapToGrid w:val="0"/>
        <w:spacing w:line="360" w:lineRule="auto"/>
        <w:ind w:firstLine="480" w:firstLineChars="200"/>
        <w:jc w:val="left"/>
        <w:rPr>
          <w:rFonts w:hint="eastAsia"/>
        </w:rPr>
      </w:pPr>
      <w:r>
        <w:rPr>
          <w:rFonts w:hint="eastAsia" w:ascii="宋体" w:hAnsi="宋体" w:cs="宋体"/>
          <w:color w:val="0000FF"/>
          <w:sz w:val="24"/>
          <w:szCs w:val="24"/>
          <w:u w:val="single"/>
        </w:rPr>
        <w:t>承包人应接受并配合发包人对工程进度情况进行的随机检查，对发包人提出的关键工期节点督促和整改意见，承包人应严格执行，并采取一切有效措施，确保总工期目标的实现。承包人应配合办理质监、施工许可证等报建手续，应在发包人要求的时间内提交报监报建资料，由于承包人原因延时提交的，由承包人承担相关工期、费用等损失。承包人自行承担施工现场生产、生活用水、电、气发生的费用。</w:t>
      </w:r>
    </w:p>
    <w:p w14:paraId="5C185908">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5.承包人应对在施工场地或者附近实施与合同工程有关的其他工作的独立承包人履行管理、协调、配合、照管和服务义务，由此发生的费用被认为已经包括在承包人的签约合同价（投标总报价）中，具体工作内容和要求包括但不限于：为其他承包人在使用施工场地、道路和其他公用设施等方面提供方便。</w:t>
      </w:r>
    </w:p>
    <w:p w14:paraId="6085704A">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6.承包人应及时完善并提供（或配合）工程质量、隐蔽验收、试验检测、经济签证、技术变更、测量收方等施工过程资料。承包人提供的测量收方资料、经济签证等应有发包人代表签字确认，否则不能作为费用结算依据。</w:t>
      </w:r>
    </w:p>
    <w:p w14:paraId="462D149B">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7.承包人接受发包人组织的竣工结算初审、复核以及审计机关依法进行的审计监督（如有）。竣工结算初审、复核风险约定：审减金额低于承包人上报结算总价的5%，则承包人不承担审核费用；若审减金额在承包人上报结算总价的5%～10%之间，则承包人承担超出部分的审核费用（含基本费和效益费）；若审减金额超过承包人上报结算总价的10%，则承包人除承担所有审核费用（含基本费和效益费），还要承担净审减金额的5%违约金，由发包人在工程竣工结算尾款中扣除。审计机关审计监督：本项目竣工结算后，如纳入审计监督，承包人应主动配合提供结算审计资料，退还审计监督结果与结算金额差异。</w:t>
      </w:r>
    </w:p>
    <w:p w14:paraId="212944B4">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8.承包人应遵从发包人针对质量、安全、环保、进度、成本、现场管理协调等方面制定或下发的各类制度、流程、文件、办法、表格、程序。</w:t>
      </w:r>
    </w:p>
    <w:p w14:paraId="59A4133F">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9.承包人应在施工现场为监理单位和发包人各免费提供一间办公用房。严禁承包人与监理单位同吃同住。</w:t>
      </w:r>
    </w:p>
    <w:p w14:paraId="74C579AA">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 xml:space="preserve">10.承包人应自行进行现场踏勘，详细了解拆迁、地下管线、场内施工便道、周边交通、场地堆场、弃土场地、气候条件、当地连砂石管理规定、交安设施施工前方案审查及完工移交、绿化的季节性适宜性及养护移交等项目情况，投标人在投标时自行考虑相应风险和措施（包括实施过程中必须符合安全环保要求，对地下管线等进行的保护和迁改，清理拆迁遗留构筑物建筑物附着物等，基坑开挖监测等安全措施，弃土场，堆土场，临时设施等等），费用视为包含在投标总价中，发包人不再另行支付。 </w:t>
      </w:r>
    </w:p>
    <w:p w14:paraId="59CF9E2E">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11.承包人负责工程竣工验收合格移交前的成品保护与管理工作，并自行承担成品保护、水、电等相关费用。</w:t>
      </w:r>
    </w:p>
    <w:p w14:paraId="6902F2EC">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12.扬尘治理：严格按照住房和城乡建设部办公厅《关于进一步加强施工工地和道路扬尘管控工作的通知》（建办质〔2019〕23号）、《四川省住房和城乡建设厅四川省生态环境厅关于关于印发&lt;四川省建筑工程扬尘污染防治技术导则（试行）&gt;的通知》（川建发〔2018〕16 号）规定进行现场管理。由承包人自行承担现场管理不善造成的后果和责任，若项目因承包人原因被环保管理相关部门处罚，相关处罚费用由承包人承担，发包人同时保留进一步追究其违约责任的权力。</w:t>
      </w:r>
    </w:p>
    <w:p w14:paraId="2B506F26">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13.绿化施工要求：合格标准为符合设计图纸及清单要求，未成活的按业主要求及时更换。养护按住房和城乡建设部发布行业标准《园林绿化养护标准》（中华人民共和国住房和城乡建设部公告2018年第268号）等规定执行，养护期从竣工验收合格日开始计算，期限至少为12个月，若竣工验收合格后12个月绿化项目未完成移交，则养护期自动延长至完成移交止。养护期内，承包人应委托至少1个专业人员进行现场养护，达到行业养护标准，如发包人检查现场养护情况不达标，经电话催告仍不派养护人员的，发包人可委托其他人进行养护，养护费用从绿化部分剩余的工程款中扣除。报价时充分调研绿化技术要求和市场情况，报价时充分考虑各种因素，施工期间不得变更，且严格按技术要求进场、栽植、验收、养护、移交。</w:t>
      </w:r>
    </w:p>
    <w:p w14:paraId="0B508FBA">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14.交安工程施工要求：控制系统能够完全融入雅安市现有交通信号系统。施工前承包人须与交警部门核实施工方案，完工后由交警部门验收并负责移交。承包人投标报价时综合考虑此方案审查协调、验收协调、规格型号等因素及设备匹配性后报价，中标后不调整此部分价格。如规格型号有较大变化的，原则上按类似项目折算计价，除非发包人论证后重新组价的。</w:t>
      </w:r>
    </w:p>
    <w:p w14:paraId="54A2C866">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15.砂石管理：承包人必须严格遵守雅安市砂石管理办法，必须配合发包人和监理人对弃土（砂石）组织的认定、检查、计量等相关工作。由承包人自行承担砂石管理不善造成的后果和责任，若项目因承包人原因被砂石管理部门处罚，相关处罚费用由承包人承担，发包人同时保留进一步追究其违约责任的权力。</w:t>
      </w:r>
    </w:p>
    <w:p w14:paraId="738A62F3">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16.本项目材料、工程设备、部件、构件、成品等按规范应当由有资质的第三方进行检测监测，检测监测费用已含在报价中，由承包人承担。检测单位按规定由发包人委托，本项目开工后，发包人确定检测单位，发包人、承包人、检测单位另行签订三方协议，约定检测权责及检测费相关事宜。</w:t>
      </w:r>
    </w:p>
    <w:p w14:paraId="5A56A725">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17.发包人因政策文件需调整或取消图纸中项目，承包人应配合发包人完成相关工作。</w:t>
      </w:r>
    </w:p>
    <w:p w14:paraId="053E1257">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18.所有承包人提交发包人的资料，起算时间均以发包人确认签收时间为准。</w:t>
      </w:r>
    </w:p>
    <w:p w14:paraId="7A0ABE44">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19.合同签订后，承包人若不实质性地履行合同，或擅自终止或解除合同，或不服从监理指令擅自连续停工达5天以上，或施工质量不符合合同约定，其所交履约保证金发包人不予退还，且发包人有权要求承包人赔偿经济损失。若承包人出现重大安全事故、重大质量事故等重大违约事项，致使本合同无法继续履行时，发包人有权解除或终止合同，其所交履约保证金发包人不予退还，并将应由承包人承担的违约金或赔偿金从工程款中直接扣除，不足部分，承包人应另外给予赔偿或承担。发包人基于上述原因解除合同后，承包人应在接到发包人发出的解除合同通知后10天内无条件退场。</w:t>
      </w:r>
    </w:p>
    <w:p w14:paraId="637198F5">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20.施工对邻近房产和群众的干扰：在合同许可的范围内，实施和完成本合同工程及其质量保修中的一切工作，应不影响邻近建筑物、构筑物的安全与正常使用，也不干扰群众的正常生活（经发包人书面同意的除外）。如果发生上述情况，导致的索赔、赔偿、诉讼等费用及其一切责任，由承包人承担。</w:t>
      </w:r>
    </w:p>
    <w:p w14:paraId="5AB034DA">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21.非发包人原因和不可抗力原因造成工程停工达5天或工程进度延期达5天、或出现重大质量事故和重大安全事故无力继续履约的、或拖欠民工工资造成上访等群体性事件的，承包人先自行退出施工场地，后结算已施工工程款项；发包人有权依法另行选择其他承包人继续开展工程建设，并按照合同依法追究承包人的违约责任。</w:t>
      </w:r>
    </w:p>
    <w:p w14:paraId="032DD296">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承包人派驻施工现场的建造师、主要技术负责人与投标文件承诺不符的，视同转包。若承包人将项目转让给他人，或将中标项目肢解后转让给他人，或违法将中标项目的部分主体、关键性工作分包给他人，或者分包人再次分包的，转让、分包无效，并按《招标投标法》第五十八条规定进行处理。</w:t>
      </w:r>
    </w:p>
    <w:p w14:paraId="187CAAC0">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22.承包人在收到监理人签发的开工令之前，投标文件承诺配备的项目管理班子必须在监理人指定的日期进场，以保证项目管理机构有效运转。未经发包人同意并报主管部门批准，承包人在投标文件中承诺配备的项目管理班子人员不得更换。</w:t>
      </w:r>
    </w:p>
    <w:p w14:paraId="1D63713B">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23.承包人签订合同后一月内完成中标项目的清标工作，与清单编制单位核实招标工程量清单是否有缺项、漏项、漏量等问题，超过规定时间未清标的企业，视为认可招标工程量清单，并以此招标清单工程量作为进度款支付依据。</w:t>
      </w:r>
    </w:p>
    <w:p w14:paraId="3ABBB443">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24.签订合同前，中标的施工单位应提供与投标文件一致的并派驻施工现场的建造师、技术负责人、施工员、质量（检）员、材料员、安全员（包括专职安全生产管理人员安全生产考核合格证书--符合本项目资格级别的人员证书）的执业资格证书或岗位证原件和履约保证金后方可签订合同。</w:t>
      </w:r>
    </w:p>
    <w:p w14:paraId="11C1E10F">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25.中标企业个人使用假证骗取合同签订，或合同签订后中标人不履行与发包人订立的合同义务、不能按照投标时的人员到岗到位，取消中标资格，没收投标保证金和履约保证金，给招标人（或项目业主）造成的损失超过履约保证金数额的，还应当对超过部分予以赔偿；没有提交履约保证金的，应当对发包人的损失承担赔偿责任，金额为损失金额（不得低于中标金额的10%）。</w:t>
      </w:r>
    </w:p>
    <w:p w14:paraId="563E0DB0">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26.办理施工许可证的资料提供时间：承包人中标后，要为办理施工许可证做好准备。接到中标通知书后7天内应准备好应由中标企业提供的办理施工许可证的资料。每拖延1天，处违约金   元人民币（签合同时根据项目实际情况约定），并须在提交违约金后，予以支付当期进度款。</w:t>
      </w:r>
    </w:p>
    <w:p w14:paraId="22D5A99C">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27.若承包人拒绝按照发包人指令更换发包人认为不能胜任该项工作的人员，或其主要项目经理和技术负责人经过2次以上更换仍然达不到发包人的要求，发包人将认为承包人无能力按本合同的规定继续履行本合同项下的施工工作，发包人有权单方面解除合同。</w:t>
      </w:r>
      <w:r>
        <w:rPr>
          <w:rFonts w:hint="eastAsia" w:ascii="宋体" w:hAnsi="宋体" w:cs="宋体"/>
          <w:color w:val="0000FF"/>
          <w:sz w:val="24"/>
          <w:szCs w:val="24"/>
          <w:u w:val="single"/>
        </w:rPr>
        <w:cr/>
      </w:r>
      <w:r>
        <w:rPr>
          <w:rFonts w:hint="eastAsia" w:ascii="宋体" w:hAnsi="宋体" w:cs="宋体"/>
          <w:color w:val="0000FF"/>
          <w:sz w:val="24"/>
          <w:szCs w:val="24"/>
          <w:u w:val="single"/>
        </w:rPr>
        <w:t xml:space="preserve">  28.施工工程中，承包人应对构建物及其他设施开挖前探明、核实其真实性后进行开挖并由承包人采取保护措施，如因承包人未探明情况擅自开挖造成的损失由承包人自行负责。</w:t>
      </w:r>
    </w:p>
    <w:p w14:paraId="1D03852F">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29.阶段工期（或月进度工期）三次累计均未按时完成的，视为承包人整体工期无法完成，发包人可责令承包人退场，一切损失由承包人承担。</w:t>
      </w:r>
    </w:p>
    <w:p w14:paraId="7F5BFC7C">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30.中标企业应保证施工过程中的交通运输安全。制定安全生产责任制、组织安全技术交底、建立安全检查制度、设置安全标志、做好安全引导工作及防范措施等内容。如因中标企业原因发生各类交通安全事故，中标企业须承担相应的赔偿及法律责任；如发生重大交通运输安全事故，除承担上述责任外，还将对中标企业进行追责处理。</w:t>
      </w:r>
    </w:p>
    <w:p w14:paraId="211D5C87">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31.凡本招标中所涉价款，均为含税价</w:t>
      </w:r>
      <w:r>
        <w:rPr>
          <w:rFonts w:hint="eastAsia" w:ascii="宋体" w:hAnsi="宋体" w:cs="宋体"/>
          <w:color w:val="0000FF"/>
          <w:sz w:val="24"/>
          <w:szCs w:val="24"/>
          <w:u w:val="single"/>
          <w:lang w:eastAsia="zh-CN"/>
        </w:rPr>
        <w:t>。</w:t>
      </w:r>
    </w:p>
    <w:p w14:paraId="4A4B9307">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32.施工过程,承包人严格执行国家、省对环境保护的相关法律法规要求；严格按照雅安市城乡规划建设和住房保障局《关于进一步加强标准化工地建设的紧急通知》（雅住建发【2017】108号）执行（承包人自行查阅），期间所产生的环保费用，由承包人承担。</w:t>
      </w:r>
    </w:p>
    <w:p w14:paraId="46DAB825">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33.凡涉及经济类签证、变更、工作联系单、核定单、方案等需报发包人，按发包人流程审批并加盖公章及监理人审批后方可成立。</w:t>
      </w:r>
    </w:p>
    <w:p w14:paraId="267F2282">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34.发包人在支付款项前承包人应开具合法有效的发票，承包人开具发票后，发包人才有款项支付义务。</w:t>
      </w:r>
    </w:p>
    <w:p w14:paraId="42414C56">
      <w:pPr>
        <w:tabs>
          <w:tab w:val="left" w:pos="640"/>
          <w:tab w:val="left" w:pos="3794"/>
        </w:tabs>
        <w:spacing w:after="60" w:line="360" w:lineRule="auto"/>
        <w:ind w:firstLine="300"/>
        <w:jc w:val="left"/>
        <w:rPr>
          <w:rFonts w:hint="eastAsia" w:ascii="宋体" w:hAnsi="宋体" w:cs="宋体"/>
          <w:szCs w:val="21"/>
          <w:lang w:bidi="zh-TW"/>
        </w:rPr>
      </w:pPr>
      <w:r>
        <w:rPr>
          <w:rFonts w:hint="eastAsia" w:ascii="宋体" w:hAnsi="宋体" w:cs="宋体"/>
          <w:color w:val="0000FF"/>
          <w:sz w:val="24"/>
          <w:szCs w:val="24"/>
          <w:u w:val="single"/>
        </w:rPr>
        <w:t xml:space="preserve">35．承包人（施工方）负责协调联合体成员设计方、负责合同实施阶段的组织和协调工作，以及处理与本项目有关的一切事宜。设计单位严格按照招标文件、投标文件、合同的要求全面履行义务，并向承包人承担连带责任。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02A30095">
      <w:pPr>
        <w:spacing w:after="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bidi="zh-TW"/>
        </w:rPr>
        <w:t>10.2</w:t>
      </w:r>
      <w:r>
        <w:rPr>
          <w:rFonts w:hint="eastAsia" w:ascii="宋体" w:hAnsi="宋体" w:cs="宋体"/>
          <w:color w:val="000000"/>
          <w:szCs w:val="21"/>
          <w:lang w:val="zh-TW" w:eastAsia="zh-TW" w:bidi="zh-TW"/>
        </w:rPr>
        <w:t>竣工后试验程序</w:t>
      </w:r>
    </w:p>
    <w:p w14:paraId="6F969B88">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10.2.5</w:t>
      </w:r>
      <w:r>
        <w:rPr>
          <w:rFonts w:hint="eastAsia" w:ascii="宋体" w:hAnsi="宋体" w:cs="宋体"/>
          <w:color w:val="000000"/>
          <w:szCs w:val="21"/>
          <w:lang w:val="zh-TW" w:eastAsia="zh-TW" w:bidi="zh-TW"/>
        </w:rPr>
        <w:t>竣工后试验日期的通知</w:t>
      </w:r>
    </w:p>
    <w:p w14:paraId="6B5E9A8D">
      <w:pPr>
        <w:tabs>
          <w:tab w:val="left" w:pos="3907"/>
        </w:tabs>
        <w:spacing w:after="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单项工程或（和）工程竣工后试验开始日期的约定：</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134D8A0A">
      <w:pPr>
        <w:spacing w:after="10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bidi="zh-TW"/>
        </w:rPr>
        <w:t>10.3</w:t>
      </w:r>
      <w:r>
        <w:rPr>
          <w:rFonts w:hint="eastAsia" w:ascii="宋体" w:hAnsi="宋体" w:cs="宋体"/>
          <w:color w:val="000000"/>
          <w:szCs w:val="21"/>
          <w:lang w:val="zh-TW" w:eastAsia="zh-TW" w:bidi="zh-TW"/>
        </w:rPr>
        <w:t>竣工后试验及试运行考核</w:t>
      </w:r>
    </w:p>
    <w:p w14:paraId="2559D454">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10.3.3</w:t>
      </w:r>
      <w:r>
        <w:rPr>
          <w:rFonts w:hint="eastAsia" w:ascii="宋体" w:hAnsi="宋体" w:cs="宋体"/>
          <w:color w:val="000000"/>
          <w:szCs w:val="21"/>
          <w:lang w:val="zh-TW" w:eastAsia="zh-TW" w:bidi="zh-TW"/>
        </w:rPr>
        <w:t>试运行考核</w:t>
      </w:r>
    </w:p>
    <w:p w14:paraId="52BF3BEB">
      <w:pPr>
        <w:tabs>
          <w:tab w:val="left" w:pos="636"/>
          <w:tab w:val="left" w:pos="1927"/>
        </w:tabs>
        <w:spacing w:after="60" w:line="360" w:lineRule="auto"/>
        <w:ind w:firstLine="30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（3）</w:t>
      </w:r>
      <w:r>
        <w:rPr>
          <w:rFonts w:hint="eastAsia" w:ascii="宋体" w:hAnsi="宋体" w:cs="宋体"/>
          <w:color w:val="000000"/>
          <w:szCs w:val="21"/>
          <w:lang w:val="zh-TW" w:eastAsia="zh-TW" w:bidi="zh-TW"/>
        </w:rPr>
        <w:t>试运行考核周期：</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小时（或天、周、月、年）</w:t>
      </w:r>
    </w:p>
    <w:p w14:paraId="5795765B">
      <w:pPr>
        <w:spacing w:after="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bidi="zh-TW"/>
        </w:rPr>
        <w:t>10.6</w:t>
      </w:r>
      <w:r>
        <w:rPr>
          <w:rFonts w:hint="eastAsia" w:ascii="宋体" w:hAnsi="宋体" w:cs="宋体"/>
          <w:color w:val="000000"/>
          <w:szCs w:val="21"/>
          <w:lang w:val="zh-TW" w:eastAsia="zh-TW" w:bidi="zh-TW"/>
        </w:rPr>
        <w:t>未能通过考核</w:t>
      </w:r>
    </w:p>
    <w:p w14:paraId="62B0FC25">
      <w:pPr>
        <w:spacing w:line="360" w:lineRule="auto"/>
        <w:ind w:firstLine="30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未能通过试运行考核的赔偿</w:t>
      </w:r>
    </w:p>
    <w:p w14:paraId="3FF76D7B">
      <w:pPr>
        <w:tabs>
          <w:tab w:val="left" w:pos="744"/>
        </w:tabs>
        <w:spacing w:line="360" w:lineRule="auto"/>
        <w:ind w:firstLine="48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1</w:t>
      </w:r>
      <w:r>
        <w:rPr>
          <w:rFonts w:hint="eastAsia" w:ascii="宋体" w:hAnsi="宋体" w:cs="宋体"/>
          <w:color w:val="000000"/>
          <w:szCs w:val="21"/>
          <w:lang w:val="zh-TW" w:eastAsia="zh-TW" w:bidi="zh-TW"/>
        </w:rPr>
        <w:t>）</w:t>
      </w:r>
      <w:r>
        <w:rPr>
          <w:rFonts w:hint="eastAsia" w:ascii="宋体" w:hAnsi="宋体" w:cs="宋体"/>
          <w:color w:val="000000"/>
          <w:szCs w:val="21"/>
          <w:lang w:val="zh-TW" w:eastAsia="zh-TW" w:bidi="zh-TW"/>
        </w:rPr>
        <w:tab/>
      </w:r>
      <w:r>
        <w:rPr>
          <w:rFonts w:hint="eastAsia" w:ascii="宋体" w:hAnsi="宋体" w:cs="宋体"/>
          <w:color w:val="000000"/>
          <w:szCs w:val="21"/>
          <w:lang w:val="zh-TW" w:eastAsia="zh-TW" w:bidi="zh-TW"/>
        </w:rPr>
        <w:t>承包人提供的生产工艺技术或建筑设计方案未能通过试运行考核的 赔偿</w:t>
      </w:r>
    </w:p>
    <w:p w14:paraId="70F6FE26">
      <w:pPr>
        <w:tabs>
          <w:tab w:val="left" w:pos="3524"/>
          <w:tab w:val="left" w:pos="3874"/>
        </w:tabs>
        <w:spacing w:line="360" w:lineRule="auto"/>
        <w:ind w:left="360" w:hanging="10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 xml:space="preserve">根据工程情况，在以下方式中选择一项，作为双方的考核赔偿约定， </w:t>
      </w:r>
      <w:r>
        <w:rPr>
          <w:rFonts w:hint="eastAsia" w:ascii="宋体" w:hAnsi="宋体" w:cs="宋体"/>
          <w:szCs w:val="21"/>
          <w:lang w:val="zh-TW" w:eastAsia="zh-TW" w:bidi="zh-TW"/>
        </w:rPr>
        <w:t>□</w:t>
      </w:r>
      <w:r>
        <w:rPr>
          <w:rFonts w:hint="eastAsia" w:ascii="宋体" w:hAnsi="宋体" w:cs="宋体"/>
          <w:color w:val="000000"/>
          <w:szCs w:val="21"/>
          <w:lang w:val="zh-TW" w:eastAsia="zh-TW" w:bidi="zh-TW"/>
        </w:rPr>
        <w:t>各单项工程的赔偿金额（或赔偿公式）分别为：</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r>
        <w:rPr>
          <w:rFonts w:hint="eastAsia" w:ascii="宋体" w:hAnsi="宋体" w:cs="宋体"/>
          <w:szCs w:val="21"/>
          <w:lang w:val="zh-TW" w:eastAsia="zh-TW" w:bidi="zh-TW"/>
        </w:rPr>
        <w:t>□</w:t>
      </w:r>
      <w:r>
        <w:rPr>
          <w:rFonts w:hint="eastAsia" w:ascii="宋体" w:hAnsi="宋体" w:cs="宋体"/>
          <w:color w:val="000000"/>
          <w:szCs w:val="21"/>
          <w:lang w:val="zh-TW" w:eastAsia="zh-TW" w:bidi="zh-TW"/>
        </w:rPr>
        <w:t>工程的赔偿金额（或赔偿公式）为：</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40C13DE5">
      <w:pPr>
        <w:tabs>
          <w:tab w:val="left" w:pos="744"/>
        </w:tabs>
        <w:spacing w:line="360" w:lineRule="auto"/>
        <w:ind w:firstLine="48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b/>
          <w:bCs/>
          <w:color w:val="000000"/>
          <w:szCs w:val="21"/>
          <w:lang w:val="zh-TW" w:eastAsia="zh-TW" w:bidi="zh-TW"/>
        </w:rPr>
        <w:tab/>
      </w:r>
      <w:r>
        <w:rPr>
          <w:rFonts w:hint="eastAsia" w:ascii="宋体" w:hAnsi="宋体" w:cs="宋体"/>
          <w:color w:val="000000"/>
          <w:szCs w:val="21"/>
          <w:lang w:val="zh-TW" w:eastAsia="zh-TW" w:bidi="zh-TW"/>
        </w:rPr>
        <w:t>发包人提供的生产工艺技术或建筑设计方案未能通过试运行考核的赔偿</w:t>
      </w:r>
    </w:p>
    <w:p w14:paraId="4D325818">
      <w:pPr>
        <w:spacing w:line="360" w:lineRule="auto"/>
        <w:ind w:left="183" w:leftChars="87" w:firstLine="105" w:firstLineChars="5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其中，承包人应承担相关责任的赔偿金额（或赔偿公式）为：</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3C05941">
      <w:pPr>
        <w:spacing w:after="60" w:line="360" w:lineRule="auto"/>
        <w:ind w:firstLine="260"/>
        <w:jc w:val="left"/>
        <w:rPr>
          <w:rFonts w:hint="eastAsia" w:ascii="宋体" w:hAnsi="宋体" w:cs="宋体"/>
          <w:szCs w:val="21"/>
          <w:lang w:val="zh-TW" w:eastAsia="zh-TW" w:bidi="zh-TW"/>
        </w:rPr>
      </w:pPr>
      <w:r>
        <w:rPr>
          <w:rFonts w:hint="eastAsia" w:ascii="宋体" w:hAnsi="宋体" w:cs="宋体"/>
          <w:color w:val="000000"/>
          <w:szCs w:val="21"/>
          <w:lang w:bidi="zh-TW"/>
        </w:rPr>
        <w:t>10.7考核</w:t>
      </w:r>
      <w:r>
        <w:rPr>
          <w:rFonts w:hint="eastAsia" w:ascii="宋体" w:hAnsi="宋体" w:cs="宋体"/>
          <w:color w:val="000000"/>
          <w:szCs w:val="21"/>
          <w:lang w:val="zh-TW" w:eastAsia="zh-TW" w:bidi="zh-TW"/>
        </w:rPr>
        <w:t>验收证书</w:t>
      </w:r>
    </w:p>
    <w:p w14:paraId="3988B491">
      <w:pPr>
        <w:spacing w:line="360" w:lineRule="auto"/>
        <w:ind w:firstLine="260"/>
        <w:jc w:val="left"/>
        <w:rPr>
          <w:rFonts w:hint="eastAsia" w:ascii="宋体" w:hAnsi="宋体" w:cs="宋体"/>
          <w:szCs w:val="21"/>
          <w:lang w:val="zh-TW" w:eastAsia="zh-TW" w:bidi="zh-TW"/>
        </w:rPr>
      </w:pPr>
      <w:r>
        <w:rPr>
          <w:rFonts w:hint="eastAsia" w:ascii="宋体" w:hAnsi="宋体" w:cs="宋体"/>
          <w:b/>
          <w:bCs/>
          <w:color w:val="000000"/>
          <w:szCs w:val="21"/>
          <w:lang w:bidi="en-US"/>
        </w:rPr>
        <w:t>10.7.1</w:t>
      </w:r>
      <w:r>
        <w:rPr>
          <w:rFonts w:hint="eastAsia" w:ascii="宋体" w:hAnsi="宋体" w:cs="宋体"/>
          <w:color w:val="000000"/>
          <w:szCs w:val="21"/>
          <w:lang w:val="zh-TW" w:eastAsia="zh-TW" w:bidi="zh-TW"/>
        </w:rPr>
        <w:t>在以下方式中选择其一，作为颁发竣工后试验及考核验收证书的约定。</w:t>
      </w:r>
    </w:p>
    <w:p w14:paraId="4104307E">
      <w:pPr>
        <w:spacing w:after="60" w:line="360" w:lineRule="auto"/>
        <w:ind w:firstLine="260"/>
        <w:jc w:val="left"/>
        <w:rPr>
          <w:rFonts w:hint="eastAsia" w:ascii="宋体" w:hAnsi="宋体" w:cs="宋体"/>
          <w:color w:val="000000"/>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按工程颁发竣工后试验及考核验收证书</w:t>
      </w:r>
    </w:p>
    <w:p w14:paraId="4CEB36EA">
      <w:pPr>
        <w:spacing w:after="60" w:line="360" w:lineRule="auto"/>
        <w:ind w:firstLine="26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按单项工程和工程颁发竣工后试验及考核验收证书</w:t>
      </w:r>
    </w:p>
    <w:p w14:paraId="26943D47">
      <w:pPr>
        <w:keepNext/>
        <w:keepLines/>
        <w:spacing w:after="160" w:line="360" w:lineRule="auto"/>
        <w:ind w:firstLine="24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11</w:t>
      </w:r>
      <w:r>
        <w:rPr>
          <w:rFonts w:hint="eastAsia" w:ascii="宋体" w:hAnsi="宋体" w:cs="宋体"/>
          <w:color w:val="000000"/>
          <w:szCs w:val="21"/>
          <w:lang w:val="zh-TW" w:eastAsia="zh-TW" w:bidi="zh-TW"/>
        </w:rPr>
        <w:t>条质量保修责任</w:t>
      </w:r>
    </w:p>
    <w:p w14:paraId="002DB12B">
      <w:pPr>
        <w:spacing w:after="60" w:line="360" w:lineRule="auto"/>
        <w:ind w:firstLine="260"/>
        <w:jc w:val="left"/>
        <w:rPr>
          <w:rFonts w:hint="eastAsia" w:ascii="宋体" w:hAnsi="宋体" w:cs="宋体"/>
          <w:color w:val="000000"/>
          <w:szCs w:val="21"/>
          <w:lang w:val="zh-TW" w:eastAsia="zh-TW" w:bidi="zh-TW"/>
        </w:rPr>
      </w:pPr>
      <w:r>
        <w:rPr>
          <w:rFonts w:hint="eastAsia" w:ascii="宋体" w:hAnsi="宋体" w:cs="宋体"/>
          <w:color w:val="000000"/>
          <w:szCs w:val="21"/>
          <w:lang w:bidi="zh-TW"/>
        </w:rPr>
        <w:t>11.2</w:t>
      </w:r>
      <w:r>
        <w:rPr>
          <w:rFonts w:hint="eastAsia" w:ascii="宋体" w:hAnsi="宋体" w:cs="宋体"/>
          <w:color w:val="000000"/>
          <w:szCs w:val="21"/>
          <w:lang w:val="zh-TW" w:eastAsia="zh-TW" w:bidi="zh-TW"/>
        </w:rPr>
        <w:t>缺陷责任保修金</w:t>
      </w:r>
    </w:p>
    <w:p w14:paraId="63C64EB6">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11.2.1</w:t>
      </w:r>
      <w:r>
        <w:rPr>
          <w:rFonts w:hint="eastAsia" w:ascii="宋体" w:hAnsi="宋体" w:cs="宋体"/>
          <w:color w:val="000000"/>
          <w:szCs w:val="21"/>
          <w:lang w:val="zh-TW" w:eastAsia="zh-TW" w:bidi="zh-TW"/>
        </w:rPr>
        <w:t>缺陷责任保修金金额</w:t>
      </w:r>
    </w:p>
    <w:p w14:paraId="61B77229">
      <w:pPr>
        <w:tabs>
          <w:tab w:val="left" w:pos="3211"/>
        </w:tabs>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缺陷责任保修金金额为合同协议书约定的合同价格的</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26E19C06">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11.2.2</w:t>
      </w:r>
      <w:r>
        <w:rPr>
          <w:rFonts w:hint="eastAsia" w:ascii="宋体" w:hAnsi="宋体" w:cs="宋体"/>
          <w:color w:val="000000"/>
          <w:szCs w:val="21"/>
          <w:lang w:val="zh-TW" w:eastAsia="zh-TW" w:bidi="zh-TW"/>
        </w:rPr>
        <w:t>缺陷责任保修金金额的暂扣</w:t>
      </w:r>
    </w:p>
    <w:p w14:paraId="30B6D434">
      <w:pPr>
        <w:tabs>
          <w:tab w:val="left" w:pos="3792"/>
        </w:tabs>
        <w:spacing w:after="1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缺陷责任保修金金额的暂扣方式：</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7727633F">
      <w:pPr>
        <w:keepNext/>
        <w:keepLines/>
        <w:spacing w:after="160" w:line="360" w:lineRule="auto"/>
        <w:ind w:firstLine="24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12</w:t>
      </w:r>
      <w:r>
        <w:rPr>
          <w:rFonts w:hint="eastAsia" w:ascii="宋体" w:hAnsi="宋体" w:cs="宋体"/>
          <w:color w:val="000000"/>
          <w:szCs w:val="21"/>
          <w:lang w:val="zh-TW" w:eastAsia="zh-TW" w:bidi="zh-TW"/>
        </w:rPr>
        <w:t>条工程竣工验收</w:t>
      </w:r>
    </w:p>
    <w:p w14:paraId="4BAF661E">
      <w:pPr>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bidi="zh-TW"/>
        </w:rPr>
        <w:t>12.1竣工验收报告及完整的竣</w:t>
      </w:r>
      <w:r>
        <w:rPr>
          <w:rFonts w:hint="eastAsia" w:ascii="宋体" w:hAnsi="宋体" w:cs="宋体"/>
          <w:color w:val="000000"/>
          <w:szCs w:val="21"/>
          <w:lang w:val="zh-TW" w:eastAsia="zh-TW" w:bidi="zh-TW"/>
        </w:rPr>
        <w:t>工资料</w:t>
      </w:r>
    </w:p>
    <w:p w14:paraId="4C1CD96F">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12.1.1</w:t>
      </w:r>
      <w:r>
        <w:rPr>
          <w:rFonts w:hint="eastAsia" w:ascii="宋体" w:hAnsi="宋体" w:cs="宋体"/>
          <w:color w:val="000000"/>
          <w:szCs w:val="21"/>
          <w:lang w:val="zh-TW" w:eastAsia="zh-TW" w:bidi="zh-TW"/>
        </w:rPr>
        <w:t>竣工资料和竣工验收报告</w:t>
      </w:r>
    </w:p>
    <w:p w14:paraId="3FCE4EE8">
      <w:pPr>
        <w:tabs>
          <w:tab w:val="left" w:pos="3792"/>
          <w:tab w:val="left" w:pos="3797"/>
        </w:tabs>
        <w:spacing w:after="160" w:line="360" w:lineRule="auto"/>
        <w:ind w:left="240" w:firstLine="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竣工验收报告的格式、份数和提交时间：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完整的竣工资料的格式、份数和提交时间：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78F3EB6C">
      <w:pPr>
        <w:keepNext/>
        <w:keepLines/>
        <w:spacing w:after="16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13</w:t>
      </w:r>
      <w:r>
        <w:rPr>
          <w:rFonts w:hint="eastAsia" w:ascii="宋体" w:hAnsi="宋体" w:cs="宋体"/>
          <w:color w:val="000000"/>
          <w:szCs w:val="21"/>
          <w:lang w:val="zh-TW" w:eastAsia="zh-TW" w:bidi="zh-TW"/>
        </w:rPr>
        <w:t>条 变更和合同价格调整</w:t>
      </w:r>
    </w:p>
    <w:p w14:paraId="23974524">
      <w:pPr>
        <w:keepNext/>
        <w:keepLines/>
        <w:spacing w:after="120" w:line="360" w:lineRule="auto"/>
        <w:ind w:firstLine="240"/>
        <w:jc w:val="left"/>
        <w:outlineLvl w:val="1"/>
        <w:rPr>
          <w:rFonts w:hint="eastAsia" w:ascii="宋体" w:hAnsi="宋体" w:cs="宋体"/>
          <w:color w:val="000000"/>
          <w:szCs w:val="21"/>
          <w:lang w:bidi="zh-TW"/>
        </w:rPr>
      </w:pPr>
      <w:r>
        <w:rPr>
          <w:rFonts w:hint="eastAsia" w:ascii="宋体" w:hAnsi="宋体" w:cs="宋体"/>
          <w:color w:val="000000"/>
          <w:szCs w:val="21"/>
          <w:lang w:bidi="zh-TW"/>
        </w:rPr>
        <w:t>13.2变更范围：按照通用条款约定</w:t>
      </w:r>
    </w:p>
    <w:p w14:paraId="3595B325">
      <w:pPr>
        <w:spacing w:line="360" w:lineRule="auto"/>
        <w:ind w:firstLine="240"/>
        <w:jc w:val="left"/>
        <w:rPr>
          <w:rFonts w:hint="eastAsia" w:ascii="宋体" w:hAnsi="宋体" w:cs="宋体"/>
          <w:b/>
          <w:bCs/>
          <w:szCs w:val="21"/>
        </w:rPr>
      </w:pPr>
      <w:r>
        <w:rPr>
          <w:rFonts w:hint="eastAsia" w:ascii="宋体" w:hAnsi="宋体" w:cs="宋体"/>
          <w:b/>
          <w:bCs/>
          <w:color w:val="000000"/>
          <w:szCs w:val="21"/>
          <w:lang w:bidi="en-US"/>
        </w:rPr>
        <w:t>13.2.6</w:t>
      </w:r>
      <w:r>
        <w:rPr>
          <w:rFonts w:hint="eastAsia" w:ascii="宋体" w:hAnsi="宋体" w:cs="宋体"/>
          <w:color w:val="000000"/>
          <w:szCs w:val="21"/>
          <w:lang w:val="zh-TW" w:eastAsia="zh-TW" w:bidi="zh-TW"/>
        </w:rPr>
        <w:t>其它变更</w:t>
      </w:r>
    </w:p>
    <w:p w14:paraId="4B7F7931">
      <w:pPr>
        <w:tabs>
          <w:tab w:val="left" w:pos="3854"/>
        </w:tabs>
        <w:spacing w:after="12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双方根据本工程特点，商定的其它变更范围：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3D2E0981">
      <w:pPr>
        <w:keepNext/>
        <w:keepLines/>
        <w:spacing w:after="120" w:line="360" w:lineRule="auto"/>
        <w:ind w:firstLine="240"/>
        <w:jc w:val="left"/>
        <w:outlineLvl w:val="1"/>
        <w:rPr>
          <w:rFonts w:hint="eastAsia" w:ascii="宋体" w:hAnsi="宋体" w:cs="宋体"/>
          <w:color w:val="000000"/>
          <w:szCs w:val="21"/>
          <w:lang w:bidi="zh-TW"/>
        </w:rPr>
      </w:pPr>
      <w:r>
        <w:rPr>
          <w:rFonts w:hint="eastAsia" w:ascii="宋体" w:hAnsi="宋体" w:cs="宋体"/>
          <w:color w:val="000000"/>
          <w:szCs w:val="21"/>
          <w:lang w:bidi="zh-TW"/>
        </w:rPr>
        <w:t>13.5变更价款确定</w:t>
      </w:r>
    </w:p>
    <w:p w14:paraId="4BC2E1E8">
      <w:pPr>
        <w:adjustRightInd w:val="0"/>
        <w:snapToGrid w:val="0"/>
        <w:spacing w:line="360" w:lineRule="auto"/>
        <w:ind w:firstLine="422" w:firstLineChars="200"/>
        <w:jc w:val="left"/>
        <w:rPr>
          <w:rFonts w:hint="eastAsia" w:ascii="宋体" w:hAnsi="宋体" w:cs="宋体"/>
          <w:color w:val="0000FF"/>
          <w:sz w:val="24"/>
          <w:szCs w:val="24"/>
          <w:u w:val="single"/>
        </w:rPr>
      </w:pPr>
      <w:r>
        <w:rPr>
          <w:rFonts w:hint="eastAsia" w:ascii="Times New Roman" w:hAnsi="Times New Roman"/>
          <w:b/>
          <w:bCs/>
          <w:color w:val="000000"/>
          <w:szCs w:val="21"/>
          <w:lang w:bidi="en-US"/>
        </w:rPr>
        <w:t>13.5.4</w:t>
      </w:r>
      <w:r>
        <w:rPr>
          <w:rFonts w:hint="eastAsia" w:ascii="Times New Roman" w:hAnsi="Times New Roman"/>
          <w:color w:val="000000"/>
          <w:szCs w:val="21"/>
        </w:rPr>
        <w:t>变更价款约定的其它方法：</w:t>
      </w:r>
      <w:r>
        <w:rPr>
          <w:rFonts w:hint="eastAsia" w:ascii="Times New Roman" w:hAnsi="Times New Roman"/>
          <w:szCs w:val="21"/>
          <w:u w:val="single"/>
        </w:rPr>
        <w:t xml:space="preserve">     </w:t>
      </w:r>
      <w:r>
        <w:rPr>
          <w:rFonts w:hint="eastAsia" w:ascii="宋体" w:hAnsi="宋体" w:cs="宋体"/>
          <w:color w:val="000000"/>
          <w:sz w:val="24"/>
          <w:szCs w:val="24"/>
        </w:rPr>
        <w:t xml:space="preserve">关于变更估价的约定: </w:t>
      </w:r>
    </w:p>
    <w:p w14:paraId="19EEC304">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（1）已标价工程量清单中有适用于变更工程项目的，应采用该项目的单价；但当工程变更导致该清单项目的数量发生变化，且工程量偏差超过15%时，该项目单价应按照专用合同条款</w:t>
      </w:r>
      <w:r>
        <w:rPr>
          <w:rFonts w:hint="eastAsia" w:ascii="宋体" w:hAnsi="宋体" w:cs="宋体"/>
          <w:color w:val="0000FF"/>
          <w:sz w:val="24"/>
          <w:szCs w:val="24"/>
          <w:u w:val="single"/>
          <w:lang w:val="en-US" w:eastAsia="zh-CN"/>
        </w:rPr>
        <w:t>13</w:t>
      </w:r>
      <w:r>
        <w:rPr>
          <w:rFonts w:hint="eastAsia" w:ascii="宋体" w:hAnsi="宋体" w:cs="宋体"/>
          <w:color w:val="0000FF"/>
          <w:sz w:val="24"/>
          <w:szCs w:val="24"/>
          <w:u w:val="single"/>
        </w:rPr>
        <w:t>.</w:t>
      </w:r>
      <w:r>
        <w:rPr>
          <w:rFonts w:hint="eastAsia" w:ascii="宋体" w:hAnsi="宋体" w:cs="宋体"/>
          <w:color w:val="0000FF"/>
          <w:sz w:val="24"/>
          <w:szCs w:val="24"/>
          <w:u w:val="single"/>
          <w:lang w:val="en-US" w:eastAsia="zh-CN"/>
        </w:rPr>
        <w:t>5</w:t>
      </w:r>
      <w:r>
        <w:rPr>
          <w:rFonts w:hint="eastAsia" w:ascii="宋体" w:hAnsi="宋体" w:cs="宋体"/>
          <w:color w:val="0000FF"/>
          <w:sz w:val="24"/>
          <w:szCs w:val="24"/>
          <w:u w:val="single"/>
        </w:rPr>
        <w:t>.</w:t>
      </w:r>
      <w:r>
        <w:rPr>
          <w:rFonts w:hint="eastAsia" w:ascii="宋体" w:hAnsi="宋体" w:cs="宋体"/>
          <w:color w:val="0000FF"/>
          <w:sz w:val="24"/>
          <w:szCs w:val="24"/>
          <w:u w:val="single"/>
          <w:lang w:val="en-US" w:eastAsia="zh-CN"/>
        </w:rPr>
        <w:t>4</w:t>
      </w:r>
      <w:r>
        <w:rPr>
          <w:rFonts w:hint="eastAsia" w:ascii="宋体" w:hAnsi="宋体" w:cs="宋体"/>
          <w:color w:val="0000FF"/>
          <w:sz w:val="24"/>
          <w:szCs w:val="24"/>
          <w:u w:val="single"/>
        </w:rPr>
        <w:t>.（5）条的规定调整。</w:t>
      </w:r>
    </w:p>
    <w:p w14:paraId="7F54AF37">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（2）已标价工程量清单中没有适用但有类似于变更工程项目的，可在合理范围内参照类似项目的单价。</w:t>
      </w:r>
    </w:p>
    <w:p w14:paraId="34A90BC4">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3）已标价工程量清单中没有适用也没有类似于变更工程项目的，应由承包人根据变更工程资料、计量规则和计价方法、工程造价管理机构发布的信息价格和承包人报价浮动率提出变更工程项目的单价，并应报发包人确认后调整。</w:t>
      </w:r>
    </w:p>
    <w:p w14:paraId="7BD701A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承包人报价浮动率L=（1-中标价/招标控制价）×100%</w:t>
      </w:r>
    </w:p>
    <w:p w14:paraId="3F8D9C19">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4）已标价工程量清单中没有适用也没有类似于变更工程项目的，且工程造价管理机构发布的信息价格缺价的，应由承包人根据变更工程资料、计量规则、计价方法和通过市场调查等取得有合法依据的市场价格提出变更工程项目的单价，并应报发包人确认后调整。</w:t>
      </w:r>
    </w:p>
    <w:p w14:paraId="27CD0291">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5）当应予计算的实际工程量与招标工程量清单出现偏差（包括工程变更等原因导致的工程量偏差）超过15%时，其增加部分的工程量的综合单价应予调低；当工程量减少15%以上时，减少后剩余部分的工程量的综合单价应予以调高。调整方式如下：</w:t>
      </w:r>
    </w:p>
    <w:p w14:paraId="7732E565">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(1)当Q</w:t>
      </w:r>
      <w:r>
        <w:rPr>
          <w:rFonts w:hint="eastAsia" w:ascii="宋体" w:hAnsi="宋体" w:cs="宋体"/>
          <w:color w:val="0000FF"/>
          <w:sz w:val="16"/>
          <w:szCs w:val="16"/>
          <w:u w:val="single"/>
        </w:rPr>
        <w:t>1</w:t>
      </w:r>
      <w:r>
        <w:rPr>
          <w:rFonts w:hint="eastAsia" w:ascii="宋体" w:hAnsi="宋体" w:cs="宋体"/>
          <w:color w:val="0000FF"/>
          <w:sz w:val="24"/>
          <w:szCs w:val="24"/>
          <w:u w:val="single"/>
        </w:rPr>
        <w:t>﹥1.15Q</w:t>
      </w:r>
      <w:r>
        <w:rPr>
          <w:rFonts w:hint="eastAsia" w:ascii="宋体" w:hAnsi="宋体" w:cs="宋体"/>
          <w:color w:val="0000FF"/>
          <w:sz w:val="16"/>
          <w:szCs w:val="24"/>
          <w:u w:val="single"/>
        </w:rPr>
        <w:t>0</w:t>
      </w:r>
      <w:r>
        <w:rPr>
          <w:rFonts w:hint="eastAsia" w:ascii="宋体" w:hAnsi="宋体" w:cs="宋体"/>
          <w:color w:val="0000FF"/>
          <w:sz w:val="24"/>
          <w:szCs w:val="24"/>
          <w:u w:val="single"/>
        </w:rPr>
        <w:t>时：</w:t>
      </w:r>
    </w:p>
    <w:p w14:paraId="0C61FE57">
      <w:pPr>
        <w:adjustRightInd w:val="0"/>
        <w:snapToGrid w:val="0"/>
        <w:spacing w:line="360" w:lineRule="auto"/>
        <w:ind w:firstLine="480" w:firstLineChars="200"/>
        <w:jc w:val="center"/>
        <w:rPr>
          <w:rFonts w:hint="eastAsia" w:ascii="宋体" w:hAnsi="宋体" w:cs="宋体"/>
          <w:color w:val="0000FF"/>
          <w:sz w:val="24"/>
          <w:szCs w:val="24"/>
          <w:u w:val="single"/>
        </w:rPr>
      </w:pPr>
      <w:r>
        <w:rPr>
          <w:rFonts w:hint="eastAsia" w:ascii="宋体" w:hAnsi="宋体" w:cs="宋体"/>
          <w:color w:val="0000FF"/>
          <w:sz w:val="24"/>
          <w:szCs w:val="24"/>
          <w:u w:val="single"/>
        </w:rPr>
        <w:t>S=1.15Q</w:t>
      </w:r>
      <w:r>
        <w:rPr>
          <w:rFonts w:hint="eastAsia" w:ascii="宋体" w:hAnsi="宋体" w:cs="宋体"/>
          <w:color w:val="0000FF"/>
          <w:sz w:val="16"/>
          <w:szCs w:val="24"/>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0</w:t>
      </w:r>
      <w:r>
        <w:rPr>
          <w:rFonts w:hint="eastAsia" w:ascii="宋体" w:hAnsi="宋体" w:cs="宋体"/>
          <w:color w:val="0000FF"/>
          <w:sz w:val="24"/>
          <w:szCs w:val="24"/>
          <w:u w:val="single"/>
        </w:rPr>
        <w:t>+（Q</w:t>
      </w:r>
      <w:r>
        <w:rPr>
          <w:rFonts w:hint="eastAsia" w:ascii="宋体" w:hAnsi="宋体" w:cs="宋体"/>
          <w:color w:val="0000FF"/>
          <w:sz w:val="16"/>
          <w:szCs w:val="16"/>
          <w:u w:val="single"/>
        </w:rPr>
        <w:t>1</w:t>
      </w:r>
      <w:r>
        <w:rPr>
          <w:rFonts w:hint="eastAsia" w:ascii="宋体" w:hAnsi="宋体" w:cs="宋体"/>
          <w:color w:val="0000FF"/>
          <w:sz w:val="24"/>
          <w:szCs w:val="24"/>
          <w:u w:val="single"/>
        </w:rPr>
        <w:t>-1.15Q</w:t>
      </w:r>
      <w:r>
        <w:rPr>
          <w:rFonts w:hint="eastAsia" w:ascii="宋体" w:hAnsi="宋体" w:cs="宋体"/>
          <w:color w:val="0000FF"/>
          <w:sz w:val="16"/>
          <w:szCs w:val="16"/>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1</w:t>
      </w:r>
    </w:p>
    <w:p w14:paraId="5F57AB5A">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(2)当Q</w:t>
      </w:r>
      <w:r>
        <w:rPr>
          <w:rFonts w:hint="eastAsia" w:ascii="宋体" w:hAnsi="宋体" w:cs="宋体"/>
          <w:color w:val="0000FF"/>
          <w:sz w:val="18"/>
          <w:szCs w:val="24"/>
          <w:u w:val="single"/>
        </w:rPr>
        <w:t>1</w:t>
      </w:r>
      <w:r>
        <w:rPr>
          <w:rFonts w:hint="eastAsia" w:ascii="宋体" w:hAnsi="宋体" w:cs="宋体"/>
          <w:color w:val="0000FF"/>
          <w:sz w:val="24"/>
          <w:szCs w:val="24"/>
          <w:u w:val="single"/>
        </w:rPr>
        <w:t>﹤0.85 Q</w:t>
      </w:r>
      <w:r>
        <w:rPr>
          <w:rFonts w:hint="eastAsia" w:ascii="宋体" w:hAnsi="宋体" w:cs="宋体"/>
          <w:color w:val="0000FF"/>
          <w:sz w:val="16"/>
          <w:szCs w:val="24"/>
          <w:u w:val="single"/>
        </w:rPr>
        <w:t>0</w:t>
      </w:r>
      <w:r>
        <w:rPr>
          <w:rFonts w:hint="eastAsia" w:ascii="宋体" w:hAnsi="宋体" w:cs="宋体"/>
          <w:color w:val="0000FF"/>
          <w:sz w:val="24"/>
          <w:szCs w:val="24"/>
          <w:u w:val="single"/>
        </w:rPr>
        <w:t>时：</w:t>
      </w:r>
    </w:p>
    <w:p w14:paraId="67A49A63">
      <w:pPr>
        <w:adjustRightInd w:val="0"/>
        <w:snapToGrid w:val="0"/>
        <w:spacing w:line="360" w:lineRule="auto"/>
        <w:ind w:firstLine="480" w:firstLineChars="200"/>
        <w:jc w:val="center"/>
        <w:rPr>
          <w:rFonts w:hint="eastAsia" w:ascii="宋体" w:hAnsi="宋体" w:cs="宋体"/>
          <w:color w:val="0000FF"/>
          <w:sz w:val="24"/>
          <w:szCs w:val="24"/>
          <w:u w:val="single"/>
        </w:rPr>
      </w:pPr>
      <w:r>
        <w:rPr>
          <w:rFonts w:hint="eastAsia" w:ascii="宋体" w:hAnsi="宋体" w:cs="宋体"/>
          <w:color w:val="0000FF"/>
          <w:sz w:val="24"/>
          <w:szCs w:val="24"/>
          <w:u w:val="single"/>
        </w:rPr>
        <w:t>S= Q</w:t>
      </w:r>
      <w:r>
        <w:rPr>
          <w:rFonts w:hint="eastAsia" w:ascii="宋体" w:hAnsi="宋体" w:cs="宋体"/>
          <w:color w:val="0000FF"/>
          <w:sz w:val="18"/>
          <w:szCs w:val="24"/>
          <w:u w:val="single"/>
        </w:rPr>
        <w:t>1</w:t>
      </w:r>
      <w:r>
        <w:rPr>
          <w:rFonts w:hint="eastAsia" w:ascii="宋体" w:hAnsi="宋体" w:cs="宋体"/>
          <w:color w:val="0000FF"/>
          <w:sz w:val="24"/>
          <w:szCs w:val="24"/>
          <w:u w:val="single"/>
        </w:rPr>
        <w:t>×P</w:t>
      </w:r>
      <w:r>
        <w:rPr>
          <w:rFonts w:hint="eastAsia" w:ascii="宋体" w:hAnsi="宋体" w:cs="宋体"/>
          <w:color w:val="0000FF"/>
          <w:sz w:val="16"/>
          <w:szCs w:val="16"/>
          <w:u w:val="single"/>
        </w:rPr>
        <w:t>1</w:t>
      </w:r>
    </w:p>
    <w:p w14:paraId="43D0FFB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式中S——调整后的某一分部分项工程费结算价；</w:t>
      </w:r>
    </w:p>
    <w:p w14:paraId="62FEC6BB">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Q</w:t>
      </w:r>
      <w:r>
        <w:rPr>
          <w:rFonts w:hint="eastAsia" w:ascii="宋体" w:hAnsi="宋体" w:cs="宋体"/>
          <w:color w:val="0000FF"/>
          <w:sz w:val="16"/>
          <w:szCs w:val="16"/>
          <w:u w:val="single"/>
        </w:rPr>
        <w:t>1</w:t>
      </w:r>
      <w:r>
        <w:rPr>
          <w:rFonts w:hint="eastAsia" w:ascii="宋体" w:hAnsi="宋体" w:cs="宋体"/>
          <w:color w:val="0000FF"/>
          <w:sz w:val="24"/>
          <w:szCs w:val="24"/>
          <w:u w:val="single"/>
        </w:rPr>
        <w:t>——最终完成的工程量；</w:t>
      </w:r>
    </w:p>
    <w:p w14:paraId="492889F4">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Q</w:t>
      </w:r>
      <w:r>
        <w:rPr>
          <w:rFonts w:hint="eastAsia" w:ascii="宋体" w:hAnsi="宋体" w:cs="宋体"/>
          <w:color w:val="0000FF"/>
          <w:sz w:val="16"/>
          <w:szCs w:val="16"/>
          <w:u w:val="single"/>
        </w:rPr>
        <w:t>0</w:t>
      </w:r>
      <w:r>
        <w:rPr>
          <w:rFonts w:hint="eastAsia" w:ascii="宋体" w:hAnsi="宋体" w:cs="宋体"/>
          <w:color w:val="0000FF"/>
          <w:sz w:val="24"/>
          <w:szCs w:val="24"/>
          <w:u w:val="single"/>
        </w:rPr>
        <w:t>——招标工程量清单中列出的工程量；</w:t>
      </w:r>
    </w:p>
    <w:p w14:paraId="50EFA79C">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1</w:t>
      </w:r>
      <w:r>
        <w:rPr>
          <w:rFonts w:hint="eastAsia" w:ascii="宋体" w:hAnsi="宋体" w:cs="宋体"/>
          <w:color w:val="0000FF"/>
          <w:sz w:val="24"/>
          <w:szCs w:val="24"/>
          <w:u w:val="single"/>
        </w:rPr>
        <w:t>——按照最终完成工程量重新调整后的综合单价；</w:t>
      </w:r>
    </w:p>
    <w:p w14:paraId="4553331C">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0</w:t>
      </w:r>
      <w:r>
        <w:rPr>
          <w:rFonts w:hint="eastAsia" w:ascii="宋体" w:hAnsi="宋体" w:cs="宋体"/>
          <w:color w:val="0000FF"/>
          <w:sz w:val="24"/>
          <w:szCs w:val="24"/>
          <w:u w:val="single"/>
        </w:rPr>
        <w:t>——承包人在工程量清单中填报的综合单价。</w:t>
      </w:r>
    </w:p>
    <w:p w14:paraId="36E0CD58">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1</w:t>
      </w:r>
      <w:r>
        <w:rPr>
          <w:rFonts w:hint="eastAsia" w:ascii="宋体" w:hAnsi="宋体" w:cs="宋体"/>
          <w:color w:val="0000FF"/>
          <w:sz w:val="24"/>
          <w:szCs w:val="24"/>
          <w:u w:val="single"/>
        </w:rPr>
        <w:t xml:space="preserve">的确定方式： </w:t>
      </w:r>
    </w:p>
    <w:p w14:paraId="5D652E16">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(1)当Q</w:t>
      </w:r>
      <w:r>
        <w:rPr>
          <w:rFonts w:hint="eastAsia" w:ascii="宋体" w:hAnsi="宋体" w:cs="宋体"/>
          <w:color w:val="0000FF"/>
          <w:sz w:val="16"/>
          <w:szCs w:val="16"/>
          <w:u w:val="single"/>
        </w:rPr>
        <w:t>1</w:t>
      </w:r>
      <w:r>
        <w:rPr>
          <w:rFonts w:hint="eastAsia" w:ascii="宋体" w:hAnsi="宋体" w:cs="宋体"/>
          <w:color w:val="0000FF"/>
          <w:sz w:val="24"/>
          <w:szCs w:val="24"/>
          <w:u w:val="single"/>
        </w:rPr>
        <w:t>﹥1.15Q</w:t>
      </w:r>
      <w:r>
        <w:rPr>
          <w:rFonts w:hint="eastAsia" w:ascii="宋体" w:hAnsi="宋体" w:cs="宋体"/>
          <w:color w:val="0000FF"/>
          <w:sz w:val="16"/>
          <w:szCs w:val="16"/>
          <w:u w:val="single"/>
        </w:rPr>
        <w:t>0</w:t>
      </w:r>
      <w:r>
        <w:rPr>
          <w:rFonts w:hint="eastAsia" w:ascii="宋体" w:hAnsi="宋体" w:cs="宋体"/>
          <w:color w:val="0000FF"/>
          <w:sz w:val="24"/>
          <w:szCs w:val="24"/>
          <w:u w:val="single"/>
        </w:rPr>
        <w:t>时，若P</w:t>
      </w:r>
      <w:r>
        <w:rPr>
          <w:rFonts w:hint="eastAsia" w:ascii="宋体" w:hAnsi="宋体" w:cs="宋体"/>
          <w:color w:val="0000FF"/>
          <w:sz w:val="16"/>
          <w:szCs w:val="16"/>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2</w:t>
      </w:r>
      <w:r>
        <w:rPr>
          <w:rFonts w:hint="eastAsia" w:ascii="宋体" w:hAnsi="宋体" w:cs="宋体"/>
          <w:color w:val="0000FF"/>
          <w:sz w:val="24"/>
          <w:szCs w:val="24"/>
          <w:u w:val="single"/>
        </w:rPr>
        <w:t>×（1+15%），该类项目的综合单价：</w:t>
      </w:r>
    </w:p>
    <w:p w14:paraId="11F994F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1</w:t>
      </w:r>
      <w:r>
        <w:rPr>
          <w:rFonts w:hint="eastAsia" w:ascii="宋体" w:hAnsi="宋体" w:cs="宋体"/>
          <w:color w:val="0000FF"/>
          <w:sz w:val="24"/>
          <w:szCs w:val="24"/>
          <w:u w:val="single"/>
        </w:rPr>
        <w:t>按照P</w:t>
      </w:r>
      <w:r>
        <w:rPr>
          <w:rFonts w:hint="eastAsia" w:ascii="宋体" w:hAnsi="宋体" w:cs="宋体"/>
          <w:color w:val="0000FF"/>
          <w:sz w:val="16"/>
          <w:szCs w:val="16"/>
          <w:u w:val="single"/>
        </w:rPr>
        <w:t>2</w:t>
      </w:r>
      <w:r>
        <w:rPr>
          <w:rFonts w:hint="eastAsia" w:ascii="宋体" w:hAnsi="宋体" w:cs="宋体"/>
          <w:color w:val="0000FF"/>
          <w:sz w:val="24"/>
          <w:szCs w:val="24"/>
          <w:u w:val="single"/>
        </w:rPr>
        <w:t>×（1+15%）调整</w:t>
      </w:r>
    </w:p>
    <w:p w14:paraId="1B017AD2">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若P</w:t>
      </w:r>
      <w:r>
        <w:rPr>
          <w:rFonts w:hint="eastAsia" w:ascii="宋体" w:hAnsi="宋体" w:cs="宋体"/>
          <w:color w:val="0000FF"/>
          <w:sz w:val="16"/>
          <w:szCs w:val="16"/>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2</w:t>
      </w:r>
      <w:r>
        <w:rPr>
          <w:rFonts w:hint="eastAsia" w:ascii="宋体" w:hAnsi="宋体" w:cs="宋体"/>
          <w:color w:val="0000FF"/>
          <w:sz w:val="24"/>
          <w:szCs w:val="24"/>
          <w:u w:val="single"/>
        </w:rPr>
        <w:t>×（1+15%），P</w:t>
      </w:r>
      <w:r>
        <w:rPr>
          <w:rFonts w:hint="eastAsia" w:ascii="宋体" w:hAnsi="宋体" w:cs="宋体"/>
          <w:color w:val="0000FF"/>
          <w:sz w:val="16"/>
          <w:szCs w:val="16"/>
          <w:u w:val="single"/>
        </w:rPr>
        <w:t>1</w:t>
      </w:r>
      <w:r>
        <w:rPr>
          <w:rFonts w:hint="eastAsia" w:ascii="宋体" w:hAnsi="宋体" w:cs="宋体"/>
          <w:color w:val="0000FF"/>
          <w:sz w:val="24"/>
          <w:szCs w:val="24"/>
          <w:u w:val="single"/>
        </w:rPr>
        <w:t>＝P</w:t>
      </w:r>
      <w:r>
        <w:rPr>
          <w:rFonts w:hint="eastAsia" w:ascii="宋体" w:hAnsi="宋体" w:cs="宋体"/>
          <w:color w:val="0000FF"/>
          <w:sz w:val="16"/>
          <w:szCs w:val="16"/>
          <w:u w:val="single"/>
        </w:rPr>
        <w:t>0</w:t>
      </w:r>
    </w:p>
    <w:p w14:paraId="14298750">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(2) 当Q</w:t>
      </w:r>
      <w:r>
        <w:rPr>
          <w:rFonts w:hint="eastAsia" w:ascii="宋体" w:hAnsi="宋体" w:cs="宋体"/>
          <w:color w:val="0000FF"/>
          <w:sz w:val="16"/>
          <w:szCs w:val="16"/>
          <w:u w:val="single"/>
        </w:rPr>
        <w:t>1</w:t>
      </w:r>
      <w:r>
        <w:rPr>
          <w:rFonts w:hint="eastAsia" w:ascii="宋体" w:hAnsi="宋体" w:cs="宋体"/>
          <w:color w:val="0000FF"/>
          <w:sz w:val="24"/>
          <w:szCs w:val="24"/>
          <w:u w:val="single"/>
        </w:rPr>
        <w:t>＜0.85Q</w:t>
      </w:r>
      <w:r>
        <w:rPr>
          <w:rFonts w:hint="eastAsia" w:ascii="宋体" w:hAnsi="宋体" w:cs="宋体"/>
          <w:color w:val="0000FF"/>
          <w:sz w:val="16"/>
          <w:szCs w:val="16"/>
          <w:u w:val="single"/>
        </w:rPr>
        <w:t>0</w:t>
      </w:r>
      <w:r>
        <w:rPr>
          <w:rFonts w:hint="eastAsia" w:ascii="宋体" w:hAnsi="宋体" w:cs="宋体"/>
          <w:color w:val="0000FF"/>
          <w:sz w:val="24"/>
          <w:szCs w:val="24"/>
          <w:u w:val="single"/>
        </w:rPr>
        <w:t>时，若P</w:t>
      </w:r>
      <w:r>
        <w:rPr>
          <w:rFonts w:hint="eastAsia" w:ascii="宋体" w:hAnsi="宋体" w:cs="宋体"/>
          <w:color w:val="0000FF"/>
          <w:sz w:val="16"/>
          <w:szCs w:val="16"/>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2</w:t>
      </w:r>
      <w:r>
        <w:rPr>
          <w:rFonts w:hint="eastAsia" w:ascii="宋体" w:hAnsi="宋体" w:cs="宋体"/>
          <w:color w:val="0000FF"/>
          <w:sz w:val="24"/>
          <w:szCs w:val="24"/>
          <w:u w:val="single"/>
        </w:rPr>
        <w:t>×（1-L）×（1-15%），该类项目的综合单价:</w:t>
      </w:r>
    </w:p>
    <w:p w14:paraId="049876D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1</w:t>
      </w:r>
      <w:r>
        <w:rPr>
          <w:rFonts w:hint="eastAsia" w:ascii="宋体" w:hAnsi="宋体" w:cs="宋体"/>
          <w:color w:val="0000FF"/>
          <w:sz w:val="24"/>
          <w:szCs w:val="24"/>
          <w:u w:val="single"/>
        </w:rPr>
        <w:t>按照P</w:t>
      </w:r>
      <w:r>
        <w:rPr>
          <w:rFonts w:hint="eastAsia" w:ascii="宋体" w:hAnsi="宋体" w:cs="宋体"/>
          <w:color w:val="0000FF"/>
          <w:sz w:val="16"/>
          <w:szCs w:val="16"/>
          <w:u w:val="single"/>
        </w:rPr>
        <w:t>2</w:t>
      </w:r>
      <w:r>
        <w:rPr>
          <w:rFonts w:hint="eastAsia" w:ascii="宋体" w:hAnsi="宋体" w:cs="宋体"/>
          <w:color w:val="0000FF"/>
          <w:sz w:val="24"/>
          <w:szCs w:val="24"/>
          <w:u w:val="single"/>
        </w:rPr>
        <w:t>×（1-L）×（1-15%）调整</w:t>
      </w:r>
    </w:p>
    <w:p w14:paraId="7D5E1F12">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若P</w:t>
      </w:r>
      <w:r>
        <w:rPr>
          <w:rFonts w:hint="eastAsia" w:ascii="宋体" w:hAnsi="宋体" w:cs="宋体"/>
          <w:color w:val="0000FF"/>
          <w:sz w:val="16"/>
          <w:szCs w:val="16"/>
          <w:u w:val="single"/>
        </w:rPr>
        <w:t>0</w:t>
      </w:r>
      <w:r>
        <w:rPr>
          <w:rFonts w:hint="eastAsia" w:ascii="宋体" w:hAnsi="宋体" w:cs="宋体"/>
          <w:color w:val="0000FF"/>
          <w:sz w:val="24"/>
          <w:szCs w:val="24"/>
          <w:u w:val="single"/>
        </w:rPr>
        <w:t>≥P</w:t>
      </w:r>
      <w:r>
        <w:rPr>
          <w:rFonts w:hint="eastAsia" w:ascii="宋体" w:hAnsi="宋体" w:cs="宋体"/>
          <w:color w:val="0000FF"/>
          <w:sz w:val="16"/>
          <w:szCs w:val="16"/>
          <w:u w:val="single"/>
        </w:rPr>
        <w:t>2</w:t>
      </w:r>
      <w:r>
        <w:rPr>
          <w:rFonts w:hint="eastAsia" w:ascii="宋体" w:hAnsi="宋体" w:cs="宋体"/>
          <w:color w:val="0000FF"/>
          <w:sz w:val="24"/>
          <w:szCs w:val="24"/>
          <w:u w:val="single"/>
        </w:rPr>
        <w:t>×（1-L）×（1-15%），P1＝P0</w:t>
      </w:r>
    </w:p>
    <w:p w14:paraId="637E838D">
      <w:pPr>
        <w:adjustRightInd w:val="0"/>
        <w:snapToGrid w:val="0"/>
        <w:spacing w:line="360" w:lineRule="auto"/>
        <w:jc w:val="left"/>
        <w:rPr>
          <w:rFonts w:hint="eastAsia" w:ascii="宋体" w:hAnsi="宋体" w:cs="宋体"/>
          <w:color w:val="0000FF"/>
          <w:sz w:val="24"/>
          <w:szCs w:val="24"/>
          <w:u w:val="single"/>
        </w:rPr>
      </w:pPr>
      <w:r>
        <w:rPr>
          <w:rFonts w:hint="eastAsia" w:ascii="宋体" w:hAnsi="宋体" w:cs="宋体"/>
          <w:color w:val="0000FF"/>
          <w:sz w:val="24"/>
          <w:szCs w:val="24"/>
          <w:u w:val="single"/>
        </w:rPr>
        <w:t>式中：P</w:t>
      </w:r>
      <w:r>
        <w:rPr>
          <w:rFonts w:hint="eastAsia" w:ascii="宋体" w:hAnsi="宋体" w:cs="宋体"/>
          <w:color w:val="0000FF"/>
          <w:sz w:val="16"/>
          <w:szCs w:val="16"/>
          <w:u w:val="single"/>
        </w:rPr>
        <w:t>0</w:t>
      </w:r>
      <w:r>
        <w:rPr>
          <w:rFonts w:hint="eastAsia" w:ascii="宋体" w:hAnsi="宋体" w:cs="宋体"/>
          <w:color w:val="0000FF"/>
          <w:sz w:val="24"/>
          <w:szCs w:val="24"/>
          <w:u w:val="single"/>
        </w:rPr>
        <w:t>——承包人在工程量清单中填报的综合单价；</w:t>
      </w:r>
    </w:p>
    <w:p w14:paraId="42DAAD0D">
      <w:pPr>
        <w:adjustRightInd w:val="0"/>
        <w:snapToGrid w:val="0"/>
        <w:spacing w:line="360" w:lineRule="auto"/>
        <w:ind w:firstLine="720" w:firstLineChars="300"/>
        <w:jc w:val="left"/>
        <w:rPr>
          <w:rFonts w:hint="eastAsia" w:ascii="宋体" w:hAnsi="宋体" w:cs="宋体"/>
          <w:color w:val="0000FF"/>
          <w:sz w:val="24"/>
          <w:szCs w:val="24"/>
          <w:u w:val="single"/>
        </w:rPr>
      </w:pPr>
      <w:r>
        <w:rPr>
          <w:rFonts w:hint="eastAsia" w:ascii="宋体" w:hAnsi="宋体" w:cs="宋体"/>
          <w:color w:val="0000FF"/>
          <w:sz w:val="24"/>
          <w:szCs w:val="24"/>
          <w:u w:val="single"/>
        </w:rPr>
        <w:t>P</w:t>
      </w:r>
      <w:r>
        <w:rPr>
          <w:rFonts w:hint="eastAsia" w:ascii="宋体" w:hAnsi="宋体" w:cs="宋体"/>
          <w:color w:val="0000FF"/>
          <w:sz w:val="16"/>
          <w:szCs w:val="16"/>
          <w:u w:val="single"/>
        </w:rPr>
        <w:t>2</w:t>
      </w:r>
      <w:r>
        <w:rPr>
          <w:rFonts w:hint="eastAsia" w:ascii="宋体" w:hAnsi="宋体" w:cs="宋体"/>
          <w:color w:val="0000FF"/>
          <w:sz w:val="24"/>
          <w:szCs w:val="24"/>
          <w:u w:val="single"/>
        </w:rPr>
        <w:t>——发包人招标控制价相应项目的综合单价；</w:t>
      </w:r>
    </w:p>
    <w:p w14:paraId="5192C577">
      <w:pPr>
        <w:adjustRightInd w:val="0"/>
        <w:snapToGrid w:val="0"/>
        <w:spacing w:line="360" w:lineRule="auto"/>
        <w:ind w:firstLine="720" w:firstLineChars="300"/>
        <w:jc w:val="left"/>
        <w:rPr>
          <w:rFonts w:hint="eastAsia" w:ascii="宋体" w:hAnsi="宋体" w:cs="宋体"/>
          <w:color w:val="0000FF"/>
          <w:sz w:val="24"/>
          <w:szCs w:val="24"/>
          <w:u w:val="single"/>
        </w:rPr>
      </w:pPr>
      <w:r>
        <w:rPr>
          <w:rFonts w:hint="eastAsia" w:ascii="宋体" w:hAnsi="宋体" w:cs="宋体"/>
          <w:color w:val="0000FF"/>
          <w:sz w:val="24"/>
          <w:szCs w:val="24"/>
          <w:u w:val="single"/>
        </w:rPr>
        <w:t>L——承包人报价浮动率。</w:t>
      </w:r>
    </w:p>
    <w:p w14:paraId="6FE2A522">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6）工程变更引起施工方案改变并使措施项目发生变化时，承包人提出调整措施项目费的，应事先将拟实施的方案提交发包人确认，并应详细说明与原方案措施项目相比的变化情况，拟实施的方案经发承包双方确认后执行，并应按照下列规定调整措施项目费：</w:t>
      </w:r>
    </w:p>
    <w:p w14:paraId="6A134EC7">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①安全文明施工费应按照实际发生变化的措施项目按照国家或省级、行业建设主管部门的规定计价。</w:t>
      </w:r>
    </w:p>
    <w:p w14:paraId="33FEBF31">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②采用单价计算的措施项目费，应按照实际发生变化的措施项目，按10.4.1.（1）条、10.4.1.（2）条、10.4.1.（3）条、10.4.1.（4）条的规定确定单价。</w:t>
      </w:r>
    </w:p>
    <w:p w14:paraId="0032ABB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③按总价（或系数）计算的措施项目费，按照实际发生变化的措施项目调整，但应考虑承包人报价浮动因素，即调整金额按照实际调整金额乘以承包人中标报价浮动率计算。</w:t>
      </w:r>
    </w:p>
    <w:p w14:paraId="2A30828D">
      <w:p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如果承包人未事先将拟实施的方案提交给发包人审批，则应视为工程变更不引起措施项目费的调整或承包人放弃调整措施项目费的权利。</w:t>
      </w:r>
    </w:p>
    <w:p w14:paraId="26C94493">
      <w:pPr>
        <w:numPr>
          <w:ilvl w:val="0"/>
          <w:numId w:val="7"/>
        </w:numPr>
        <w:adjustRightInd w:val="0"/>
        <w:snapToGrid w:val="0"/>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当工程量出现</w:t>
      </w:r>
      <w:r>
        <w:rPr>
          <w:rFonts w:hint="eastAsia" w:ascii="宋体" w:hAnsi="宋体" w:cs="宋体"/>
          <w:color w:val="0000FF"/>
          <w:sz w:val="24"/>
          <w:szCs w:val="24"/>
          <w:u w:val="single"/>
          <w:lang w:val="en-US" w:eastAsia="zh-CN"/>
        </w:rPr>
        <w:t>13</w:t>
      </w:r>
      <w:r>
        <w:rPr>
          <w:rFonts w:hint="eastAsia" w:ascii="宋体" w:hAnsi="宋体" w:cs="宋体"/>
          <w:color w:val="0000FF"/>
          <w:sz w:val="24"/>
          <w:szCs w:val="24"/>
          <w:u w:val="single"/>
        </w:rPr>
        <w:t>.</w:t>
      </w:r>
      <w:r>
        <w:rPr>
          <w:rFonts w:hint="eastAsia" w:ascii="宋体" w:hAnsi="宋体" w:cs="宋体"/>
          <w:color w:val="0000FF"/>
          <w:sz w:val="24"/>
          <w:szCs w:val="24"/>
          <w:u w:val="single"/>
          <w:lang w:val="en-US" w:eastAsia="zh-CN"/>
        </w:rPr>
        <w:t>5</w:t>
      </w:r>
      <w:r>
        <w:rPr>
          <w:rFonts w:hint="eastAsia" w:ascii="宋体" w:hAnsi="宋体" w:cs="宋体"/>
          <w:color w:val="0000FF"/>
          <w:sz w:val="24"/>
          <w:szCs w:val="24"/>
          <w:u w:val="single"/>
        </w:rPr>
        <w:t>.</w:t>
      </w:r>
      <w:r>
        <w:rPr>
          <w:rFonts w:hint="eastAsia" w:ascii="宋体" w:hAnsi="宋体" w:cs="宋体"/>
          <w:color w:val="0000FF"/>
          <w:sz w:val="24"/>
          <w:szCs w:val="24"/>
          <w:u w:val="single"/>
          <w:lang w:val="en-US" w:eastAsia="zh-CN"/>
        </w:rPr>
        <w:t>4</w:t>
      </w:r>
      <w:r>
        <w:rPr>
          <w:rFonts w:hint="eastAsia" w:ascii="宋体" w:hAnsi="宋体" w:cs="宋体"/>
          <w:color w:val="0000FF"/>
          <w:sz w:val="24"/>
          <w:szCs w:val="24"/>
          <w:u w:val="single"/>
        </w:rPr>
        <w:t>.（5）条的变化，且该变化引起相关措施项目相应发生变化时，按系数或单一总价方式计价的，工程量增加的措施项目费调增，工程量减少的措施项目费调减。</w:t>
      </w:r>
    </w:p>
    <w:p w14:paraId="39BAEADB">
      <w:pPr>
        <w:spacing w:line="360" w:lineRule="auto"/>
        <w:ind w:firstLine="480" w:firstLineChars="200"/>
        <w:rPr>
          <w:rFonts w:hint="eastAsia"/>
        </w:rPr>
      </w:pPr>
      <w:r>
        <w:rPr>
          <w:rFonts w:hint="eastAsia" w:ascii="宋体" w:hAnsi="宋体" w:cs="宋体"/>
          <w:kern w:val="0"/>
          <w:sz w:val="24"/>
          <w:szCs w:val="24"/>
          <w:u w:val="single"/>
        </w:rPr>
        <w:t>（8）收到变更指示后，承包人均应遵照执行，并在规定的期限内提交变更技术资料和变更经济资料，变更技术资料经行业主管部门审查同意后方可施工，变更计价经财政评审后方可作为计价依据。变更程序按照雅府发〔2017〕5号以及施工期间新出台文件规定执行，请承包人自行查阅</w:t>
      </w:r>
      <w:r>
        <w:rPr>
          <w:rFonts w:hint="eastAsia" w:ascii="宋体" w:hAnsi="宋体" w:cs="宋体"/>
          <w:sz w:val="24"/>
          <w:szCs w:val="24"/>
          <w:u w:val="single"/>
        </w:rPr>
        <w:t>。</w:t>
      </w:r>
    </w:p>
    <w:p w14:paraId="637C5E49">
      <w:pPr>
        <w:tabs>
          <w:tab w:val="left" w:pos="3840"/>
        </w:tabs>
        <w:spacing w:after="120" w:line="360" w:lineRule="auto"/>
        <w:ind w:firstLine="240"/>
        <w:jc w:val="left"/>
        <w:rPr>
          <w:rFonts w:hint="eastAsia" w:ascii="宋体" w:hAnsi="宋体" w:cs="宋体"/>
          <w:szCs w:val="21"/>
          <w:lang w:val="zh-TW" w:eastAsia="zh-TW"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09C8620E">
      <w:pPr>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bidi="zh-TW"/>
        </w:rPr>
        <w:t>13.6建议变更</w:t>
      </w:r>
      <w:r>
        <w:rPr>
          <w:rFonts w:hint="eastAsia" w:ascii="宋体" w:hAnsi="宋体" w:cs="宋体"/>
          <w:color w:val="000000"/>
          <w:szCs w:val="21"/>
          <w:lang w:val="zh-TW" w:eastAsia="zh-TW" w:bidi="zh-TW"/>
        </w:rPr>
        <w:t>的利益分享</w:t>
      </w:r>
    </w:p>
    <w:p w14:paraId="5EB80A7A">
      <w:pPr>
        <w:tabs>
          <w:tab w:val="left" w:pos="3850"/>
        </w:tabs>
        <w:spacing w:after="160" w:line="360" w:lineRule="auto"/>
        <w:ind w:firstLine="240"/>
        <w:jc w:val="left"/>
        <w:rPr>
          <w:rFonts w:hint="eastAsia" w:ascii="宋体" w:hAnsi="宋体" w:cs="宋体"/>
          <w:szCs w:val="21"/>
          <w:u w:val="single"/>
          <w:lang w:val="zh-TW" w:bidi="zh-TW"/>
        </w:rPr>
      </w:pPr>
      <w:r>
        <w:rPr>
          <w:rFonts w:hint="eastAsia" w:ascii="宋体" w:hAnsi="宋体" w:cs="宋体"/>
          <w:color w:val="000000"/>
          <w:szCs w:val="21"/>
          <w:lang w:val="zh-TW" w:eastAsia="zh-TW" w:bidi="zh-TW"/>
        </w:rPr>
        <w:t>建议变更的利益分享的约定：</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1B372368">
      <w:pPr>
        <w:spacing w:line="360" w:lineRule="auto"/>
        <w:ind w:firstLine="420" w:firstLineChars="200"/>
        <w:jc w:val="left"/>
        <w:rPr>
          <w:rFonts w:hint="eastAsia" w:ascii="宋体" w:hAnsi="宋体" w:cs="宋体"/>
          <w:color w:val="000000"/>
          <w:sz w:val="24"/>
          <w:szCs w:val="24"/>
        </w:rPr>
      </w:pPr>
      <w:r>
        <w:rPr>
          <w:rFonts w:hint="eastAsia" w:ascii="宋体" w:hAnsi="宋体" w:cs="宋体"/>
          <w:color w:val="000000"/>
          <w:szCs w:val="21"/>
          <w:lang w:bidi="zh-TW"/>
        </w:rPr>
        <w:t>13.7价格调整：</w:t>
      </w:r>
      <w:r>
        <w:rPr>
          <w:rFonts w:hint="eastAsia" w:ascii="宋体" w:hAnsi="宋体" w:cs="宋体"/>
          <w:color w:val="000000"/>
          <w:kern w:val="0"/>
          <w:sz w:val="24"/>
          <w:szCs w:val="24"/>
        </w:rPr>
        <w:t>市场价格波动是否调整合同价格的约定：</w:t>
      </w:r>
      <w:r>
        <w:rPr>
          <w:rFonts w:hint="eastAsia" w:ascii="宋体" w:hAnsi="宋体" w:cs="宋体"/>
          <w:color w:val="0000FF"/>
          <w:sz w:val="24"/>
          <w:szCs w:val="24"/>
          <w:u w:val="single"/>
        </w:rPr>
        <w:t xml:space="preserve">调整  </w:t>
      </w:r>
      <w:r>
        <w:rPr>
          <w:rFonts w:hint="eastAsia" w:ascii="宋体" w:hAnsi="宋体" w:cs="宋体"/>
          <w:sz w:val="24"/>
          <w:szCs w:val="24"/>
        </w:rPr>
        <w:t>。</w:t>
      </w:r>
    </w:p>
    <w:p w14:paraId="17ADEC58">
      <w:pPr>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因市场价格波动调整合同价格，采用以下第  2  种方式对合同价格进行调整：</w:t>
      </w:r>
    </w:p>
    <w:p w14:paraId="2CDB8A8D">
      <w:pPr>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第1种方式：采用价格指数进行价格调整。</w:t>
      </w:r>
    </w:p>
    <w:p w14:paraId="4F5C80A7">
      <w:pPr>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 xml:space="preserve">关于各可调因子、定值和变值权重，以及基本价格指数及其来源的约定：             /                 ；  </w:t>
      </w:r>
    </w:p>
    <w:p w14:paraId="5E2784F9">
      <w:pPr>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第2种方式：采用造价信息进行价格调整。</w:t>
      </w:r>
    </w:p>
    <w:p w14:paraId="22FF740A">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（2）关于基准价格的约定：</w:t>
      </w:r>
      <w:r>
        <w:rPr>
          <w:rFonts w:hint="eastAsia" w:ascii="宋体" w:hAnsi="宋体" w:cs="宋体"/>
          <w:color w:val="0000FF"/>
          <w:sz w:val="24"/>
          <w:szCs w:val="24"/>
          <w:u w:val="single"/>
        </w:rPr>
        <w:t>采用造价信息调整价格差额。施工期间当市场价格波动幅度超过合同约定的风险幅度值时，可调价材料的价格进行调整。风险幅度值为5%，可调材料范围：水泥、砂石、钢筋、砖、商品混凝土、预拌砂浆、沥青混凝土。</w:t>
      </w:r>
      <w:r>
        <w:rPr>
          <w:rFonts w:hint="eastAsia" w:ascii="宋体" w:hAnsi="宋体" w:cs="宋体"/>
          <w:color w:val="0000FF"/>
          <w:sz w:val="24"/>
          <w:szCs w:val="24"/>
          <w:u w:val="single"/>
        </w:rPr>
        <w:cr/>
      </w:r>
      <w:r>
        <w:rPr>
          <w:rFonts w:hint="eastAsia" w:ascii="宋体" w:hAnsi="宋体" w:cs="宋体"/>
          <w:color w:val="0000FF"/>
          <w:sz w:val="24"/>
          <w:szCs w:val="24"/>
          <w:u w:val="single"/>
        </w:rPr>
        <w:t>具体调整方法如下：</w:t>
      </w:r>
      <w:r>
        <w:rPr>
          <w:rFonts w:hint="eastAsia" w:ascii="宋体" w:hAnsi="宋体" w:cs="宋体"/>
          <w:color w:val="0000FF"/>
          <w:sz w:val="24"/>
          <w:szCs w:val="24"/>
          <w:u w:val="single"/>
        </w:rPr>
        <w:cr/>
      </w:r>
      <w:r>
        <w:rPr>
          <w:rFonts w:hint="eastAsia" w:ascii="宋体" w:hAnsi="宋体" w:cs="宋体"/>
          <w:color w:val="0000FF"/>
          <w:sz w:val="24"/>
          <w:szCs w:val="24"/>
          <w:u w:val="single"/>
        </w:rPr>
        <w:t>(1)承包人投标报价中材料单价低于基准单价：施工期间材料单价涨幅以基准单价为基础超过合同约定的风险幅度值，或材料单价跌幅以投标报价为基础超过合同约定的风险幅度值时，其超过部分按实调整。</w:t>
      </w:r>
      <w:r>
        <w:rPr>
          <w:rFonts w:hint="eastAsia" w:ascii="宋体" w:hAnsi="宋体" w:cs="宋体"/>
          <w:color w:val="0000FF"/>
          <w:sz w:val="24"/>
          <w:szCs w:val="24"/>
          <w:u w:val="single"/>
        </w:rPr>
        <w:cr/>
      </w:r>
      <w:r>
        <w:rPr>
          <w:rFonts w:hint="eastAsia" w:ascii="宋体" w:hAnsi="宋体" w:cs="宋体"/>
          <w:color w:val="0000FF"/>
          <w:sz w:val="24"/>
          <w:szCs w:val="24"/>
          <w:u w:val="single"/>
        </w:rPr>
        <w:t>(2)承包人投标报价中材料单价高于基准单价：施工期间材料单价跌幅以基准单价为基础超过合同约定的风险幅度值，或材料单价涨幅以投标报价为基础超过合同约定的风险幅度值时，其超过部分按实调整。</w:t>
      </w:r>
      <w:r>
        <w:rPr>
          <w:rFonts w:hint="eastAsia" w:ascii="宋体" w:hAnsi="宋体" w:cs="宋体"/>
          <w:color w:val="0000FF"/>
          <w:sz w:val="24"/>
          <w:szCs w:val="24"/>
          <w:u w:val="single"/>
        </w:rPr>
        <w:cr/>
      </w:r>
      <w:r>
        <w:rPr>
          <w:rFonts w:hint="eastAsia" w:ascii="宋体" w:hAnsi="宋体" w:cs="宋体"/>
          <w:color w:val="0000FF"/>
          <w:sz w:val="24"/>
          <w:szCs w:val="24"/>
          <w:u w:val="single"/>
        </w:rPr>
        <w:t>(3)承包人投标报价中材料单价等于基准单价：施工期间材料单价涨、跌幅以基准单价为基础超过合同约定的风险幅度值时，其超过部分按实调整。</w:t>
      </w:r>
      <w:r>
        <w:rPr>
          <w:rFonts w:hint="eastAsia" w:ascii="宋体" w:hAnsi="宋体" w:cs="宋体"/>
          <w:color w:val="0000FF"/>
          <w:sz w:val="24"/>
          <w:szCs w:val="24"/>
          <w:u w:val="single"/>
        </w:rPr>
        <w:cr/>
      </w:r>
      <w:r>
        <w:rPr>
          <w:rFonts w:hint="eastAsia" w:ascii="宋体" w:hAnsi="宋体" w:cs="宋体"/>
          <w:color w:val="0000FF"/>
          <w:sz w:val="24"/>
          <w:szCs w:val="24"/>
          <w:u w:val="single"/>
        </w:rPr>
        <w:t xml:space="preserve"> (4)承包人应在采购材料前将采购数量和新的材料单价报送发包人核对，确认用于本合同工程时，发包人应确认采购材料的数量和单价。发包人在收到承包人报送的确认资料后14日内不予答复的视为已经认可，作为调整合同价款的依据。如果承包人未经发包人核对即自行采购材料，再报发包人确认调整合同价款的，如发包人不同意，则不作调整</w:t>
      </w:r>
      <w:r>
        <w:rPr>
          <w:rFonts w:hint="eastAsia" w:ascii="宋体" w:hAnsi="宋体" w:cs="宋体"/>
          <w:sz w:val="24"/>
          <w:szCs w:val="24"/>
        </w:rPr>
        <w:t>。</w:t>
      </w:r>
    </w:p>
    <w:p w14:paraId="4CC6DAE3">
      <w:pPr>
        <w:tabs>
          <w:tab w:val="left" w:pos="3850"/>
        </w:tabs>
        <w:spacing w:after="160" w:line="360" w:lineRule="auto"/>
        <w:ind w:firstLine="240"/>
        <w:jc w:val="left"/>
        <w:rPr>
          <w:rFonts w:hint="eastAsia" w:ascii="宋体" w:hAnsi="宋体" w:cs="宋体"/>
          <w:szCs w:val="21"/>
          <w:lang w:bidi="zh-TW"/>
        </w:rPr>
      </w:pPr>
    </w:p>
    <w:p w14:paraId="59C709B5">
      <w:pPr>
        <w:keepNext/>
        <w:keepLines/>
        <w:spacing w:after="16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14</w:t>
      </w:r>
      <w:r>
        <w:rPr>
          <w:rFonts w:hint="eastAsia" w:ascii="宋体" w:hAnsi="宋体" w:cs="宋体"/>
          <w:color w:val="000000"/>
          <w:szCs w:val="21"/>
          <w:lang w:val="zh-TW" w:eastAsia="zh-TW" w:bidi="zh-TW"/>
        </w:rPr>
        <w:t>条合同总价和付款</w:t>
      </w:r>
    </w:p>
    <w:p w14:paraId="45BD77B5">
      <w:pPr>
        <w:spacing w:after="120" w:line="360" w:lineRule="auto"/>
        <w:ind w:firstLine="240"/>
        <w:jc w:val="left"/>
        <w:rPr>
          <w:rFonts w:hint="eastAsia" w:ascii="宋体" w:hAnsi="宋体" w:cs="宋体"/>
          <w:color w:val="000000"/>
          <w:szCs w:val="21"/>
          <w:lang w:val="zh-TW" w:bidi="zh-TW"/>
        </w:rPr>
      </w:pPr>
      <w:r>
        <w:rPr>
          <w:rFonts w:hint="eastAsia" w:ascii="宋体" w:hAnsi="宋体" w:cs="宋体"/>
          <w:color w:val="000000"/>
          <w:szCs w:val="21"/>
          <w:lang w:bidi="zh-TW"/>
        </w:rPr>
        <w:t>14.1合同</w:t>
      </w:r>
      <w:r>
        <w:rPr>
          <w:rFonts w:hint="eastAsia" w:ascii="宋体" w:hAnsi="宋体" w:cs="宋体"/>
          <w:color w:val="000000"/>
          <w:szCs w:val="21"/>
          <w:lang w:val="zh-TW" w:eastAsia="zh-TW" w:bidi="zh-TW"/>
        </w:rPr>
        <w:t>总价和付款</w:t>
      </w:r>
    </w:p>
    <w:p w14:paraId="1B686578">
      <w:pPr>
        <w:spacing w:line="360" w:lineRule="auto"/>
        <w:ind w:firstLine="480" w:firstLineChars="200"/>
        <w:jc w:val="left"/>
        <w:rPr>
          <w:rFonts w:hint="eastAsia" w:ascii="宋体" w:hAnsi="宋体" w:cs="宋体"/>
          <w:color w:val="0000FF"/>
          <w:sz w:val="24"/>
          <w:szCs w:val="24"/>
          <w:u w:val="single"/>
        </w:rPr>
      </w:pPr>
      <w:r>
        <w:rPr>
          <w:rFonts w:hint="eastAsia" w:ascii="宋体" w:hAnsi="宋体" w:cs="宋体"/>
          <w:color w:val="0000FF"/>
          <w:sz w:val="24"/>
          <w:szCs w:val="24"/>
          <w:u w:val="single"/>
        </w:rPr>
        <w:t>总价</w:t>
      </w:r>
      <w:r>
        <w:rPr>
          <w:rFonts w:hint="eastAsia" w:ascii="宋体" w:hAnsi="宋体" w:cs="宋体"/>
          <w:color w:val="0000FF"/>
          <w:sz w:val="24"/>
          <w:szCs w:val="24"/>
          <w:u w:val="single"/>
          <w:lang w:val="en-US" w:eastAsia="zh-CN"/>
        </w:rPr>
        <w:t>与单价</w:t>
      </w:r>
      <w:r>
        <w:rPr>
          <w:rFonts w:hint="eastAsia" w:ascii="宋体" w:hAnsi="宋体" w:cs="宋体"/>
          <w:color w:val="0000FF"/>
          <w:sz w:val="24"/>
          <w:szCs w:val="24"/>
          <w:u w:val="single"/>
        </w:rPr>
        <w:t>合同。</w:t>
      </w:r>
    </w:p>
    <w:p w14:paraId="745A6C08">
      <w:pPr>
        <w:spacing w:line="360" w:lineRule="auto"/>
        <w:ind w:firstLine="480" w:firstLineChars="200"/>
        <w:jc w:val="left"/>
        <w:rPr>
          <w:rFonts w:ascii="宋体" w:hAnsi="宋体" w:cs="宋体"/>
          <w:color w:val="000000"/>
          <w:sz w:val="24"/>
        </w:rPr>
      </w:pPr>
      <w:r>
        <w:rPr>
          <w:rFonts w:hint="eastAsia" w:ascii="宋体" w:hAnsi="宋体" w:cs="宋体"/>
          <w:color w:val="000000"/>
          <w:sz w:val="24"/>
        </w:rPr>
        <w:t>总价包含的风险范围：</w:t>
      </w:r>
      <w:r>
        <w:rPr>
          <w:rFonts w:hint="eastAsia" w:ascii="宋体" w:hAnsi="宋体" w:cs="宋体"/>
          <w:color w:val="0000FF"/>
          <w:sz w:val="24"/>
          <w:u w:val="single"/>
        </w:rPr>
        <w:t xml:space="preserve"> </w:t>
      </w:r>
      <w:r>
        <w:rPr>
          <w:rFonts w:hint="eastAsia" w:ascii="宋体" w:hAnsi="宋体" w:cs="宋体"/>
          <w:color w:val="000000"/>
          <w:sz w:val="24"/>
          <w:u w:val="single"/>
        </w:rPr>
        <w:t>图纸</w:t>
      </w:r>
      <w:r>
        <w:rPr>
          <w:rFonts w:hint="eastAsia" w:ascii="宋体" w:hAnsi="宋体"/>
          <w:sz w:val="24"/>
          <w:u w:val="single"/>
        </w:rPr>
        <w:t>工程量变化</w:t>
      </w:r>
      <w:r>
        <w:rPr>
          <w:rFonts w:hint="eastAsia" w:ascii="宋体" w:hAnsi="宋体" w:cs="宋体"/>
          <w:sz w:val="24"/>
          <w:u w:val="single"/>
        </w:rPr>
        <w:t>±</w:t>
      </w:r>
      <w:r>
        <w:rPr>
          <w:rFonts w:hint="eastAsia" w:ascii="宋体" w:hAnsi="宋体"/>
          <w:sz w:val="24"/>
          <w:u w:val="single"/>
        </w:rPr>
        <w:t>15%</w:t>
      </w:r>
      <w:r>
        <w:rPr>
          <w:rFonts w:ascii="宋体" w:hAnsi="宋体"/>
          <w:sz w:val="24"/>
        </w:rPr>
        <w:t xml:space="preserve"> </w:t>
      </w:r>
      <w:r>
        <w:rPr>
          <w:rFonts w:hint="eastAsia" w:ascii="宋体" w:hAnsi="宋体" w:cs="宋体"/>
          <w:color w:val="0000FF"/>
          <w:sz w:val="24"/>
        </w:rPr>
        <w:t xml:space="preserve"> </w:t>
      </w:r>
      <w:r>
        <w:rPr>
          <w:rFonts w:hint="eastAsia" w:ascii="宋体" w:hAnsi="宋体" w:cs="宋体"/>
          <w:color w:val="000000"/>
          <w:sz w:val="24"/>
        </w:rPr>
        <w:t>。</w:t>
      </w:r>
    </w:p>
    <w:p w14:paraId="13B66DFE">
      <w:pPr>
        <w:spacing w:line="360" w:lineRule="auto"/>
        <w:ind w:firstLine="480" w:firstLineChars="200"/>
        <w:jc w:val="left"/>
        <w:rPr>
          <w:rFonts w:ascii="宋体" w:hAnsi="宋体" w:cs="宋体"/>
          <w:color w:val="000000"/>
          <w:sz w:val="24"/>
        </w:rPr>
      </w:pPr>
      <w:r>
        <w:rPr>
          <w:rFonts w:hint="eastAsia" w:ascii="宋体" w:hAnsi="宋体" w:cs="宋体"/>
          <w:color w:val="000000"/>
          <w:sz w:val="24"/>
        </w:rPr>
        <w:t>风险费用的计算方法：</w:t>
      </w:r>
      <w:r>
        <w:rPr>
          <w:rFonts w:hint="eastAsia" w:ascii="宋体" w:hAnsi="宋体" w:cs="宋体"/>
          <w:color w:val="0000FF"/>
          <w:sz w:val="24"/>
          <w:u w:val="single"/>
        </w:rPr>
        <w:t xml:space="preserve"> </w:t>
      </w:r>
      <w:r>
        <w:rPr>
          <w:rFonts w:hint="eastAsia" w:ascii="宋体" w:hAnsi="宋体"/>
          <w:sz w:val="24"/>
          <w:u w:val="single"/>
        </w:rPr>
        <w:t>图纸工程量变化</w:t>
      </w:r>
      <w:r>
        <w:rPr>
          <w:rFonts w:hint="eastAsia" w:ascii="宋体" w:hAnsi="宋体" w:cs="宋体"/>
          <w:sz w:val="24"/>
          <w:u w:val="single"/>
        </w:rPr>
        <w:t>≦±</w:t>
      </w:r>
      <w:r>
        <w:rPr>
          <w:rFonts w:hint="eastAsia" w:ascii="宋体" w:hAnsi="宋体"/>
          <w:sz w:val="24"/>
          <w:u w:val="single"/>
        </w:rPr>
        <w:t>15%（含）以内的不调整综合单价，图纸工程量变化&gt;</w:t>
      </w:r>
      <w:r>
        <w:rPr>
          <w:rFonts w:hint="eastAsia" w:ascii="宋体" w:hAnsi="宋体" w:cs="宋体"/>
          <w:sz w:val="24"/>
          <w:u w:val="single"/>
        </w:rPr>
        <w:t>±</w:t>
      </w:r>
      <w:r>
        <w:rPr>
          <w:rFonts w:hint="eastAsia" w:ascii="宋体" w:hAnsi="宋体"/>
          <w:sz w:val="24"/>
          <w:u w:val="single"/>
        </w:rPr>
        <w:t>15%的调整综合单价</w:t>
      </w:r>
      <w:r>
        <w:rPr>
          <w:rFonts w:hint="eastAsia" w:ascii="宋体" w:hAnsi="宋体" w:cs="宋体"/>
          <w:color w:val="0000FF"/>
          <w:sz w:val="24"/>
          <w:u w:val="single"/>
        </w:rPr>
        <w:t xml:space="preserve"> </w:t>
      </w:r>
      <w:r>
        <w:rPr>
          <w:rFonts w:hint="eastAsia" w:ascii="宋体" w:hAnsi="宋体" w:cs="宋体"/>
          <w:color w:val="000000"/>
          <w:sz w:val="24"/>
        </w:rPr>
        <w:t>。</w:t>
      </w:r>
    </w:p>
    <w:p w14:paraId="6468081A">
      <w:pPr>
        <w:spacing w:line="360" w:lineRule="auto"/>
        <w:ind w:firstLine="480" w:firstLineChars="200"/>
        <w:jc w:val="left"/>
        <w:rPr>
          <w:rFonts w:ascii="宋体" w:hAnsi="宋体" w:cs="宋体"/>
          <w:color w:val="000000"/>
          <w:sz w:val="24"/>
        </w:rPr>
      </w:pPr>
      <w:r>
        <w:rPr>
          <w:rFonts w:hint="eastAsia" w:ascii="宋体" w:hAnsi="宋体" w:cs="宋体"/>
          <w:color w:val="000000"/>
          <w:sz w:val="24"/>
        </w:rPr>
        <w:t>风险范围以外合同价格的调整方法：</w:t>
      </w:r>
      <w:r>
        <w:rPr>
          <w:rFonts w:hint="eastAsia" w:ascii="宋体" w:hAnsi="宋体" w:cs="宋体"/>
          <w:color w:val="0000FF"/>
          <w:sz w:val="24"/>
          <w:u w:val="single"/>
        </w:rPr>
        <w:t xml:space="preserve"> </w:t>
      </w:r>
      <w:r>
        <w:rPr>
          <w:rFonts w:hint="eastAsia" w:ascii="宋体" w:hAnsi="宋体"/>
          <w:sz w:val="24"/>
          <w:u w:val="single"/>
        </w:rPr>
        <w:t>图纸工程量变化&gt;</w:t>
      </w:r>
      <w:r>
        <w:rPr>
          <w:rFonts w:hint="eastAsia" w:ascii="宋体" w:hAnsi="宋体" w:cs="宋体"/>
          <w:sz w:val="24"/>
          <w:u w:val="single"/>
        </w:rPr>
        <w:t>±</w:t>
      </w:r>
      <w:r>
        <w:rPr>
          <w:rFonts w:hint="eastAsia" w:ascii="宋体" w:hAnsi="宋体"/>
          <w:sz w:val="24"/>
          <w:u w:val="single"/>
        </w:rPr>
        <w:t>15%的调整综合单价，调整办法见专用合同条款13.5.4</w:t>
      </w:r>
      <w:r>
        <w:rPr>
          <w:rFonts w:hint="eastAsia" w:ascii="宋体" w:hAnsi="宋体"/>
          <w:sz w:val="24"/>
          <w:u w:val="single"/>
          <w:lang w:eastAsia="zh-CN"/>
        </w:rPr>
        <w:t>（</w:t>
      </w:r>
      <w:r>
        <w:rPr>
          <w:rFonts w:hint="eastAsia" w:ascii="宋体" w:hAnsi="宋体"/>
          <w:sz w:val="24"/>
          <w:u w:val="single"/>
          <w:lang w:val="en-US" w:eastAsia="zh-CN"/>
        </w:rPr>
        <w:t>5）</w:t>
      </w:r>
      <w:r>
        <w:rPr>
          <w:rFonts w:hint="eastAsia" w:ascii="宋体" w:hAnsi="宋体"/>
          <w:sz w:val="24"/>
          <w:u w:val="single"/>
        </w:rPr>
        <w:t>约定</w:t>
      </w:r>
      <w:r>
        <w:rPr>
          <w:rFonts w:ascii="宋体" w:hAnsi="宋体"/>
          <w:sz w:val="24"/>
          <w:u w:val="single"/>
        </w:rPr>
        <w:t xml:space="preserve"> </w:t>
      </w:r>
      <w:r>
        <w:rPr>
          <w:rFonts w:hint="eastAsia" w:ascii="宋体" w:hAnsi="宋体" w:cs="宋体"/>
          <w:color w:val="0000FF"/>
          <w:sz w:val="24"/>
          <w:u w:val="single"/>
        </w:rPr>
        <w:t xml:space="preserve"> </w:t>
      </w:r>
      <w:r>
        <w:rPr>
          <w:rFonts w:hint="eastAsia" w:ascii="宋体" w:hAnsi="宋体" w:cs="宋体"/>
          <w:color w:val="000000"/>
          <w:sz w:val="24"/>
        </w:rPr>
        <w:t>。</w:t>
      </w:r>
    </w:p>
    <w:p w14:paraId="3FC8B417">
      <w:pPr>
        <w:spacing w:line="360" w:lineRule="auto"/>
        <w:ind w:firstLine="480" w:firstLineChars="200"/>
        <w:jc w:val="left"/>
        <w:rPr>
          <w:rFonts w:ascii="宋体" w:hAnsi="宋体" w:cs="宋体"/>
          <w:color w:val="000000"/>
          <w:sz w:val="24"/>
        </w:rPr>
      </w:pPr>
      <w:r>
        <w:rPr>
          <w:rFonts w:hint="eastAsia" w:ascii="宋体" w:hAnsi="宋体" w:cs="宋体"/>
          <w:color w:val="000000"/>
          <w:sz w:val="24"/>
        </w:rPr>
        <w:t>3、其他价格方式：</w:t>
      </w:r>
      <w:r>
        <w:rPr>
          <w:rFonts w:hint="eastAsia" w:ascii="宋体" w:hAnsi="宋体" w:cs="宋体"/>
          <w:color w:val="0000FF"/>
          <w:sz w:val="24"/>
          <w:u w:val="single"/>
        </w:rPr>
        <w:t xml:space="preserve">  /  </w:t>
      </w:r>
      <w:r>
        <w:rPr>
          <w:rFonts w:hint="eastAsia" w:ascii="宋体" w:hAnsi="宋体" w:cs="宋体"/>
          <w:color w:val="000000"/>
          <w:sz w:val="24"/>
        </w:rPr>
        <w:t>。</w:t>
      </w:r>
    </w:p>
    <w:p w14:paraId="56689858">
      <w:pPr>
        <w:spacing w:after="120" w:line="360" w:lineRule="auto"/>
        <w:ind w:firstLine="240"/>
        <w:jc w:val="left"/>
        <w:rPr>
          <w:rFonts w:hint="eastAsia" w:ascii="宋体" w:hAnsi="宋体" w:cs="宋体"/>
          <w:szCs w:val="21"/>
          <w:lang w:bidi="zh-TW"/>
        </w:rPr>
      </w:pPr>
    </w:p>
    <w:p w14:paraId="02AFFAB4">
      <w:pPr>
        <w:spacing w:line="360" w:lineRule="auto"/>
        <w:ind w:firstLine="240"/>
        <w:jc w:val="left"/>
        <w:rPr>
          <w:rFonts w:hint="eastAsia" w:ascii="宋体" w:hAnsi="宋体" w:cs="宋体"/>
          <w:b/>
          <w:bCs/>
          <w:szCs w:val="21"/>
        </w:rPr>
      </w:pPr>
      <w:r>
        <w:rPr>
          <w:rFonts w:hint="eastAsia" w:ascii="宋体" w:hAnsi="宋体" w:cs="宋体"/>
          <w:b/>
          <w:bCs/>
          <w:color w:val="000000"/>
          <w:szCs w:val="21"/>
          <w:lang w:bidi="en-US"/>
        </w:rPr>
        <w:t>14.1.2</w:t>
      </w:r>
      <w:r>
        <w:rPr>
          <w:rFonts w:hint="eastAsia" w:ascii="宋体" w:hAnsi="宋体" w:cs="宋体"/>
          <w:color w:val="000000"/>
          <w:szCs w:val="21"/>
          <w:lang w:val="zh-TW" w:eastAsia="zh-TW" w:bidi="zh-TW"/>
        </w:rPr>
        <w:t>付款</w:t>
      </w:r>
    </w:p>
    <w:p w14:paraId="16BCBAE5">
      <w:pPr>
        <w:tabs>
          <w:tab w:val="left" w:pos="3717"/>
        </w:tabs>
        <w:spacing w:after="120" w:line="360" w:lineRule="auto"/>
        <w:ind w:firstLine="280"/>
        <w:jc w:val="left"/>
        <w:rPr>
          <w:rFonts w:hint="eastAsia" w:ascii="宋体" w:hAnsi="宋体" w:cs="宋体"/>
          <w:szCs w:val="21"/>
          <w:lang w:val="zh-TW" w:eastAsia="zh-TW" w:bidi="zh-TW"/>
        </w:rPr>
      </w:pPr>
      <w:r>
        <w:rPr>
          <w:rFonts w:hint="eastAsia" w:ascii="宋体" w:hAnsi="宋体" w:cs="宋体"/>
          <w:b/>
          <w:bCs/>
          <w:color w:val="000000"/>
          <w:szCs w:val="21"/>
          <w:lang w:val="zh-TW" w:eastAsia="zh-TW" w:bidi="zh-TW"/>
        </w:rPr>
        <w:t>(2)</w:t>
      </w:r>
      <w:r>
        <w:rPr>
          <w:rFonts w:hint="eastAsia" w:ascii="宋体" w:hAnsi="宋体" w:cs="宋体"/>
          <w:color w:val="000000"/>
          <w:szCs w:val="21"/>
          <w:lang w:val="zh-TW" w:eastAsia="zh-TW" w:bidi="zh-TW"/>
        </w:rPr>
        <w:t>承包人指定的开户银行及银行账户：</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5E3F9335">
      <w:pPr>
        <w:spacing w:after="180" w:line="360" w:lineRule="auto"/>
        <w:ind w:firstLine="240"/>
        <w:rPr>
          <w:rFonts w:hint="eastAsia" w:ascii="宋体" w:hAnsi="宋体" w:cs="宋体"/>
          <w:color w:val="000000"/>
          <w:szCs w:val="21"/>
          <w:lang w:val="zh-TW" w:eastAsia="zh-TW" w:bidi="zh-TW"/>
        </w:rPr>
      </w:pPr>
      <w:r>
        <w:rPr>
          <w:rFonts w:hint="eastAsia" w:ascii="宋体" w:hAnsi="宋体" w:cs="宋体"/>
          <w:color w:val="000000"/>
          <w:szCs w:val="21"/>
          <w:lang w:bidi="zh-TW"/>
        </w:rPr>
        <w:t>14.2</w:t>
      </w:r>
      <w:r>
        <w:rPr>
          <w:rFonts w:hint="eastAsia" w:ascii="宋体" w:hAnsi="宋体" w:cs="宋体"/>
          <w:color w:val="000000"/>
          <w:szCs w:val="21"/>
          <w:lang w:val="zh-TW" w:eastAsia="zh-TW" w:bidi="zh-TW"/>
        </w:rPr>
        <w:t>担保</w:t>
      </w:r>
    </w:p>
    <w:p w14:paraId="0FD271AB">
      <w:pPr>
        <w:spacing w:line="360" w:lineRule="auto"/>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在以下方式中选择其一，作为双方对履约保函的约定。</w:t>
      </w:r>
    </w:p>
    <w:p w14:paraId="69BC618C">
      <w:pPr>
        <w:spacing w:line="360" w:lineRule="auto"/>
        <w:ind w:firstLine="420" w:firstLineChars="200"/>
        <w:jc w:val="left"/>
        <w:rPr>
          <w:rFonts w:hint="eastAsia" w:ascii="Times New Roman" w:hAnsi="Times New Roman"/>
          <w:color w:val="000000"/>
          <w:szCs w:val="21"/>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承包人不提交履约保函。</w:t>
      </w:r>
    </w:p>
    <w:p w14:paraId="4B3C7B1B">
      <w:pPr>
        <w:spacing w:line="360" w:lineRule="auto"/>
        <w:ind w:firstLine="420" w:firstLineChars="200"/>
        <w:jc w:val="left"/>
        <w:rPr>
          <w:rFonts w:hint="eastAsia" w:ascii="宋体" w:hAnsi="宋体" w:cs="宋体"/>
          <w:color w:val="000000"/>
          <w:sz w:val="24"/>
          <w:szCs w:val="24"/>
        </w:rPr>
      </w:pPr>
      <w:r>
        <w:rPr>
          <w:rFonts w:ascii="Wingdings" w:hAnsi="Wingdings"/>
        </w:rPr>
        <w:sym w:font="Wingdings" w:char="F0FE"/>
      </w:r>
      <w:r>
        <w:rPr>
          <w:rFonts w:hint="eastAsia" w:ascii="Times New Roman" w:hAnsi="Times New Roman"/>
          <w:color w:val="000000"/>
          <w:szCs w:val="21"/>
        </w:rPr>
        <w:t>承包人提交履约保函的格式、金额和时间：</w:t>
      </w:r>
      <w:r>
        <w:rPr>
          <w:rFonts w:hint="eastAsia" w:ascii="Times New Roman" w:hAnsi="Times New Roman"/>
          <w:szCs w:val="21"/>
          <w:u w:val="single"/>
        </w:rPr>
        <w:t xml:space="preserve"> </w:t>
      </w:r>
      <w:r>
        <w:rPr>
          <w:rFonts w:hint="eastAsia" w:ascii="宋体" w:hAnsi="宋体"/>
          <w:sz w:val="24"/>
          <w:szCs w:val="24"/>
          <w:u w:val="single"/>
        </w:rPr>
        <w:t>承包人应在签订合同前提供履约担保形式为：现金或不可撤销的银行保函或不可撤销的保险担保或不可撤销的担保保证（格式参考专用合同附件8，承包人提供非现金履约担保的，担保合同在签订前应提交发包人确认）；履约担保金额：</w:t>
      </w:r>
      <w:r>
        <w:rPr>
          <w:rFonts w:hint="eastAsia" w:ascii="宋体" w:hAnsi="宋体" w:cs="宋体"/>
          <w:color w:val="0000FF"/>
          <w:sz w:val="24"/>
          <w:szCs w:val="24"/>
          <w:u w:val="single"/>
        </w:rPr>
        <w:t>履约担保的金额为本合同中标价的10%</w:t>
      </w:r>
      <w:r>
        <w:rPr>
          <w:rFonts w:hint="eastAsia" w:ascii="宋体" w:hAnsi="宋体"/>
          <w:sz w:val="24"/>
          <w:szCs w:val="24"/>
          <w:u w:val="single"/>
        </w:rPr>
        <w:t>；履约担保期限：同本项目施工期间，即从本合同生效之日起至资产接收部门签署书面接收证书之日止</w:t>
      </w:r>
      <w:r>
        <w:rPr>
          <w:rFonts w:ascii="宋体" w:hAnsi="宋体"/>
          <w:sz w:val="24"/>
          <w:szCs w:val="24"/>
        </w:rPr>
        <w:t>。</w:t>
      </w:r>
    </w:p>
    <w:p w14:paraId="386B1224">
      <w:pPr>
        <w:spacing w:line="360" w:lineRule="auto"/>
        <w:ind w:firstLine="480" w:firstLineChars="200"/>
        <w:rPr>
          <w:rFonts w:hint="eastAsia" w:ascii="宋体" w:hAnsi="宋体" w:cs="宋体"/>
          <w:color w:val="0000FF"/>
          <w:sz w:val="24"/>
          <w:szCs w:val="24"/>
          <w:u w:val="single"/>
        </w:rPr>
      </w:pPr>
      <w:r>
        <w:rPr>
          <w:rFonts w:hint="eastAsia" w:ascii="宋体" w:hAnsi="宋体" w:cs="宋体"/>
          <w:color w:val="0000FF"/>
          <w:sz w:val="24"/>
          <w:szCs w:val="24"/>
          <w:u w:val="single"/>
        </w:rPr>
        <w:t>发包人不承担承包人与履约担保有关的任何利息或其它类似的费用或者收益。</w:t>
      </w:r>
    </w:p>
    <w:p w14:paraId="17493BA9">
      <w:pPr>
        <w:tabs>
          <w:tab w:val="left" w:pos="3710"/>
        </w:tabs>
        <w:spacing w:line="360" w:lineRule="auto"/>
        <w:ind w:firstLine="340"/>
        <w:jc w:val="left"/>
        <w:rPr>
          <w:rFonts w:hint="eastAsia" w:ascii="宋体" w:hAnsi="宋体" w:cs="宋体"/>
          <w:szCs w:val="21"/>
          <w:lang w:val="zh-TW" w:eastAsia="zh-TW"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198ED86F">
      <w:pPr>
        <w:spacing w:line="360" w:lineRule="auto"/>
        <w:ind w:firstLine="200"/>
        <w:jc w:val="left"/>
        <w:rPr>
          <w:rFonts w:hint="eastAsia" w:ascii="宋体" w:hAnsi="宋体" w:cs="宋体"/>
          <w:b/>
          <w:bCs/>
          <w:szCs w:val="21"/>
        </w:rPr>
      </w:pPr>
      <w:r>
        <w:rPr>
          <w:rFonts w:hint="eastAsia" w:ascii="宋体" w:hAnsi="宋体" w:cs="宋体"/>
          <w:b/>
          <w:bCs/>
          <w:color w:val="000000"/>
          <w:szCs w:val="21"/>
          <w:lang w:bidi="en-US"/>
        </w:rPr>
        <w:t>14.2.2</w:t>
      </w:r>
      <w:r>
        <w:rPr>
          <w:rFonts w:hint="eastAsia" w:ascii="宋体" w:hAnsi="宋体" w:cs="宋体"/>
          <w:color w:val="000000"/>
          <w:szCs w:val="21"/>
          <w:lang w:val="zh-TW" w:eastAsia="zh-TW" w:bidi="zh-TW"/>
        </w:rPr>
        <w:t>支付保函</w:t>
      </w:r>
    </w:p>
    <w:p w14:paraId="2F27CF0E">
      <w:pPr>
        <w:spacing w:line="360" w:lineRule="auto"/>
        <w:ind w:firstLine="20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在以下方式中选择其一，作为双方对支付保函的约定。</w:t>
      </w:r>
    </w:p>
    <w:p w14:paraId="631701D5">
      <w:pPr>
        <w:spacing w:line="360" w:lineRule="auto"/>
        <w:ind w:firstLine="34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发包人不提交支付保函。</w:t>
      </w:r>
    </w:p>
    <w:p w14:paraId="65605E77">
      <w:pPr>
        <w:tabs>
          <w:tab w:val="left" w:pos="3690"/>
        </w:tabs>
        <w:spacing w:line="360" w:lineRule="auto"/>
        <w:ind w:left="200" w:firstLine="140"/>
        <w:jc w:val="left"/>
        <w:rPr>
          <w:rFonts w:hint="eastAsia" w:ascii="宋体" w:hAnsi="宋体" w:cs="宋体"/>
          <w:color w:val="000000"/>
          <w:szCs w:val="21"/>
          <w:lang w:val="zh-TW" w:eastAsia="zh-TW" w:bidi="zh-TW"/>
        </w:rPr>
      </w:pPr>
      <w:r>
        <w:rPr>
          <w:rFonts w:hint="eastAsia" w:ascii="宋体" w:hAnsi="宋体" w:cs="宋体"/>
          <w:szCs w:val="21"/>
          <w:lang w:val="zh-TW" w:eastAsia="zh-CN" w:bidi="zh-TW"/>
        </w:rPr>
        <w:t>□</w:t>
      </w:r>
      <w:r>
        <w:rPr>
          <w:rFonts w:hint="eastAsia" w:ascii="宋体" w:hAnsi="宋体" w:cs="宋体"/>
          <w:color w:val="000000"/>
          <w:szCs w:val="21"/>
          <w:lang w:val="zh-TW" w:eastAsia="zh-TW" w:bidi="zh-TW"/>
        </w:rPr>
        <w:t>发包人提交支付保函的格式、金额和时间：</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 xml:space="preserve"> </w:t>
      </w:r>
    </w:p>
    <w:p w14:paraId="793B19E2">
      <w:pPr>
        <w:tabs>
          <w:tab w:val="left" w:pos="3690"/>
        </w:tabs>
        <w:spacing w:line="360" w:lineRule="auto"/>
        <w:ind w:left="200" w:firstLine="140"/>
        <w:jc w:val="left"/>
        <w:rPr>
          <w:rFonts w:hint="eastAsia" w:ascii="宋体" w:hAnsi="宋体" w:cs="宋体"/>
          <w:szCs w:val="21"/>
          <w:lang w:val="zh-TW" w:eastAsia="zh-TW" w:bidi="zh-TW"/>
        </w:rPr>
      </w:pPr>
      <w:r>
        <w:rPr>
          <w:rFonts w:hint="eastAsia" w:ascii="宋体" w:hAnsi="宋体" w:cs="宋体"/>
          <w:b/>
          <w:bCs/>
          <w:color w:val="000000"/>
          <w:szCs w:val="21"/>
          <w:lang w:bidi="en-US"/>
        </w:rPr>
        <w:t>14.2.3</w:t>
      </w:r>
      <w:r>
        <w:rPr>
          <w:rFonts w:hint="eastAsia" w:ascii="宋体" w:hAnsi="宋体" w:cs="宋体"/>
          <w:color w:val="000000"/>
          <w:szCs w:val="21"/>
          <w:lang w:val="zh-TW" w:eastAsia="zh-TW" w:bidi="zh-TW"/>
        </w:rPr>
        <w:t>预付款保函</w:t>
      </w:r>
    </w:p>
    <w:p w14:paraId="748E5B01">
      <w:pPr>
        <w:spacing w:line="360" w:lineRule="auto"/>
        <w:ind w:firstLine="20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在以下方式中选择其一，作为双方对预付款保函的约定。</w:t>
      </w:r>
    </w:p>
    <w:p w14:paraId="49304F78">
      <w:pPr>
        <w:spacing w:line="360" w:lineRule="auto"/>
        <w:ind w:firstLine="34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承包人不提交预付款保函。</w:t>
      </w:r>
    </w:p>
    <w:p w14:paraId="6271B704">
      <w:pPr>
        <w:tabs>
          <w:tab w:val="left" w:pos="3825"/>
        </w:tabs>
        <w:spacing w:after="100" w:line="360" w:lineRule="auto"/>
        <w:ind w:firstLine="34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承包人提交预付款保函的格式、金额和时间：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3595E6A9">
      <w:pPr>
        <w:keepNext/>
        <w:keepLines/>
        <w:spacing w:after="40" w:line="360" w:lineRule="auto"/>
        <w:ind w:firstLine="200"/>
        <w:jc w:val="left"/>
        <w:outlineLvl w:val="1"/>
        <w:rPr>
          <w:rFonts w:hint="eastAsia" w:ascii="宋体" w:hAnsi="宋体" w:cs="宋体"/>
          <w:szCs w:val="21"/>
          <w:lang w:val="zh-TW" w:eastAsia="zh-TW" w:bidi="zh-TW"/>
        </w:rPr>
      </w:pPr>
      <w:r>
        <w:rPr>
          <w:rFonts w:hint="eastAsia" w:ascii="宋体" w:hAnsi="宋体" w:cs="宋体"/>
          <w:b/>
          <w:bCs/>
          <w:color w:val="000000"/>
          <w:szCs w:val="21"/>
          <w:lang w:bidi="en-US"/>
        </w:rPr>
        <w:t>14.3</w:t>
      </w:r>
      <w:r>
        <w:rPr>
          <w:rFonts w:hint="eastAsia" w:ascii="宋体" w:hAnsi="宋体" w:cs="宋体"/>
          <w:color w:val="000000"/>
          <w:szCs w:val="21"/>
          <w:lang w:val="zh-TW" w:eastAsia="zh-TW" w:bidi="zh-TW"/>
        </w:rPr>
        <w:t>预付款</w:t>
      </w:r>
    </w:p>
    <w:p w14:paraId="52E4600C">
      <w:pPr>
        <w:spacing w:line="360" w:lineRule="auto"/>
        <w:ind w:firstLine="200"/>
        <w:jc w:val="left"/>
        <w:rPr>
          <w:rFonts w:hint="eastAsia" w:ascii="宋体" w:hAnsi="宋体" w:cs="宋体"/>
          <w:szCs w:val="21"/>
          <w:lang w:val="zh-TW" w:eastAsia="zh-TW" w:bidi="zh-TW"/>
        </w:rPr>
      </w:pPr>
      <w:r>
        <w:rPr>
          <w:rFonts w:hint="eastAsia" w:ascii="宋体" w:hAnsi="宋体" w:cs="宋体"/>
          <w:b/>
          <w:bCs/>
          <w:color w:val="000000"/>
          <w:szCs w:val="21"/>
          <w:lang w:bidi="en-US"/>
        </w:rPr>
        <w:t>14.3.1</w:t>
      </w:r>
      <w:r>
        <w:rPr>
          <w:rFonts w:hint="eastAsia" w:ascii="宋体" w:hAnsi="宋体" w:cs="宋体"/>
          <w:color w:val="000000"/>
          <w:szCs w:val="21"/>
          <w:lang w:val="zh-TW" w:eastAsia="zh-TW" w:bidi="zh-TW"/>
        </w:rPr>
        <w:t>预付款金额</w:t>
      </w:r>
    </w:p>
    <w:p w14:paraId="5218A3AC">
      <w:pPr>
        <w:spacing w:line="360" w:lineRule="auto"/>
        <w:ind w:firstLine="420" w:firstLineChars="200"/>
        <w:rPr>
          <w:rFonts w:ascii="宋体" w:hAnsi="宋体"/>
          <w:sz w:val="24"/>
          <w:szCs w:val="24"/>
        </w:rPr>
      </w:pPr>
      <w:r>
        <w:rPr>
          <w:rFonts w:hint="eastAsia" w:ascii="Times New Roman" w:hAnsi="Times New Roman"/>
          <w:color w:val="000000"/>
          <w:szCs w:val="21"/>
        </w:rPr>
        <w:t>预付款的金额为：</w:t>
      </w:r>
      <w:r>
        <w:rPr>
          <w:rFonts w:hint="eastAsia" w:ascii="Times New Roman" w:hAnsi="Times New Roman"/>
          <w:szCs w:val="21"/>
          <w:u w:val="single"/>
        </w:rPr>
        <w:t xml:space="preserve">  </w:t>
      </w:r>
      <w:r>
        <w:rPr>
          <w:rFonts w:hint="eastAsia" w:ascii="宋体" w:hAnsi="宋体"/>
          <w:sz w:val="24"/>
          <w:szCs w:val="24"/>
          <w:u w:val="single"/>
        </w:rPr>
        <w:t>（1）</w:t>
      </w:r>
      <w:r>
        <w:rPr>
          <w:rFonts w:ascii="宋体" w:hAnsi="宋体"/>
          <w:sz w:val="24"/>
          <w:szCs w:val="24"/>
          <w:u w:val="single"/>
        </w:rPr>
        <w:t>分部分项工程部分的预付款额度：10%。（2）安全文明施工费用预付额度为安全文明施工基本费的70%（一年以下工期时）</w:t>
      </w:r>
      <w:r>
        <w:rPr>
          <w:rFonts w:ascii="宋体" w:hAnsi="宋体"/>
          <w:sz w:val="24"/>
          <w:szCs w:val="24"/>
        </w:rPr>
        <w:t>。</w:t>
      </w:r>
    </w:p>
    <w:p w14:paraId="6F55B99B">
      <w:pPr>
        <w:spacing w:line="360" w:lineRule="auto"/>
        <w:ind w:firstLine="420" w:firstLineChars="200"/>
        <w:rPr>
          <w:rFonts w:ascii="宋体" w:hAnsi="宋体"/>
          <w:sz w:val="24"/>
          <w:szCs w:val="24"/>
        </w:rPr>
      </w:pPr>
      <w:r>
        <w:rPr>
          <w:rFonts w:hint="eastAsia" w:ascii="Times New Roman" w:hAnsi="Times New Roman"/>
          <w:szCs w:val="21"/>
          <w:u w:val="single"/>
        </w:rPr>
        <w:t xml:space="preserve">        </w:t>
      </w:r>
      <w:r>
        <w:rPr>
          <w:rFonts w:ascii="宋体" w:hAnsi="宋体"/>
          <w:sz w:val="24"/>
          <w:szCs w:val="24"/>
        </w:rPr>
        <w:t>预付款支付期限：</w:t>
      </w:r>
      <w:r>
        <w:rPr>
          <w:rFonts w:hint="eastAsia" w:ascii="宋体" w:hAnsi="宋体"/>
          <w:kern w:val="0"/>
          <w:sz w:val="24"/>
          <w:szCs w:val="24"/>
          <w:u w:val="single"/>
        </w:rPr>
        <w:t>合同签订备案，</w:t>
      </w:r>
      <w:r>
        <w:rPr>
          <w:rFonts w:ascii="宋体" w:hAnsi="宋体" w:cs="宋体"/>
          <w:sz w:val="24"/>
          <w:szCs w:val="24"/>
          <w:u w:val="single"/>
        </w:rPr>
        <w:t>提交</w:t>
      </w:r>
      <w:r>
        <w:rPr>
          <w:rFonts w:hint="eastAsia" w:ascii="宋体" w:hAnsi="宋体" w:cs="宋体"/>
          <w:sz w:val="24"/>
          <w:szCs w:val="24"/>
          <w:u w:val="single"/>
        </w:rPr>
        <w:t>农民工工资保证金及预付款支付申请资料后10日内</w:t>
      </w:r>
      <w:r>
        <w:rPr>
          <w:rFonts w:ascii="宋体" w:hAnsi="宋体"/>
          <w:sz w:val="24"/>
          <w:szCs w:val="24"/>
        </w:rPr>
        <w:t>。</w:t>
      </w:r>
    </w:p>
    <w:p w14:paraId="5C1DF399">
      <w:pPr>
        <w:tabs>
          <w:tab w:val="left" w:pos="2067"/>
        </w:tabs>
        <w:spacing w:line="360" w:lineRule="auto"/>
        <w:ind w:firstLine="200"/>
        <w:jc w:val="left"/>
        <w:rPr>
          <w:rFonts w:hint="eastAsia" w:ascii="宋体" w:hAnsi="宋体" w:cs="宋体"/>
          <w:szCs w:val="21"/>
          <w:lang w:val="zh-TW" w:eastAsia="zh-TW"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6CF19545">
      <w:pPr>
        <w:spacing w:line="360" w:lineRule="auto"/>
        <w:ind w:firstLine="200"/>
        <w:jc w:val="left"/>
        <w:rPr>
          <w:rFonts w:hint="eastAsia" w:ascii="宋体" w:hAnsi="宋体" w:cs="宋体"/>
          <w:szCs w:val="21"/>
          <w:lang w:val="zh-TW" w:eastAsia="zh-TW" w:bidi="zh-TW"/>
        </w:rPr>
      </w:pPr>
      <w:r>
        <w:rPr>
          <w:rFonts w:hint="eastAsia" w:ascii="宋体" w:hAnsi="宋体" w:cs="宋体"/>
          <w:b/>
          <w:bCs/>
          <w:color w:val="000000"/>
          <w:szCs w:val="21"/>
          <w:lang w:bidi="en-US"/>
        </w:rPr>
        <w:t>14.3.3</w:t>
      </w:r>
      <w:r>
        <w:rPr>
          <w:rFonts w:hint="eastAsia" w:ascii="宋体" w:hAnsi="宋体" w:cs="宋体"/>
          <w:color w:val="000000"/>
          <w:szCs w:val="21"/>
          <w:lang w:val="zh-TW" w:eastAsia="zh-TW" w:bidi="zh-TW"/>
        </w:rPr>
        <w:t>预付款抵扣</w:t>
      </w:r>
    </w:p>
    <w:p w14:paraId="2DC5E68B">
      <w:pPr>
        <w:spacing w:line="360" w:lineRule="auto"/>
        <w:ind w:firstLine="420" w:firstLineChars="200"/>
        <w:rPr>
          <w:rFonts w:hint="eastAsia" w:ascii="宋体" w:hAnsi="宋体" w:cs="宋体"/>
          <w:color w:val="000000"/>
          <w:sz w:val="24"/>
          <w:szCs w:val="24"/>
        </w:rPr>
      </w:pPr>
      <w:r>
        <w:rPr>
          <w:rFonts w:hint="eastAsia" w:ascii="Times New Roman" w:hAnsi="Times New Roman"/>
          <w:color w:val="000000"/>
          <w:szCs w:val="21"/>
        </w:rPr>
        <w:t>（1）预付款的抵扣方式、抵扣比例和抵扣时间安排：</w:t>
      </w:r>
      <w:r>
        <w:rPr>
          <w:rFonts w:hint="eastAsia" w:ascii="Times New Roman" w:hAnsi="Times New Roman"/>
          <w:szCs w:val="21"/>
          <w:u w:val="single"/>
        </w:rPr>
        <w:t xml:space="preserve">    </w:t>
      </w:r>
      <w:r>
        <w:rPr>
          <w:rFonts w:ascii="宋体" w:hAnsi="宋体" w:cs="宋体"/>
          <w:sz w:val="24"/>
          <w:szCs w:val="24"/>
          <w:u w:val="single"/>
        </w:rPr>
        <w:t>从</w:t>
      </w:r>
      <w:r>
        <w:rPr>
          <w:rFonts w:hint="eastAsia" w:ascii="宋体" w:hAnsi="宋体" w:cs="宋体"/>
          <w:sz w:val="24"/>
          <w:szCs w:val="24"/>
          <w:u w:val="single"/>
        </w:rPr>
        <w:t>第一次支付工程进度款起，每月支付工程进度款时</w:t>
      </w:r>
      <w:r>
        <w:rPr>
          <w:rFonts w:ascii="宋体" w:hAnsi="宋体" w:cs="宋体"/>
          <w:sz w:val="24"/>
          <w:szCs w:val="24"/>
          <w:u w:val="single"/>
        </w:rPr>
        <w:t>按</w:t>
      </w:r>
      <w:r>
        <w:rPr>
          <w:rFonts w:hint="eastAsia" w:ascii="宋体" w:hAnsi="宋体" w:cs="宋体"/>
          <w:sz w:val="24"/>
          <w:szCs w:val="24"/>
          <w:u w:val="single"/>
        </w:rPr>
        <w:t>25</w:t>
      </w:r>
      <w:r>
        <w:rPr>
          <w:rFonts w:ascii="宋体" w:hAnsi="宋体" w:cs="宋体"/>
          <w:sz w:val="24"/>
          <w:szCs w:val="24"/>
          <w:u w:val="single"/>
        </w:rPr>
        <w:t>%扣回</w:t>
      </w:r>
      <w:r>
        <w:rPr>
          <w:rFonts w:hint="eastAsia" w:ascii="宋体" w:hAnsi="宋体" w:cs="宋体"/>
          <w:sz w:val="24"/>
          <w:szCs w:val="24"/>
          <w:u w:val="single"/>
        </w:rPr>
        <w:t>。如当期（月）应付工程款小于应扣回预付款时，下月累扣，直到扣完为止。</w:t>
      </w:r>
      <w:r>
        <w:rPr>
          <w:rFonts w:hint="eastAsia" w:ascii="宋体" w:hAnsi="宋体"/>
          <w:kern w:val="0"/>
          <w:sz w:val="24"/>
          <w:szCs w:val="24"/>
          <w:u w:val="single"/>
        </w:rPr>
        <w:t>预付款扣回以月为单位，不论当月是否申请进度款，均在申请时按月累计扣回</w:t>
      </w:r>
      <w:r>
        <w:rPr>
          <w:rFonts w:ascii="宋体" w:hAnsi="宋体"/>
          <w:sz w:val="24"/>
          <w:szCs w:val="24"/>
        </w:rPr>
        <w:t>。</w:t>
      </w:r>
    </w:p>
    <w:p w14:paraId="6BD74935">
      <w:pPr>
        <w:tabs>
          <w:tab w:val="left" w:pos="638"/>
          <w:tab w:val="left" w:pos="3894"/>
        </w:tabs>
        <w:spacing w:after="100" w:line="360" w:lineRule="auto"/>
        <w:ind w:left="280"/>
        <w:jc w:val="left"/>
        <w:rPr>
          <w:rFonts w:hint="eastAsia" w:ascii="宋体" w:hAnsi="宋体" w:cs="宋体"/>
          <w:szCs w:val="21"/>
          <w:lang w:val="zh-TW" w:eastAsia="zh-TW"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35E02957">
      <w:pPr>
        <w:spacing w:line="360" w:lineRule="auto"/>
        <w:ind w:left="200" w:firstLine="20"/>
        <w:jc w:val="left"/>
        <w:rPr>
          <w:rFonts w:hint="eastAsia" w:ascii="宋体" w:hAnsi="宋体" w:cs="宋体"/>
          <w:szCs w:val="21"/>
          <w:lang w:val="zh-TW" w:eastAsia="zh-TW" w:bidi="zh-TW"/>
        </w:rPr>
      </w:pPr>
      <w:r>
        <w:rPr>
          <w:rFonts w:hint="eastAsia" w:ascii="宋体" w:hAnsi="宋体" w:cs="宋体"/>
          <w:b/>
          <w:bCs/>
          <w:color w:val="000000"/>
          <w:szCs w:val="21"/>
          <w:lang w:bidi="en-US"/>
        </w:rPr>
        <w:t>14.4</w:t>
      </w:r>
      <w:r>
        <w:rPr>
          <w:rFonts w:hint="eastAsia" w:ascii="宋体" w:hAnsi="宋体" w:cs="宋体"/>
          <w:color w:val="000000"/>
          <w:szCs w:val="21"/>
          <w:lang w:val="zh-TW" w:eastAsia="zh-TW" w:bidi="zh-TW"/>
        </w:rPr>
        <w:t>工程进度款</w:t>
      </w:r>
    </w:p>
    <w:p w14:paraId="2450316B">
      <w:pPr>
        <w:spacing w:line="360" w:lineRule="auto"/>
        <w:ind w:left="200" w:firstLine="20"/>
        <w:jc w:val="left"/>
        <w:rPr>
          <w:rFonts w:hint="eastAsia" w:ascii="宋体" w:hAnsi="宋体" w:cs="宋体"/>
          <w:szCs w:val="21"/>
          <w:lang w:val="zh-TW" w:eastAsia="zh-TW" w:bidi="zh-TW"/>
        </w:rPr>
      </w:pPr>
      <w:r>
        <w:rPr>
          <w:rFonts w:hint="eastAsia" w:ascii="宋体" w:hAnsi="宋体" w:cs="宋体"/>
          <w:b/>
          <w:bCs/>
          <w:color w:val="000000"/>
          <w:szCs w:val="21"/>
          <w:lang w:bidi="en-US"/>
        </w:rPr>
        <w:t>14.4.1</w:t>
      </w:r>
      <w:r>
        <w:rPr>
          <w:rFonts w:hint="eastAsia" w:ascii="宋体" w:hAnsi="宋体" w:cs="宋体"/>
          <w:color w:val="000000"/>
          <w:szCs w:val="21"/>
          <w:lang w:val="zh-TW" w:eastAsia="zh-TW" w:bidi="zh-TW"/>
        </w:rPr>
        <w:t>工程进度款</w:t>
      </w:r>
    </w:p>
    <w:p w14:paraId="0E8B936D">
      <w:pPr>
        <w:spacing w:line="360" w:lineRule="auto"/>
        <w:ind w:firstLine="420" w:firstLineChars="200"/>
        <w:rPr>
          <w:rFonts w:hint="eastAsia" w:ascii="宋体" w:hAnsi="宋体" w:cs="宋体"/>
          <w:color w:val="000000"/>
          <w:sz w:val="24"/>
          <w:szCs w:val="24"/>
        </w:rPr>
      </w:pPr>
      <w:r>
        <w:rPr>
          <w:rFonts w:hint="eastAsia" w:ascii="Times New Roman" w:hAnsi="Times New Roman"/>
          <w:color w:val="000000"/>
          <w:szCs w:val="21"/>
        </w:rPr>
        <w:t>工程进度款的支付方式、支付条件和支付时间：</w:t>
      </w:r>
      <w:r>
        <w:rPr>
          <w:rFonts w:hint="eastAsia" w:ascii="Times New Roman" w:hAnsi="Times New Roman"/>
          <w:szCs w:val="21"/>
          <w:u w:val="single"/>
        </w:rPr>
        <w:t xml:space="preserve">   </w:t>
      </w:r>
      <w:r>
        <w:rPr>
          <w:rFonts w:hint="eastAsia" w:ascii="宋体" w:hAnsi="宋体" w:cs="宋体"/>
          <w:color w:val="0000FF"/>
          <w:sz w:val="24"/>
          <w:szCs w:val="24"/>
          <w:u w:val="single"/>
        </w:rPr>
        <w:t>1)工程款（进度款）按月支付，每月按发包人批准的月已完工程造价（不含工程变更）的80%支付（进度中不再按照下款17.4.1扣留质保金），工程变更内审后按40%支付，第三方评审后按75%支付，工程竣工验收合格且竣工结算初审、复核后3个月内，按工程价款结算总额的3%扣留质保金后，一次性支付工程尾款。工程量按阶段性（或月）工期计划完成，按以上原则支付；因承包人阶段性（或月）工期计划未完成，发包人有权暂停工程进度款支付，待工期计划完成后再行支付。如有</w:t>
      </w:r>
      <w:r>
        <w:rPr>
          <w:rFonts w:hint="eastAsia" w:ascii="宋体" w:hAnsi="宋体"/>
          <w:sz w:val="24"/>
          <w:szCs w:val="24"/>
          <w:u w:val="single"/>
        </w:rPr>
        <w:t>审计监督或抽查，按审计监督或抽查结果结算，已经结算支付的，退还审计监督结果与结算金额差异</w:t>
      </w:r>
      <w:r>
        <w:rPr>
          <w:rFonts w:ascii="宋体" w:hAnsi="宋体"/>
          <w:sz w:val="24"/>
          <w:szCs w:val="24"/>
        </w:rPr>
        <w:t>。</w:t>
      </w:r>
      <w:r>
        <w:rPr>
          <w:rFonts w:hint="eastAsia" w:ascii="宋体" w:hAnsi="宋体" w:cs="宋体"/>
          <w:color w:val="0000FF"/>
          <w:sz w:val="24"/>
          <w:szCs w:val="24"/>
          <w:u w:val="single"/>
        </w:rPr>
        <w:cr/>
      </w:r>
      <w:r>
        <w:rPr>
          <w:rFonts w:hint="eastAsia" w:ascii="宋体" w:hAnsi="宋体" w:cs="宋体"/>
          <w:color w:val="0000FF"/>
          <w:sz w:val="24"/>
          <w:szCs w:val="24"/>
          <w:u w:val="single"/>
        </w:rPr>
        <w:t xml:space="preserve">  </w:t>
      </w:r>
      <w:r>
        <w:rPr>
          <w:rFonts w:hint="eastAsia" w:ascii="宋体" w:hAnsi="宋体" w:cs="宋体"/>
          <w:color w:val="0000FF"/>
          <w:sz w:val="24"/>
          <w:szCs w:val="24"/>
          <w:u w:val="single"/>
          <w:lang w:val="en-US" w:eastAsia="zh-CN"/>
        </w:rPr>
        <w:t>2</w:t>
      </w:r>
      <w:r>
        <w:rPr>
          <w:rFonts w:hint="eastAsia" w:ascii="宋体" w:hAnsi="宋体" w:cs="宋体"/>
          <w:color w:val="0000FF"/>
          <w:sz w:val="24"/>
          <w:szCs w:val="24"/>
          <w:u w:val="single"/>
        </w:rPr>
        <w:t>）民工工资监督发放制：现场应建立“一户两牌三表”，即民工工资专用账户、工资支付告示牌、劳动保障维权告示牌、工资表、考勤表、备案表。承包人在申请工程进度款时，需提交由发包人、监理、承包人共同签字确认的当月民工工资发放表，发包人在拨付进度款时，先行拨付当月民工工资，发包人、监理等相关部门全面监督发放，待承包人提供民工工资支付凭证及监督民工工资发放的签字及影像资料后，发包人再拨付当期剩余工程进度款。如未能按时发放民工工资，发包人暂停拨付当月剩余进度款。</w:t>
      </w:r>
      <w:r>
        <w:rPr>
          <w:rFonts w:hint="eastAsia" w:ascii="宋体" w:hAnsi="宋体" w:cs="宋体"/>
          <w:color w:val="0000FF"/>
          <w:sz w:val="24"/>
          <w:szCs w:val="24"/>
          <w:u w:val="single"/>
        </w:rPr>
        <w:cr/>
      </w:r>
      <w:r>
        <w:rPr>
          <w:rFonts w:hint="eastAsia" w:ascii="宋体" w:hAnsi="宋体" w:cs="宋体"/>
          <w:color w:val="0000FF"/>
          <w:sz w:val="24"/>
          <w:szCs w:val="24"/>
          <w:u w:val="single"/>
        </w:rPr>
        <w:t xml:space="preserve">   </w:t>
      </w:r>
      <w:r>
        <w:rPr>
          <w:rFonts w:hint="eastAsia" w:ascii="宋体" w:hAnsi="宋体" w:cs="宋体"/>
          <w:color w:val="0000FF"/>
          <w:sz w:val="24"/>
          <w:szCs w:val="24"/>
          <w:u w:val="single"/>
          <w:lang w:val="en-US" w:eastAsia="zh-CN"/>
        </w:rPr>
        <w:t>3</w:t>
      </w:r>
      <w:r>
        <w:rPr>
          <w:rFonts w:hint="eastAsia" w:ascii="宋体" w:hAnsi="宋体" w:cs="宋体"/>
          <w:color w:val="0000FF"/>
          <w:sz w:val="24"/>
          <w:szCs w:val="24"/>
          <w:u w:val="single"/>
        </w:rPr>
        <w:t xml:space="preserve">）民工工资代发制：承包人应确保按期足额支付民工工资款。如承包人不及时支付民工工资款，造成扰民、上访等影响社会稳定事件及合同纠纷，承包人必须承担相应责任。发包人保留停止对承包人进度付款支付的权利，直至承包人妥善处理好上述事件或纠纷为止。同时按照专项合同条款对民工工资的其他约定处理。当承包人拖延处理民工工资发放或拒不处理各类民工工资纠纷时，发包人有权代为支付其拖欠的民工工资，其款项直接在履约保证金或应付给承包人的任何款项内予以支付，承包人无条件配合，并在规定时间内补齐履约保证金，同时，发包人将上报行政主管部门处理。 </w:t>
      </w:r>
      <w:r>
        <w:rPr>
          <w:rFonts w:hint="eastAsia" w:ascii="宋体" w:hAnsi="宋体" w:cs="宋体"/>
          <w:color w:val="0000FF"/>
          <w:sz w:val="24"/>
          <w:szCs w:val="24"/>
          <w:u w:val="single"/>
        </w:rPr>
        <w:cr/>
      </w:r>
      <w:r>
        <w:rPr>
          <w:rFonts w:hint="eastAsia" w:ascii="宋体" w:hAnsi="宋体" w:cs="宋体"/>
          <w:color w:val="0000FF"/>
          <w:sz w:val="24"/>
          <w:szCs w:val="24"/>
          <w:u w:val="single"/>
        </w:rPr>
        <w:t xml:space="preserve">  </w:t>
      </w:r>
      <w:r>
        <w:rPr>
          <w:rFonts w:hint="eastAsia" w:ascii="宋体" w:hAnsi="宋体" w:cs="宋体"/>
          <w:color w:val="0000FF"/>
          <w:sz w:val="24"/>
          <w:szCs w:val="24"/>
          <w:u w:val="single"/>
          <w:lang w:val="en-US" w:eastAsia="zh-CN"/>
        </w:rPr>
        <w:t>4</w:t>
      </w:r>
      <w:r>
        <w:rPr>
          <w:rFonts w:hint="eastAsia" w:ascii="宋体" w:hAnsi="宋体" w:cs="宋体"/>
          <w:color w:val="0000FF"/>
          <w:sz w:val="24"/>
          <w:szCs w:val="24"/>
          <w:u w:val="single"/>
        </w:rPr>
        <w:t>)竣工结算依据：以发包人委托的中介单位初审、复核后的最终结算金额作为竣工结算依据</w:t>
      </w:r>
      <w:r>
        <w:rPr>
          <w:rFonts w:hint="eastAsia" w:ascii="宋体" w:hAnsi="宋体" w:cs="宋体"/>
          <w:color w:val="000000"/>
          <w:sz w:val="24"/>
          <w:szCs w:val="24"/>
        </w:rPr>
        <w:t>。</w:t>
      </w:r>
    </w:p>
    <w:p w14:paraId="35CCA347">
      <w:pPr>
        <w:tabs>
          <w:tab w:val="left" w:pos="3872"/>
        </w:tabs>
        <w:spacing w:line="360" w:lineRule="auto"/>
        <w:ind w:left="200" w:firstLine="20"/>
        <w:jc w:val="left"/>
        <w:rPr>
          <w:rFonts w:hint="eastAsia" w:ascii="宋体" w:hAnsi="宋体" w:cs="宋体"/>
          <w:color w:val="000000"/>
          <w:szCs w:val="21"/>
          <w:lang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bidi="zh-TW"/>
        </w:rPr>
        <w:t xml:space="preserve"> </w:t>
      </w:r>
    </w:p>
    <w:p w14:paraId="55FBD2CB">
      <w:pPr>
        <w:tabs>
          <w:tab w:val="left" w:pos="3872"/>
        </w:tabs>
        <w:spacing w:line="360" w:lineRule="auto"/>
        <w:ind w:left="200" w:firstLine="20"/>
        <w:jc w:val="left"/>
        <w:rPr>
          <w:rFonts w:hint="eastAsia" w:ascii="宋体" w:hAnsi="宋体" w:cs="宋体"/>
          <w:szCs w:val="21"/>
          <w:lang w:val="zh-TW" w:eastAsia="zh-TW" w:bidi="zh-TW"/>
        </w:rPr>
      </w:pPr>
      <w:r>
        <w:rPr>
          <w:rFonts w:hint="eastAsia" w:ascii="宋体" w:hAnsi="宋体" w:cs="宋体"/>
          <w:b/>
          <w:bCs/>
          <w:color w:val="000000"/>
          <w:szCs w:val="21"/>
          <w:lang w:bidi="en-US"/>
        </w:rPr>
        <w:t>14.4.2</w:t>
      </w:r>
      <w:r>
        <w:rPr>
          <w:rFonts w:hint="eastAsia" w:ascii="宋体" w:hAnsi="宋体" w:cs="宋体"/>
          <w:color w:val="000000"/>
          <w:szCs w:val="21"/>
          <w:lang w:val="zh-TW" w:eastAsia="zh-TW" w:bidi="zh-TW"/>
        </w:rPr>
        <w:t>其它进度款</w:t>
      </w:r>
    </w:p>
    <w:p w14:paraId="2FB561A4">
      <w:pPr>
        <w:spacing w:after="120"/>
        <w:ind w:firstLine="210" w:firstLineChars="100"/>
        <w:rPr>
          <w:rFonts w:hint="eastAsia" w:ascii="宋体" w:hAnsi="宋体" w:cs="宋体"/>
          <w:color w:val="0000FF"/>
          <w:sz w:val="24"/>
          <w:szCs w:val="24"/>
          <w:u w:val="single"/>
        </w:rPr>
      </w:pPr>
      <w:r>
        <w:rPr>
          <w:rFonts w:hint="eastAsia" w:ascii="Times New Roman" w:hAnsi="Times New Roman"/>
          <w:color w:val="000000"/>
          <w:szCs w:val="21"/>
        </w:rPr>
        <w:t>其它进度款有：</w:t>
      </w:r>
      <w:r>
        <w:rPr>
          <w:rFonts w:hint="eastAsia" w:ascii="宋体" w:hAnsi="宋体" w:cs="宋体"/>
          <w:color w:val="0000FF"/>
          <w:sz w:val="24"/>
          <w:szCs w:val="24"/>
          <w:u w:val="single"/>
        </w:rPr>
        <w:t>工程设计费： 施工图设计完成并通过施工图图纸审查后15日内付至合同价的85%；工程全部竣工验收后15日内付至合同价的95%；工程竣工结算审计完成后15日内结清剩余尾款。</w:t>
      </w:r>
    </w:p>
    <w:p w14:paraId="56E21052">
      <w:pPr>
        <w:spacing w:after="120"/>
        <w:ind w:firstLine="240" w:firstLineChars="100"/>
        <w:rPr>
          <w:rFonts w:hint="eastAsia" w:ascii="宋体" w:hAnsi="宋体" w:cs="宋体"/>
          <w:color w:val="0000FF"/>
          <w:sz w:val="24"/>
          <w:szCs w:val="24"/>
          <w:u w:val="single"/>
        </w:rPr>
      </w:pPr>
      <w:r>
        <w:rPr>
          <w:rFonts w:hint="eastAsia" w:ascii="宋体" w:hAnsi="宋体" w:cs="宋体"/>
          <w:color w:val="0000FF"/>
          <w:sz w:val="24"/>
          <w:szCs w:val="24"/>
          <w:u w:val="single"/>
        </w:rPr>
        <w:t>支付方式：本项目的各项费用根据联合体协议书的工作内容分工，由发包人分别向联合体各成员单位分别支付。</w:t>
      </w:r>
    </w:p>
    <w:p w14:paraId="3203830E">
      <w:pPr>
        <w:tabs>
          <w:tab w:val="left" w:pos="2615"/>
        </w:tabs>
        <w:spacing w:after="100" w:line="360" w:lineRule="auto"/>
        <w:ind w:left="200" w:firstLine="20"/>
        <w:jc w:val="left"/>
        <w:rPr>
          <w:rFonts w:hint="eastAsia" w:ascii="宋体" w:hAnsi="宋体" w:cs="宋体"/>
          <w:szCs w:val="21"/>
          <w:lang w:bidi="zh-TW"/>
        </w:rPr>
      </w:pPr>
      <w:r>
        <w:rPr>
          <w:rFonts w:hint="eastAsia" w:ascii="宋体" w:hAnsi="宋体" w:cs="宋体"/>
          <w:szCs w:val="21"/>
          <w:u w:val="single"/>
          <w:lang w:val="zh-TW" w:eastAsia="zh-TW" w:bidi="zh-TW"/>
        </w:rPr>
        <w:tab/>
      </w:r>
      <w:r>
        <w:rPr>
          <w:rFonts w:hint="eastAsia" w:ascii="宋体" w:hAnsi="宋体" w:cs="宋体"/>
          <w:szCs w:val="21"/>
          <w:u w:val="single"/>
          <w:lang w:bidi="zh-TW"/>
        </w:rPr>
        <w:t xml:space="preserve">                   </w:t>
      </w:r>
    </w:p>
    <w:p w14:paraId="2EA72AE7">
      <w:pPr>
        <w:spacing w:line="360" w:lineRule="auto"/>
        <w:ind w:firstLine="200"/>
        <w:jc w:val="left"/>
        <w:rPr>
          <w:rFonts w:hint="eastAsia" w:ascii="宋体" w:hAnsi="宋体" w:cs="宋体"/>
          <w:szCs w:val="21"/>
          <w:lang w:val="zh-TW" w:eastAsia="zh-TW" w:bidi="zh-TW"/>
        </w:rPr>
      </w:pPr>
      <w:r>
        <w:rPr>
          <w:rFonts w:hint="eastAsia" w:ascii="宋体" w:hAnsi="宋体" w:cs="宋体"/>
          <w:b/>
          <w:bCs/>
          <w:color w:val="000000"/>
          <w:szCs w:val="21"/>
          <w:lang w:bidi="en-US"/>
        </w:rPr>
        <w:t>14.5</w:t>
      </w:r>
      <w:r>
        <w:rPr>
          <w:rFonts w:hint="eastAsia" w:ascii="宋体" w:hAnsi="宋体" w:cs="宋体"/>
          <w:color w:val="000000"/>
          <w:szCs w:val="21"/>
          <w:lang w:val="zh-TW" w:eastAsia="zh-TW" w:bidi="zh-TW"/>
        </w:rPr>
        <w:t>缺陷责任保修金的暂扣与支付</w:t>
      </w:r>
    </w:p>
    <w:p w14:paraId="0E0368EB">
      <w:pPr>
        <w:spacing w:line="360" w:lineRule="auto"/>
        <w:ind w:firstLine="200"/>
        <w:jc w:val="left"/>
        <w:rPr>
          <w:rFonts w:hint="eastAsia" w:ascii="宋体" w:hAnsi="宋体" w:cs="宋体"/>
          <w:szCs w:val="21"/>
          <w:lang w:val="zh-TW" w:eastAsia="zh-TW" w:bidi="zh-TW"/>
        </w:rPr>
      </w:pPr>
      <w:r>
        <w:rPr>
          <w:rFonts w:hint="eastAsia" w:ascii="宋体" w:hAnsi="宋体" w:cs="宋体"/>
          <w:b/>
          <w:bCs/>
          <w:color w:val="000000"/>
          <w:szCs w:val="21"/>
          <w:lang w:bidi="en-US"/>
        </w:rPr>
        <w:t>14.5.2</w:t>
      </w:r>
      <w:r>
        <w:rPr>
          <w:rFonts w:hint="eastAsia" w:ascii="宋体" w:hAnsi="宋体" w:cs="宋体"/>
          <w:color w:val="000000"/>
          <w:szCs w:val="21"/>
          <w:lang w:val="zh-TW" w:eastAsia="zh-TW" w:bidi="zh-TW"/>
        </w:rPr>
        <w:t>缺陷责任保修金的支付</w:t>
      </w:r>
    </w:p>
    <w:p w14:paraId="6760C69D">
      <w:pPr>
        <w:spacing w:line="360" w:lineRule="auto"/>
        <w:jc w:val="left"/>
        <w:rPr>
          <w:rFonts w:hint="eastAsia" w:ascii="宋体" w:hAnsi="宋体" w:cs="宋体"/>
          <w:color w:val="000000"/>
          <w:sz w:val="24"/>
          <w:szCs w:val="24"/>
        </w:rPr>
      </w:pPr>
      <w:r>
        <w:rPr>
          <w:rFonts w:hint="eastAsia" w:ascii="Times New Roman" w:hAnsi="Times New Roman"/>
          <w:color w:val="000000"/>
          <w:szCs w:val="21"/>
        </w:rPr>
        <w:t>（2）缺陷责任保修金保函的格式、金额和时间：</w:t>
      </w:r>
      <w:r>
        <w:rPr>
          <w:rFonts w:hint="eastAsia" w:ascii="Times New Roman" w:hAnsi="Times New Roman"/>
          <w:szCs w:val="21"/>
          <w:u w:val="single"/>
        </w:rPr>
        <w:t xml:space="preserve">    </w:t>
      </w:r>
      <w:r>
        <w:rPr>
          <w:rFonts w:hint="eastAsia" w:ascii="宋体" w:hAnsi="宋体" w:cs="宋体"/>
          <w:color w:val="000000"/>
          <w:sz w:val="24"/>
          <w:szCs w:val="24"/>
        </w:rPr>
        <w:t>缺陷责任期的具体期限：</w:t>
      </w:r>
      <w:r>
        <w:rPr>
          <w:rFonts w:hint="eastAsia" w:ascii="宋体" w:hAnsi="宋体"/>
          <w:sz w:val="24"/>
          <w:szCs w:val="24"/>
          <w:u w:val="single"/>
        </w:rPr>
        <w:t>项目竣工验收之日起24个月（其中绿化工程自验收合格之次日起满1年养护期后起算1年）</w:t>
      </w:r>
      <w:r>
        <w:rPr>
          <w:rFonts w:ascii="宋体" w:hAnsi="宋体"/>
          <w:sz w:val="24"/>
          <w:szCs w:val="24"/>
          <w:u w:val="single"/>
        </w:rPr>
        <w:t xml:space="preserve"> </w:t>
      </w:r>
      <w:r>
        <w:rPr>
          <w:rFonts w:hint="eastAsia" w:ascii="宋体" w:hAnsi="宋体" w:cs="宋体"/>
          <w:color w:val="000000"/>
          <w:sz w:val="24"/>
          <w:szCs w:val="24"/>
        </w:rPr>
        <w:t>。</w:t>
      </w:r>
    </w:p>
    <w:p w14:paraId="5211D062">
      <w:pPr>
        <w:spacing w:line="360" w:lineRule="auto"/>
        <w:rPr>
          <w:rFonts w:ascii="宋体" w:hAnsi="宋体"/>
          <w:sz w:val="24"/>
          <w:szCs w:val="24"/>
        </w:rPr>
      </w:pPr>
      <w:r>
        <w:rPr>
          <w:rFonts w:hint="eastAsia" w:ascii="宋体" w:hAnsi="宋体"/>
          <w:sz w:val="24"/>
          <w:szCs w:val="24"/>
        </w:rPr>
        <w:t>14.5.3</w:t>
      </w:r>
      <w:r>
        <w:rPr>
          <w:rFonts w:ascii="宋体" w:hAnsi="宋体"/>
          <w:sz w:val="24"/>
          <w:szCs w:val="24"/>
        </w:rPr>
        <w:t xml:space="preserve"> 质量保证金</w:t>
      </w:r>
    </w:p>
    <w:p w14:paraId="0D0FC993">
      <w:pPr>
        <w:spacing w:line="360" w:lineRule="auto"/>
        <w:rPr>
          <w:rFonts w:ascii="宋体" w:hAnsi="宋体" w:cs="宋体"/>
          <w:color w:val="0000FF"/>
          <w:sz w:val="24"/>
          <w:szCs w:val="24"/>
          <w:u w:val="single"/>
        </w:rPr>
      </w:pPr>
      <w:r>
        <w:rPr>
          <w:rFonts w:hint="eastAsia" w:ascii="宋体" w:hAnsi="宋体" w:cs="宋体"/>
          <w:color w:val="0000FF"/>
          <w:sz w:val="24"/>
          <w:szCs w:val="24"/>
          <w:u w:val="single"/>
        </w:rPr>
        <w:t>关于是否扣留质量保证金的约定：</w:t>
      </w:r>
      <w:r>
        <w:rPr>
          <w:rFonts w:ascii="宋体" w:hAnsi="宋体" w:cs="宋体"/>
          <w:color w:val="0000FF"/>
          <w:sz w:val="24"/>
          <w:szCs w:val="24"/>
          <w:u w:val="single"/>
        </w:rPr>
        <w:t xml:space="preserve"> </w:t>
      </w:r>
      <w:r>
        <w:rPr>
          <w:rFonts w:hint="eastAsia" w:ascii="宋体" w:hAnsi="宋体" w:cs="宋体"/>
          <w:color w:val="0000FF"/>
          <w:sz w:val="24"/>
          <w:szCs w:val="24"/>
          <w:u w:val="single"/>
        </w:rPr>
        <w:t xml:space="preserve">扣留3%质量保证金 </w:t>
      </w:r>
      <w:r>
        <w:rPr>
          <w:rFonts w:ascii="宋体" w:hAnsi="宋体" w:cs="宋体"/>
          <w:color w:val="0000FF"/>
          <w:sz w:val="24"/>
          <w:szCs w:val="24"/>
          <w:u w:val="single"/>
        </w:rPr>
        <w:t xml:space="preserve"> 。</w:t>
      </w:r>
      <w:r>
        <w:rPr>
          <w:rFonts w:hint="eastAsia" w:ascii="宋体" w:hAnsi="宋体" w:cs="宋体"/>
          <w:color w:val="0000FF"/>
          <w:sz w:val="24"/>
          <w:szCs w:val="24"/>
          <w:u w:val="single"/>
        </w:rPr>
        <w:t>在工程项目竣工前，承包人按专用合同条款第3.7条提供履约担保的，发包人不得同时预留工程质量保证金。</w:t>
      </w:r>
    </w:p>
    <w:p w14:paraId="631ACEBF">
      <w:pPr>
        <w:spacing w:line="360" w:lineRule="auto"/>
        <w:rPr>
          <w:rFonts w:ascii="宋体" w:hAnsi="宋体" w:cs="宋体"/>
          <w:color w:val="0000FF"/>
          <w:sz w:val="24"/>
          <w:szCs w:val="24"/>
          <w:u w:val="single"/>
        </w:rPr>
      </w:pPr>
      <w:r>
        <w:rPr>
          <w:rFonts w:hint="eastAsia" w:ascii="宋体" w:hAnsi="宋体" w:cs="宋体"/>
          <w:color w:val="0000FF"/>
          <w:sz w:val="24"/>
          <w:szCs w:val="24"/>
          <w:u w:val="single"/>
        </w:rPr>
        <w:t>14.5.4</w:t>
      </w:r>
      <w:r>
        <w:rPr>
          <w:rFonts w:ascii="宋体" w:hAnsi="宋体" w:cs="宋体"/>
          <w:color w:val="0000FF"/>
          <w:sz w:val="24"/>
          <w:szCs w:val="24"/>
          <w:u w:val="single"/>
        </w:rPr>
        <w:t xml:space="preserve"> </w:t>
      </w:r>
      <w:r>
        <w:rPr>
          <w:rFonts w:hint="eastAsia" w:ascii="宋体" w:hAnsi="宋体" w:cs="宋体"/>
          <w:color w:val="0000FF"/>
          <w:sz w:val="24"/>
          <w:szCs w:val="24"/>
          <w:u w:val="single"/>
        </w:rPr>
        <w:t>承包人提供</w:t>
      </w:r>
      <w:r>
        <w:rPr>
          <w:rFonts w:ascii="宋体" w:hAnsi="宋体" w:cs="宋体"/>
          <w:color w:val="0000FF"/>
          <w:sz w:val="24"/>
          <w:szCs w:val="24"/>
          <w:u w:val="single"/>
        </w:rPr>
        <w:t>质量保证金的</w:t>
      </w:r>
      <w:r>
        <w:rPr>
          <w:rFonts w:hint="eastAsia" w:ascii="宋体" w:hAnsi="宋体" w:cs="宋体"/>
          <w:color w:val="0000FF"/>
          <w:sz w:val="24"/>
          <w:szCs w:val="24"/>
          <w:u w:val="single"/>
        </w:rPr>
        <w:t>方</w:t>
      </w:r>
      <w:r>
        <w:rPr>
          <w:rFonts w:ascii="宋体" w:hAnsi="宋体" w:cs="宋体"/>
          <w:color w:val="0000FF"/>
          <w:sz w:val="24"/>
          <w:szCs w:val="24"/>
          <w:u w:val="single"/>
        </w:rPr>
        <w:t>式</w:t>
      </w:r>
    </w:p>
    <w:p w14:paraId="615C2D87">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质量保证金采用以下第 </w:t>
      </w:r>
      <w:r>
        <w:rPr>
          <w:rFonts w:hint="eastAsia" w:ascii="宋体" w:hAnsi="宋体" w:cs="宋体"/>
          <w:color w:val="0000FF"/>
          <w:sz w:val="24"/>
          <w:szCs w:val="24"/>
          <w:u w:val="single"/>
        </w:rPr>
        <w:t xml:space="preserve">  （2）</w:t>
      </w:r>
      <w:r>
        <w:rPr>
          <w:rFonts w:ascii="宋体" w:hAnsi="宋体" w:cs="宋体"/>
          <w:color w:val="0000FF"/>
          <w:sz w:val="24"/>
          <w:szCs w:val="24"/>
          <w:u w:val="single"/>
        </w:rPr>
        <w:t xml:space="preserve">  种方式：</w:t>
      </w:r>
    </w:p>
    <w:p w14:paraId="3F983077">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（1）质量保证金保函，保证金额为：   </w:t>
      </w:r>
      <w:r>
        <w:rPr>
          <w:rFonts w:hint="eastAsia" w:ascii="宋体" w:hAnsi="宋体" w:cs="宋体"/>
          <w:color w:val="0000FF"/>
          <w:sz w:val="24"/>
          <w:szCs w:val="24"/>
          <w:u w:val="single"/>
        </w:rPr>
        <w:t xml:space="preserve">    /        </w:t>
      </w:r>
      <w:r>
        <w:rPr>
          <w:rFonts w:ascii="宋体" w:hAnsi="宋体" w:cs="宋体"/>
          <w:color w:val="0000FF"/>
          <w:sz w:val="24"/>
          <w:szCs w:val="24"/>
          <w:u w:val="single"/>
        </w:rPr>
        <w:t xml:space="preserve">    ； </w:t>
      </w:r>
    </w:p>
    <w:p w14:paraId="14F8F8BC">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（2） </w:t>
      </w:r>
      <w:r>
        <w:rPr>
          <w:rFonts w:hint="eastAsia" w:ascii="宋体" w:hAnsi="宋体" w:cs="宋体"/>
          <w:color w:val="0000FF"/>
          <w:sz w:val="24"/>
          <w:szCs w:val="24"/>
          <w:u w:val="single"/>
        </w:rPr>
        <w:t>扣留竣工结算价</w:t>
      </w:r>
      <w:r>
        <w:rPr>
          <w:rFonts w:ascii="宋体" w:hAnsi="宋体" w:cs="宋体"/>
          <w:color w:val="0000FF"/>
          <w:sz w:val="24"/>
          <w:szCs w:val="24"/>
          <w:u w:val="single"/>
        </w:rPr>
        <w:t xml:space="preserve">  </w:t>
      </w:r>
      <w:r>
        <w:rPr>
          <w:rFonts w:hint="eastAsia" w:ascii="宋体" w:hAnsi="宋体" w:cs="宋体"/>
          <w:color w:val="0000FF"/>
          <w:sz w:val="24"/>
          <w:szCs w:val="24"/>
          <w:u w:val="single"/>
        </w:rPr>
        <w:t>3</w:t>
      </w:r>
      <w:r>
        <w:rPr>
          <w:rFonts w:ascii="宋体" w:hAnsi="宋体" w:cs="宋体"/>
          <w:color w:val="0000FF"/>
          <w:sz w:val="24"/>
          <w:szCs w:val="24"/>
          <w:u w:val="single"/>
        </w:rPr>
        <w:t xml:space="preserve">   %的工程款；</w:t>
      </w:r>
    </w:p>
    <w:p w14:paraId="31AE2E17">
      <w:pPr>
        <w:spacing w:line="360" w:lineRule="auto"/>
        <w:rPr>
          <w:rFonts w:ascii="宋体" w:hAnsi="宋体" w:cs="宋体"/>
          <w:color w:val="0000FF"/>
          <w:sz w:val="24"/>
          <w:szCs w:val="24"/>
          <w:u w:val="single"/>
        </w:rPr>
      </w:pPr>
      <w:r>
        <w:rPr>
          <w:rFonts w:ascii="宋体" w:hAnsi="宋体" w:cs="宋体"/>
          <w:color w:val="0000FF"/>
          <w:sz w:val="24"/>
          <w:szCs w:val="24"/>
          <w:u w:val="single"/>
        </w:rPr>
        <w:t>（3）其他</w:t>
      </w:r>
      <w:r>
        <w:rPr>
          <w:rFonts w:hint="eastAsia" w:ascii="宋体" w:hAnsi="宋体" w:cs="宋体"/>
          <w:color w:val="0000FF"/>
          <w:sz w:val="24"/>
          <w:szCs w:val="24"/>
          <w:u w:val="single"/>
        </w:rPr>
        <w:t>方</w:t>
      </w:r>
      <w:r>
        <w:rPr>
          <w:rFonts w:ascii="宋体" w:hAnsi="宋体" w:cs="宋体"/>
          <w:color w:val="0000FF"/>
          <w:sz w:val="24"/>
          <w:szCs w:val="24"/>
          <w:u w:val="single"/>
        </w:rPr>
        <w:t xml:space="preserve">式:          </w:t>
      </w:r>
      <w:r>
        <w:rPr>
          <w:rFonts w:hint="eastAsia" w:ascii="宋体" w:hAnsi="宋体" w:cs="宋体"/>
          <w:color w:val="0000FF"/>
          <w:sz w:val="24"/>
          <w:szCs w:val="24"/>
          <w:u w:val="single"/>
        </w:rPr>
        <w:t xml:space="preserve">    /                   </w:t>
      </w:r>
      <w:r>
        <w:rPr>
          <w:rFonts w:ascii="宋体" w:hAnsi="宋体" w:cs="宋体"/>
          <w:color w:val="0000FF"/>
          <w:sz w:val="24"/>
          <w:szCs w:val="24"/>
          <w:u w:val="single"/>
        </w:rPr>
        <w:t xml:space="preserve">      。</w:t>
      </w:r>
    </w:p>
    <w:p w14:paraId="59AD22F6">
      <w:pPr>
        <w:spacing w:line="360" w:lineRule="auto"/>
        <w:rPr>
          <w:rFonts w:ascii="宋体" w:hAnsi="宋体" w:cs="宋体"/>
          <w:color w:val="0000FF"/>
          <w:sz w:val="24"/>
          <w:szCs w:val="24"/>
          <w:u w:val="single"/>
        </w:rPr>
      </w:pPr>
      <w:r>
        <w:rPr>
          <w:rFonts w:hint="eastAsia" w:ascii="宋体" w:hAnsi="宋体" w:cs="宋体"/>
          <w:color w:val="0000FF"/>
          <w:sz w:val="24"/>
          <w:szCs w:val="24"/>
          <w:u w:val="single"/>
        </w:rPr>
        <w:t>14.5.5</w:t>
      </w:r>
      <w:r>
        <w:rPr>
          <w:rFonts w:ascii="宋体" w:hAnsi="宋体" w:cs="宋体"/>
          <w:color w:val="0000FF"/>
          <w:sz w:val="24"/>
          <w:szCs w:val="24"/>
          <w:u w:val="single"/>
        </w:rPr>
        <w:t xml:space="preserve"> 质量保证金的扣留 </w:t>
      </w:r>
    </w:p>
    <w:p w14:paraId="2FD86D99">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质量保证金的扣留采取以下第 </w:t>
      </w:r>
      <w:r>
        <w:rPr>
          <w:rFonts w:hint="eastAsia" w:ascii="宋体" w:hAnsi="宋体" w:cs="宋体"/>
          <w:color w:val="0000FF"/>
          <w:sz w:val="24"/>
          <w:szCs w:val="24"/>
          <w:u w:val="single"/>
        </w:rPr>
        <w:t xml:space="preserve">  (2)</w:t>
      </w:r>
      <w:r>
        <w:rPr>
          <w:rFonts w:ascii="宋体" w:hAnsi="宋体" w:cs="宋体"/>
          <w:color w:val="0000FF"/>
          <w:sz w:val="24"/>
          <w:szCs w:val="24"/>
          <w:u w:val="single"/>
        </w:rPr>
        <w:t xml:space="preserve">  种方式：</w:t>
      </w:r>
    </w:p>
    <w:p w14:paraId="15C89A8F">
      <w:pPr>
        <w:spacing w:line="360" w:lineRule="auto"/>
        <w:rPr>
          <w:rFonts w:ascii="宋体" w:hAnsi="宋体" w:cs="宋体"/>
          <w:color w:val="0000FF"/>
          <w:sz w:val="24"/>
          <w:szCs w:val="24"/>
          <w:u w:val="single"/>
        </w:rPr>
      </w:pPr>
      <w:r>
        <w:rPr>
          <w:rFonts w:ascii="宋体" w:hAnsi="宋体" w:cs="宋体"/>
          <w:color w:val="0000FF"/>
          <w:sz w:val="24"/>
          <w:szCs w:val="24"/>
          <w:u w:val="single"/>
        </w:rPr>
        <w:t>（1）在支付工程进度款时逐次扣留，在此情形下，质量保证金的计算基数不包括预付款的支付、扣回以及价格调整的金额；</w:t>
      </w:r>
    </w:p>
    <w:p w14:paraId="5AEE54B2">
      <w:pPr>
        <w:spacing w:line="360" w:lineRule="auto"/>
        <w:rPr>
          <w:rFonts w:ascii="宋体" w:hAnsi="宋体" w:cs="宋体"/>
          <w:color w:val="0000FF"/>
          <w:sz w:val="24"/>
          <w:szCs w:val="24"/>
          <w:u w:val="single"/>
        </w:rPr>
      </w:pPr>
      <w:r>
        <w:rPr>
          <w:rFonts w:ascii="宋体" w:hAnsi="宋体" w:cs="宋体"/>
          <w:color w:val="0000FF"/>
          <w:sz w:val="24"/>
          <w:szCs w:val="24"/>
          <w:u w:val="single"/>
        </w:rPr>
        <w:t>（2）工程竣工结算时一次性扣留质量保证金；</w:t>
      </w:r>
    </w:p>
    <w:p w14:paraId="23CF9AC7">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（3）其他扣留方式:             </w:t>
      </w:r>
      <w:r>
        <w:rPr>
          <w:rFonts w:hint="eastAsia" w:ascii="宋体" w:hAnsi="宋体" w:cs="宋体"/>
          <w:color w:val="0000FF"/>
          <w:sz w:val="24"/>
          <w:szCs w:val="24"/>
          <w:u w:val="single"/>
        </w:rPr>
        <w:t xml:space="preserve">   /</w:t>
      </w:r>
      <w:r>
        <w:rPr>
          <w:rFonts w:ascii="宋体" w:hAnsi="宋体" w:cs="宋体"/>
          <w:color w:val="0000FF"/>
          <w:sz w:val="24"/>
          <w:szCs w:val="24"/>
          <w:u w:val="single"/>
        </w:rPr>
        <w:t xml:space="preserve">  </w:t>
      </w:r>
      <w:r>
        <w:rPr>
          <w:rFonts w:hint="eastAsia" w:ascii="宋体" w:hAnsi="宋体" w:cs="宋体"/>
          <w:color w:val="0000FF"/>
          <w:sz w:val="24"/>
          <w:szCs w:val="24"/>
          <w:u w:val="single"/>
        </w:rPr>
        <w:t xml:space="preserve">               </w:t>
      </w:r>
      <w:r>
        <w:rPr>
          <w:rFonts w:ascii="宋体" w:hAnsi="宋体" w:cs="宋体"/>
          <w:color w:val="0000FF"/>
          <w:sz w:val="24"/>
          <w:szCs w:val="24"/>
          <w:u w:val="single"/>
        </w:rPr>
        <w:t xml:space="preserve">    。</w:t>
      </w:r>
    </w:p>
    <w:p w14:paraId="050E306C">
      <w:pPr>
        <w:spacing w:line="360" w:lineRule="auto"/>
        <w:rPr>
          <w:rFonts w:ascii="宋体" w:hAnsi="宋体" w:cs="宋体"/>
          <w:color w:val="0000FF"/>
          <w:sz w:val="24"/>
          <w:szCs w:val="24"/>
          <w:u w:val="single"/>
        </w:rPr>
      </w:pPr>
      <w:r>
        <w:rPr>
          <w:rFonts w:ascii="宋体" w:hAnsi="宋体" w:cs="宋体"/>
          <w:color w:val="0000FF"/>
          <w:sz w:val="24"/>
          <w:szCs w:val="24"/>
          <w:u w:val="single"/>
        </w:rPr>
        <w:t xml:space="preserve">关于质量保证金的补充约定： </w:t>
      </w:r>
      <w:r>
        <w:rPr>
          <w:rFonts w:hint="eastAsia" w:ascii="宋体" w:hAnsi="宋体" w:cs="宋体"/>
          <w:color w:val="0000FF"/>
          <w:sz w:val="24"/>
          <w:szCs w:val="24"/>
          <w:u w:val="single"/>
        </w:rPr>
        <w:t xml:space="preserve">发包人退还质量保证金时无息退还 </w:t>
      </w:r>
      <w:r>
        <w:rPr>
          <w:rFonts w:ascii="宋体" w:hAnsi="宋体" w:cs="宋体"/>
          <w:color w:val="0000FF"/>
          <w:sz w:val="24"/>
          <w:szCs w:val="24"/>
          <w:u w:val="single"/>
        </w:rPr>
        <w:t>。</w:t>
      </w:r>
    </w:p>
    <w:p w14:paraId="7EDEF479">
      <w:pPr>
        <w:spacing w:after="120" w:line="360" w:lineRule="auto"/>
        <w:ind w:firstLine="480" w:firstLineChars="200"/>
        <w:rPr>
          <w:rFonts w:hint="eastAsia" w:ascii="宋体" w:hAnsi="宋体" w:cs="宋体"/>
          <w:color w:val="0000FF"/>
          <w:sz w:val="24"/>
          <w:szCs w:val="24"/>
          <w:u w:val="single"/>
        </w:rPr>
      </w:pPr>
      <w:r>
        <w:rPr>
          <w:rFonts w:hint="eastAsia" w:ascii="宋体" w:hAnsi="宋体" w:cs="宋体"/>
          <w:color w:val="0000FF"/>
          <w:sz w:val="24"/>
          <w:szCs w:val="24"/>
          <w:u w:val="single"/>
        </w:rPr>
        <w:t xml:space="preserve">     14.5.5保修</w:t>
      </w:r>
    </w:p>
    <w:p w14:paraId="215F56AB">
      <w:pPr>
        <w:spacing w:line="360" w:lineRule="auto"/>
        <w:ind w:firstLine="468" w:firstLineChars="195"/>
        <w:jc w:val="left"/>
        <w:rPr>
          <w:rFonts w:hint="eastAsia" w:ascii="宋体" w:hAnsi="宋体" w:cs="宋体"/>
          <w:color w:val="000000"/>
          <w:sz w:val="24"/>
          <w:szCs w:val="24"/>
        </w:rPr>
      </w:pPr>
      <w:r>
        <w:rPr>
          <w:rFonts w:hint="eastAsia" w:ascii="宋体" w:hAnsi="宋体" w:cs="宋体"/>
          <w:color w:val="000000"/>
          <w:sz w:val="24"/>
          <w:szCs w:val="24"/>
        </w:rPr>
        <w:t>14.5.6 保修责任</w:t>
      </w:r>
    </w:p>
    <w:p w14:paraId="56FAD1BD">
      <w:pPr>
        <w:spacing w:line="360" w:lineRule="auto"/>
        <w:ind w:firstLine="468" w:firstLineChars="195"/>
        <w:jc w:val="left"/>
        <w:rPr>
          <w:rFonts w:hint="eastAsia" w:ascii="宋体" w:hAnsi="宋体" w:cs="宋体"/>
          <w:color w:val="000000"/>
          <w:kern w:val="0"/>
          <w:sz w:val="24"/>
          <w:szCs w:val="24"/>
        </w:rPr>
      </w:pPr>
      <w:r>
        <w:rPr>
          <w:rFonts w:hint="eastAsia" w:ascii="宋体" w:hAnsi="宋体" w:cs="宋体"/>
          <w:color w:val="000000"/>
          <w:sz w:val="24"/>
          <w:szCs w:val="24"/>
        </w:rPr>
        <w:t>工程保修期为：</w:t>
      </w:r>
      <w:r>
        <w:rPr>
          <w:rFonts w:hint="eastAsia" w:ascii="宋体" w:hAnsi="宋体" w:cs="宋体"/>
          <w:color w:val="0000FF"/>
          <w:sz w:val="24"/>
          <w:szCs w:val="24"/>
          <w:u w:val="single"/>
        </w:rPr>
        <w:t>以本工程《市政工程质量保修书》为准</w:t>
      </w:r>
      <w:r>
        <w:rPr>
          <w:rFonts w:hint="eastAsia" w:ascii="宋体" w:hAnsi="宋体" w:cs="宋体"/>
          <w:color w:val="000000"/>
          <w:kern w:val="0"/>
          <w:sz w:val="24"/>
          <w:szCs w:val="24"/>
        </w:rPr>
        <w:t>。</w:t>
      </w:r>
    </w:p>
    <w:p w14:paraId="18D214ED">
      <w:pPr>
        <w:spacing w:line="360" w:lineRule="auto"/>
        <w:ind w:firstLine="468" w:firstLineChars="195"/>
        <w:jc w:val="left"/>
        <w:rPr>
          <w:rFonts w:hint="eastAsia" w:ascii="宋体" w:hAnsi="宋体" w:cs="宋体"/>
          <w:color w:val="000000"/>
          <w:sz w:val="24"/>
          <w:szCs w:val="24"/>
        </w:rPr>
      </w:pPr>
      <w:r>
        <w:rPr>
          <w:rFonts w:hint="eastAsia" w:ascii="宋体" w:hAnsi="宋体" w:cs="宋体"/>
          <w:color w:val="000000"/>
          <w:sz w:val="24"/>
          <w:szCs w:val="24"/>
        </w:rPr>
        <w:t>14.5.7 修复通知</w:t>
      </w:r>
    </w:p>
    <w:p w14:paraId="5BA570B9">
      <w:pPr>
        <w:spacing w:line="360" w:lineRule="auto"/>
        <w:jc w:val="left"/>
        <w:rPr>
          <w:rFonts w:hint="eastAsia" w:ascii="宋体" w:hAnsi="宋体" w:cs="宋体"/>
          <w:color w:val="000000"/>
          <w:kern w:val="0"/>
          <w:sz w:val="24"/>
          <w:szCs w:val="24"/>
        </w:rPr>
      </w:pPr>
      <w:r>
        <w:rPr>
          <w:rFonts w:hint="eastAsia" w:ascii="宋体" w:hAnsi="宋体" w:cs="宋体"/>
          <w:color w:val="000000"/>
          <w:kern w:val="0"/>
          <w:sz w:val="24"/>
          <w:szCs w:val="24"/>
        </w:rPr>
        <w:t>承包人收到保修通知并到达工程现场的合理时间：</w:t>
      </w:r>
      <w:r>
        <w:rPr>
          <w:rFonts w:hint="eastAsia" w:ascii="宋体" w:hAnsi="宋体" w:cs="宋体"/>
          <w:color w:val="0000FF"/>
          <w:sz w:val="24"/>
          <w:szCs w:val="24"/>
          <w:u w:val="single"/>
        </w:rPr>
        <w:t>24小时内</w:t>
      </w:r>
      <w:r>
        <w:rPr>
          <w:rFonts w:hint="eastAsia" w:ascii="宋体" w:hAnsi="宋体" w:cs="宋体"/>
          <w:color w:val="000000"/>
          <w:kern w:val="0"/>
          <w:sz w:val="24"/>
          <w:szCs w:val="24"/>
        </w:rPr>
        <w:t>。</w:t>
      </w:r>
    </w:p>
    <w:p w14:paraId="0157681B">
      <w:pPr>
        <w:tabs>
          <w:tab w:val="left" w:pos="638"/>
          <w:tab w:val="left" w:pos="3774"/>
        </w:tabs>
        <w:spacing w:after="100" w:line="360" w:lineRule="auto"/>
        <w:ind w:left="280"/>
        <w:jc w:val="left"/>
        <w:rPr>
          <w:rFonts w:hint="eastAsia" w:ascii="宋体" w:hAnsi="宋体" w:cs="宋体"/>
          <w:szCs w:val="21"/>
          <w:lang w:val="zh-TW" w:eastAsia="zh-TW" w:bidi="zh-TW"/>
        </w:rPr>
      </w:pP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78C90D34">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14.6</w:t>
      </w:r>
      <w:r>
        <w:rPr>
          <w:rFonts w:hint="eastAsia" w:ascii="宋体" w:hAnsi="宋体" w:cs="宋体"/>
          <w:color w:val="000000"/>
          <w:szCs w:val="21"/>
          <w:lang w:val="zh-TW" w:eastAsia="zh-TW" w:bidi="zh-TW"/>
        </w:rPr>
        <w:t>按月工程进度申请付款</w:t>
      </w:r>
    </w:p>
    <w:p w14:paraId="661B2740">
      <w:pPr>
        <w:spacing w:line="360" w:lineRule="auto"/>
        <w:ind w:firstLine="420" w:firstLineChars="200"/>
        <w:jc w:val="left"/>
        <w:rPr>
          <w:rFonts w:hint="eastAsia" w:ascii="宋体" w:hAnsi="宋体" w:cs="宋体"/>
          <w:color w:val="000000"/>
          <w:sz w:val="24"/>
          <w:szCs w:val="24"/>
        </w:rPr>
      </w:pPr>
      <w:r>
        <w:rPr>
          <w:rFonts w:hint="eastAsia" w:ascii="Times New Roman" w:hAnsi="Times New Roman"/>
          <w:color w:val="000000"/>
          <w:szCs w:val="21"/>
        </w:rPr>
        <w:t>按月付款申请报告的格式、内容、份数和提交时间：</w:t>
      </w:r>
      <w:r>
        <w:rPr>
          <w:rFonts w:hint="eastAsia" w:ascii="Times New Roman" w:hAnsi="Times New Roman"/>
          <w:szCs w:val="21"/>
          <w:u w:val="single"/>
        </w:rPr>
        <w:t xml:space="preserve">  </w:t>
      </w:r>
      <w:r>
        <w:rPr>
          <w:rFonts w:hint="eastAsia" w:ascii="宋体" w:hAnsi="宋体" w:cs="宋体"/>
          <w:color w:val="000000"/>
          <w:sz w:val="24"/>
          <w:szCs w:val="24"/>
        </w:rPr>
        <w:t>工程量计算规则：</w:t>
      </w:r>
      <w:r>
        <w:rPr>
          <w:rFonts w:hint="eastAsia" w:ascii="宋体" w:hAnsi="宋体" w:cs="宋体"/>
          <w:color w:val="0000FF"/>
          <w:sz w:val="24"/>
          <w:szCs w:val="24"/>
          <w:u w:val="single"/>
        </w:rPr>
        <w:t>工程量计算规则执行国家标准《建设工程工程量清单计价规范》（GB50500—2013）、《四川省建筑工程工程量清单计价定额》（2020）相关专业工程，或适用的修订版本。除合同另有约定外，承包人实际完成的工程量按约定的工程量计算规则和有合同约束力的图纸进行计量</w:t>
      </w:r>
      <w:r>
        <w:rPr>
          <w:rFonts w:hint="eastAsia" w:ascii="宋体" w:hAnsi="宋体" w:cs="宋体"/>
          <w:color w:val="000000"/>
          <w:sz w:val="24"/>
          <w:szCs w:val="24"/>
        </w:rPr>
        <w:t>。</w:t>
      </w:r>
    </w:p>
    <w:p w14:paraId="2EB881A8">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计量周期</w:t>
      </w:r>
    </w:p>
    <w:p w14:paraId="3B6E2B1E">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关于计量周期的约定：</w:t>
      </w:r>
      <w:r>
        <w:rPr>
          <w:rFonts w:hint="eastAsia" w:ascii="宋体" w:hAnsi="宋体" w:cs="宋体"/>
          <w:color w:val="0000FF"/>
          <w:sz w:val="24"/>
          <w:szCs w:val="24"/>
          <w:u w:val="single"/>
        </w:rPr>
        <w:t>本合同的计量周期为月，每月25日为当月计量截止日期（不含当日）和下月计量起始日期（含当日）</w:t>
      </w:r>
      <w:r>
        <w:rPr>
          <w:rFonts w:hint="eastAsia" w:ascii="宋体" w:hAnsi="宋体" w:cs="宋体"/>
          <w:color w:val="000000"/>
          <w:sz w:val="24"/>
          <w:szCs w:val="24"/>
        </w:rPr>
        <w:t>。</w:t>
      </w:r>
    </w:p>
    <w:p w14:paraId="25BBBC58">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单价合同的计量</w:t>
      </w:r>
    </w:p>
    <w:p w14:paraId="2932554D">
      <w:pPr>
        <w:spacing w:line="360" w:lineRule="auto"/>
        <w:ind w:firstLine="480" w:firstLineChars="200"/>
        <w:jc w:val="left"/>
        <w:rPr>
          <w:rFonts w:ascii="宋体" w:hAnsi="宋体"/>
          <w:sz w:val="24"/>
          <w:szCs w:val="24"/>
        </w:rPr>
      </w:pPr>
      <w:r>
        <w:rPr>
          <w:rFonts w:hint="eastAsia" w:ascii="宋体" w:hAnsi="宋体" w:cs="宋体"/>
          <w:color w:val="000000"/>
          <w:sz w:val="24"/>
          <w:szCs w:val="24"/>
        </w:rPr>
        <w:t>关于单价合同计量的约定：</w:t>
      </w:r>
      <w:r>
        <w:rPr>
          <w:rFonts w:ascii="宋体" w:hAnsi="宋体"/>
          <w:sz w:val="24"/>
          <w:szCs w:val="24"/>
          <w:u w:val="single"/>
        </w:rPr>
        <w:t>（1）承包人应于每月25日向监理人报送上月20日至当月19日已完成</w:t>
      </w:r>
      <w:r>
        <w:rPr>
          <w:rFonts w:hint="eastAsia" w:ascii="宋体" w:hAnsi="宋体"/>
          <w:sz w:val="24"/>
          <w:szCs w:val="24"/>
          <w:u w:val="single"/>
        </w:rPr>
        <w:t>且经验收合格（含检验批、分部分项工程、单位工程、单项工程等）</w:t>
      </w:r>
      <w:r>
        <w:rPr>
          <w:rFonts w:ascii="宋体" w:hAnsi="宋体"/>
          <w:sz w:val="24"/>
          <w:szCs w:val="24"/>
          <w:u w:val="single"/>
        </w:rPr>
        <w:t>的工程量报告，并附具进度付款申请单、已完成工程量报表和有关</w:t>
      </w:r>
      <w:r>
        <w:rPr>
          <w:rFonts w:hint="eastAsia" w:ascii="宋体" w:hAnsi="宋体"/>
          <w:sz w:val="24"/>
          <w:szCs w:val="24"/>
          <w:u w:val="single"/>
        </w:rPr>
        <w:t>检验验收</w:t>
      </w:r>
      <w:r>
        <w:rPr>
          <w:rFonts w:ascii="宋体" w:hAnsi="宋体"/>
          <w:sz w:val="24"/>
          <w:szCs w:val="24"/>
          <w:u w:val="single"/>
        </w:rPr>
        <w:t>资料。（2）监理人应在收到承包人提交的工程量报告后7天内完成对承包人提交的工程量报表的审核并报送发包人</w:t>
      </w:r>
      <w:r>
        <w:rPr>
          <w:rFonts w:hint="eastAsia" w:ascii="宋体" w:hAnsi="宋体"/>
          <w:sz w:val="24"/>
          <w:szCs w:val="24"/>
          <w:u w:val="single"/>
        </w:rPr>
        <w:t>审核，发包人应在收到完整资料后14天内审核确认</w:t>
      </w:r>
      <w:r>
        <w:rPr>
          <w:rFonts w:ascii="宋体" w:hAnsi="宋体"/>
          <w:sz w:val="24"/>
          <w:szCs w:val="24"/>
          <w:u w:val="single"/>
        </w:rPr>
        <w:t>。</w:t>
      </w:r>
      <w:r>
        <w:rPr>
          <w:rFonts w:hint="eastAsia" w:ascii="宋体" w:hAnsi="宋体"/>
          <w:sz w:val="24"/>
          <w:szCs w:val="24"/>
          <w:u w:val="single"/>
        </w:rPr>
        <w:t>发包人</w:t>
      </w:r>
      <w:r>
        <w:rPr>
          <w:rFonts w:ascii="宋体" w:hAnsi="宋体"/>
          <w:sz w:val="24"/>
          <w:szCs w:val="24"/>
          <w:u w:val="single"/>
        </w:rPr>
        <w:t>对工程量有异议的，有权要求承包人进行共同复核或抽样复测。承包人应协助</w:t>
      </w:r>
      <w:r>
        <w:rPr>
          <w:rFonts w:hint="eastAsia" w:ascii="宋体" w:hAnsi="宋体"/>
          <w:sz w:val="24"/>
          <w:szCs w:val="24"/>
          <w:u w:val="single"/>
        </w:rPr>
        <w:t>发包</w:t>
      </w:r>
      <w:r>
        <w:rPr>
          <w:rFonts w:ascii="宋体" w:hAnsi="宋体"/>
          <w:sz w:val="24"/>
          <w:szCs w:val="24"/>
          <w:u w:val="single"/>
        </w:rPr>
        <w:t>人进行复核或抽样复测，并按</w:t>
      </w:r>
      <w:r>
        <w:rPr>
          <w:rFonts w:hint="eastAsia" w:ascii="宋体" w:hAnsi="宋体"/>
          <w:sz w:val="24"/>
          <w:szCs w:val="24"/>
          <w:u w:val="single"/>
        </w:rPr>
        <w:t>发包人</w:t>
      </w:r>
      <w:r>
        <w:rPr>
          <w:rFonts w:ascii="宋体" w:hAnsi="宋体"/>
          <w:sz w:val="24"/>
          <w:szCs w:val="24"/>
          <w:u w:val="single"/>
        </w:rPr>
        <w:t>要求提供补充计量资料。承包人未按</w:t>
      </w:r>
      <w:r>
        <w:rPr>
          <w:rFonts w:hint="eastAsia" w:ascii="宋体" w:hAnsi="宋体"/>
          <w:sz w:val="24"/>
          <w:szCs w:val="24"/>
          <w:u w:val="single"/>
        </w:rPr>
        <w:t>发包</w:t>
      </w:r>
      <w:r>
        <w:rPr>
          <w:rFonts w:ascii="宋体" w:hAnsi="宋体"/>
          <w:sz w:val="24"/>
          <w:szCs w:val="24"/>
          <w:u w:val="single"/>
        </w:rPr>
        <w:t>人要求参加复核或抽样复测的，</w:t>
      </w:r>
      <w:r>
        <w:rPr>
          <w:rFonts w:hint="eastAsia" w:ascii="宋体" w:hAnsi="宋体"/>
          <w:sz w:val="24"/>
          <w:szCs w:val="24"/>
          <w:u w:val="single"/>
        </w:rPr>
        <w:t>发包人</w:t>
      </w:r>
      <w:r>
        <w:rPr>
          <w:rFonts w:ascii="宋体" w:hAnsi="宋体"/>
          <w:sz w:val="24"/>
          <w:szCs w:val="24"/>
          <w:u w:val="single"/>
        </w:rPr>
        <w:t>复核或修正的工程量视为承包人实际完成的工程量。（3）</w:t>
      </w:r>
      <w:r>
        <w:rPr>
          <w:rFonts w:hint="eastAsia" w:ascii="宋体" w:hAnsi="宋体"/>
          <w:sz w:val="24"/>
          <w:szCs w:val="24"/>
          <w:u w:val="single"/>
        </w:rPr>
        <w:t>每月收方工程范围：承包人提供的验收资料的分部分项工程</w:t>
      </w:r>
      <w:r>
        <w:rPr>
          <w:rFonts w:ascii="宋体" w:hAnsi="宋体"/>
          <w:sz w:val="24"/>
          <w:szCs w:val="24"/>
          <w:u w:val="single"/>
        </w:rPr>
        <w:t>。</w:t>
      </w:r>
      <w:r>
        <w:rPr>
          <w:rFonts w:hint="eastAsia" w:ascii="宋体" w:hAnsi="宋体"/>
          <w:sz w:val="24"/>
          <w:szCs w:val="24"/>
          <w:u w:val="single"/>
        </w:rPr>
        <w:t>如承包人未按月申请，视为承包人放弃当月计量申请，发包人无按月支付义务</w:t>
      </w:r>
      <w:r>
        <w:rPr>
          <w:rFonts w:ascii="宋体" w:hAnsi="宋体"/>
          <w:sz w:val="24"/>
          <w:szCs w:val="24"/>
          <w:u w:val="single"/>
        </w:rPr>
        <w:t xml:space="preserve"> </w:t>
      </w:r>
      <w:r>
        <w:rPr>
          <w:rFonts w:ascii="宋体" w:hAnsi="宋体"/>
          <w:sz w:val="24"/>
          <w:szCs w:val="24"/>
        </w:rPr>
        <w:t>。</w:t>
      </w:r>
    </w:p>
    <w:p w14:paraId="24C08B12">
      <w:pPr>
        <w:spacing w:line="360" w:lineRule="auto"/>
        <w:ind w:firstLine="220"/>
        <w:jc w:val="left"/>
        <w:rPr>
          <w:rFonts w:hint="eastAsia" w:ascii="宋体" w:hAnsi="宋体" w:cs="宋体"/>
          <w:szCs w:val="21"/>
          <w:lang w:val="zh-TW" w:eastAsia="zh-TW" w:bidi="zh-TW"/>
        </w:rPr>
      </w:pPr>
      <w:r>
        <w:rPr>
          <w:rFonts w:hint="eastAsia" w:ascii="宋体" w:hAnsi="宋体" w:cs="宋体"/>
          <w:b/>
          <w:bCs/>
          <w:color w:val="000000"/>
          <w:szCs w:val="21"/>
          <w:lang w:bidi="en-US"/>
        </w:rPr>
        <w:t>14.7</w:t>
      </w:r>
      <w:r>
        <w:rPr>
          <w:rFonts w:hint="eastAsia" w:ascii="宋体" w:hAnsi="宋体" w:cs="宋体"/>
          <w:color w:val="000000"/>
          <w:szCs w:val="21"/>
          <w:lang w:val="zh-TW" w:eastAsia="zh-TW" w:bidi="zh-TW"/>
        </w:rPr>
        <w:t>按付款计划表申请付款</w:t>
      </w:r>
    </w:p>
    <w:p w14:paraId="44137E31">
      <w:pPr>
        <w:tabs>
          <w:tab w:val="left" w:pos="3494"/>
        </w:tabs>
        <w:spacing w:line="360" w:lineRule="auto"/>
        <w:ind w:firstLine="22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付款期数、每期付款金额、每期需达到的主要计划形象进度和主要计划工程 量进度：</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p>
    <w:p w14:paraId="661C21D6">
      <w:pPr>
        <w:tabs>
          <w:tab w:val="left" w:pos="3814"/>
        </w:tabs>
        <w:spacing w:after="100" w:line="360" w:lineRule="auto"/>
        <w:ind w:firstLine="20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付款申请报告的格式、内容、份数和提交时间：</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622F78CB">
      <w:pPr>
        <w:keepNext/>
        <w:keepLines/>
        <w:spacing w:line="360" w:lineRule="auto"/>
        <w:ind w:firstLine="200"/>
        <w:jc w:val="left"/>
        <w:outlineLvl w:val="1"/>
        <w:rPr>
          <w:rFonts w:hint="eastAsia" w:ascii="宋体" w:hAnsi="宋体" w:cs="宋体"/>
          <w:szCs w:val="21"/>
          <w:lang w:val="zh-TW" w:eastAsia="zh-TW" w:bidi="zh-TW"/>
        </w:rPr>
      </w:pPr>
      <w:r>
        <w:rPr>
          <w:rFonts w:hint="eastAsia" w:ascii="宋体" w:hAnsi="宋体" w:cs="宋体"/>
          <w:b/>
          <w:bCs/>
          <w:color w:val="000000"/>
          <w:szCs w:val="21"/>
          <w:lang w:bidi="en-US"/>
        </w:rPr>
        <w:t>14.12</w:t>
      </w:r>
      <w:r>
        <w:rPr>
          <w:rFonts w:hint="eastAsia" w:ascii="宋体" w:hAnsi="宋体" w:cs="宋体"/>
          <w:color w:val="000000"/>
          <w:szCs w:val="21"/>
          <w:lang w:val="zh-TW" w:eastAsia="zh-TW" w:bidi="zh-TW"/>
        </w:rPr>
        <w:t>竣工结算</w:t>
      </w:r>
    </w:p>
    <w:p w14:paraId="4E448D7F">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14.12.1</w:t>
      </w:r>
      <w:r>
        <w:rPr>
          <w:rFonts w:hint="eastAsia" w:ascii="宋体" w:hAnsi="宋体" w:cs="宋体"/>
          <w:color w:val="000000"/>
          <w:szCs w:val="21"/>
          <w:lang w:val="zh-TW" w:eastAsia="zh-TW" w:bidi="zh-TW"/>
        </w:rPr>
        <w:t>提交竣工结算资料</w:t>
      </w:r>
    </w:p>
    <w:p w14:paraId="72B2304F">
      <w:pPr>
        <w:autoSpaceDE w:val="0"/>
        <w:autoSpaceDN w:val="0"/>
        <w:adjustRightInd w:val="0"/>
        <w:spacing w:line="360" w:lineRule="auto"/>
        <w:jc w:val="left"/>
        <w:rPr>
          <w:rFonts w:hint="eastAsia" w:ascii="宋体" w:hAnsi="宋体" w:cs="宋体"/>
          <w:color w:val="0000FF"/>
          <w:sz w:val="24"/>
          <w:szCs w:val="24"/>
          <w:u w:val="single"/>
        </w:rPr>
      </w:pPr>
      <w:r>
        <w:rPr>
          <w:rFonts w:hint="eastAsia" w:ascii="Times New Roman" w:hAnsi="Times New Roman"/>
          <w:color w:val="000000"/>
          <w:szCs w:val="21"/>
        </w:rPr>
        <w:t>竣工结算资料的格式、内容和份数：</w:t>
      </w:r>
      <w:r>
        <w:rPr>
          <w:rFonts w:hint="eastAsia" w:ascii="Times New Roman" w:hAnsi="Times New Roman"/>
          <w:szCs w:val="21"/>
          <w:u w:val="single"/>
        </w:rPr>
        <w:t xml:space="preserve"> </w:t>
      </w:r>
      <w:r>
        <w:rPr>
          <w:rFonts w:hint="eastAsia" w:ascii="宋体" w:hAnsi="宋体" w:cs="宋体"/>
          <w:sz w:val="24"/>
          <w:szCs w:val="24"/>
        </w:rPr>
        <w:t>承包人提交竣工结算申请单的期限：</w:t>
      </w:r>
      <w:r>
        <w:rPr>
          <w:rFonts w:hint="eastAsia" w:ascii="宋体" w:hAnsi="宋体" w:cs="宋体"/>
          <w:color w:val="0000FF"/>
          <w:sz w:val="24"/>
          <w:szCs w:val="24"/>
          <w:u w:val="single"/>
        </w:rPr>
        <w:t>竣工验收合格后60日内 。</w:t>
      </w:r>
    </w:p>
    <w:p w14:paraId="7549522F">
      <w:pPr>
        <w:spacing w:line="360" w:lineRule="auto"/>
        <w:ind w:firstLine="480" w:firstLineChars="200"/>
        <w:jc w:val="left"/>
        <w:rPr>
          <w:rFonts w:ascii="宋体" w:hAnsi="宋体" w:cs="宋体"/>
          <w:color w:val="0000FF"/>
          <w:sz w:val="24"/>
          <w:szCs w:val="24"/>
          <w:u w:val="single"/>
        </w:rPr>
      </w:pPr>
      <w:r>
        <w:rPr>
          <w:rFonts w:hint="eastAsia" w:ascii="宋体" w:hAnsi="宋体" w:cs="宋体"/>
          <w:color w:val="000000"/>
          <w:sz w:val="24"/>
          <w:szCs w:val="24"/>
        </w:rPr>
        <w:t>竣工结算申请单应包括的内容：</w:t>
      </w:r>
      <w:r>
        <w:rPr>
          <w:rFonts w:hint="eastAsia" w:ascii="宋体" w:hAnsi="宋体" w:cs="宋体"/>
          <w:color w:val="0000FF"/>
          <w:sz w:val="24"/>
          <w:szCs w:val="24"/>
          <w:u w:val="single"/>
        </w:rPr>
        <w:t>按发包人书面通知清单。承包人未提交资料、提交资料不齐全或提交资料的人员非本条款约定的专门人员的，视为未提交结算资料，发包人均有权拒绝审核结算价款及支付工程款，产生的损失及违约责任均由承包人承担，与发包人无关。承包人如未在规定时间内提供完整的工程竣工结算资料，经发包人催促后14天内仍未提供或没有明确答复，发包人有权根据已有资料进行审查，责任由承包人自负。</w:t>
      </w:r>
    </w:p>
    <w:p w14:paraId="425D1F17">
      <w:pPr>
        <w:keepNext/>
        <w:keepLines/>
        <w:spacing w:after="14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15</w:t>
      </w:r>
      <w:r>
        <w:rPr>
          <w:rFonts w:hint="eastAsia" w:ascii="宋体" w:hAnsi="宋体" w:cs="宋体"/>
          <w:color w:val="000000"/>
          <w:szCs w:val="21"/>
          <w:lang w:val="zh-TW" w:eastAsia="zh-TW" w:bidi="zh-TW"/>
        </w:rPr>
        <w:t>条保险</w:t>
      </w:r>
    </w:p>
    <w:p w14:paraId="36B79F0F">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15.1</w:t>
      </w:r>
      <w:r>
        <w:rPr>
          <w:rFonts w:hint="eastAsia" w:ascii="宋体" w:hAnsi="宋体" w:cs="宋体"/>
          <w:color w:val="000000"/>
          <w:szCs w:val="21"/>
          <w:lang w:val="zh-TW" w:eastAsia="zh-TW" w:bidi="zh-TW"/>
        </w:rPr>
        <w:t>承包人的投保</w:t>
      </w:r>
    </w:p>
    <w:p w14:paraId="5B6F0DF4">
      <w:pPr>
        <w:tabs>
          <w:tab w:val="left" w:pos="3845"/>
        </w:tabs>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15.1.1</w:t>
      </w:r>
      <w:r>
        <w:rPr>
          <w:rFonts w:hint="eastAsia" w:ascii="宋体" w:hAnsi="宋体" w:cs="宋体"/>
          <w:color w:val="000000"/>
          <w:szCs w:val="21"/>
          <w:lang w:val="zh-TW" w:eastAsia="zh-TW" w:bidi="zh-TW"/>
        </w:rPr>
        <w:t>合同双方商定，由承包人负责投保的保险种类、保险范围、投保金额、 保险期限和持续有效的时间：</w:t>
      </w:r>
      <w:r>
        <w:rPr>
          <w:rFonts w:hint="eastAsia" w:ascii="宋体" w:hAnsi="宋体" w:cs="宋体"/>
          <w:color w:val="0000FF"/>
          <w:sz w:val="24"/>
          <w:szCs w:val="10"/>
          <w:u w:val="single"/>
          <w:lang w:val="zh-TW" w:eastAsia="zh-TW" w:bidi="zh-TW"/>
        </w:rPr>
        <w:t>投保工程保险时，险种为：建筑工程一切险、安装工程一切险</w:t>
      </w:r>
      <w:r>
        <w:rPr>
          <w:rFonts w:hint="eastAsia" w:ascii="宋体" w:hAnsi="宋体" w:cs="宋体"/>
          <w:color w:val="000000"/>
          <w:kern w:val="0"/>
          <w:sz w:val="24"/>
          <w:szCs w:val="10"/>
          <w:lang w:val="zh-TW" w:eastAsia="zh-TW" w:bidi="zh-TW"/>
        </w:rPr>
        <w:t>。</w:t>
      </w:r>
      <w:r>
        <w:rPr>
          <w:rFonts w:hint="eastAsia" w:ascii="宋体" w:hAnsi="宋体" w:cs="宋体"/>
          <w:szCs w:val="21"/>
          <w:u w:val="single"/>
          <w:lang w:val="zh-TW" w:eastAsia="zh-TW" w:bidi="zh-TW"/>
        </w:rPr>
        <w:tab/>
      </w:r>
    </w:p>
    <w:p w14:paraId="654C4ED6">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 xml:space="preserve">15.2 </w:t>
      </w:r>
      <w:r>
        <w:rPr>
          <w:rFonts w:hint="eastAsia" w:ascii="宋体" w:hAnsi="宋体" w:cs="宋体"/>
          <w:color w:val="000000"/>
          <w:szCs w:val="21"/>
          <w:lang w:val="zh-TW" w:eastAsia="zh-TW" w:bidi="zh-TW"/>
        </w:rPr>
        <w:t>一切险和第三方责任</w:t>
      </w:r>
    </w:p>
    <w:p w14:paraId="0DA9DFB9">
      <w:pPr>
        <w:spacing w:line="360" w:lineRule="auto"/>
        <w:ind w:firstLine="420" w:firstLineChars="200"/>
        <w:jc w:val="left"/>
        <w:rPr>
          <w:rFonts w:hint="eastAsia" w:ascii="宋体" w:hAnsi="宋体" w:cs="宋体"/>
          <w:color w:val="000000"/>
          <w:kern w:val="0"/>
          <w:sz w:val="24"/>
          <w:szCs w:val="24"/>
        </w:rPr>
      </w:pPr>
      <w:r>
        <w:rPr>
          <w:rFonts w:hint="eastAsia" w:ascii="Times New Roman" w:hAnsi="Times New Roman"/>
          <w:color w:val="000000"/>
          <w:szCs w:val="21"/>
        </w:rPr>
        <w:t>土建工程一切险的投保方及对投保的相关要求：</w:t>
      </w:r>
      <w:r>
        <w:rPr>
          <w:rFonts w:hint="eastAsia" w:ascii="宋体" w:hAnsi="宋体" w:cs="宋体"/>
          <w:color w:val="0000FF"/>
          <w:sz w:val="24"/>
          <w:szCs w:val="24"/>
          <w:u w:val="single"/>
        </w:rPr>
        <w:t>本工程投保工程保险，投保费用由承包人承担，承包人在投标时综合考虑费用。</w:t>
      </w:r>
      <w:r>
        <w:rPr>
          <w:rFonts w:hint="eastAsia" w:ascii="Times New Roman" w:hAnsi="Times New Roman"/>
          <w:szCs w:val="21"/>
          <w:u w:val="single"/>
        </w:rPr>
        <w:tab/>
      </w:r>
      <w:r>
        <w:rPr>
          <w:rFonts w:hint="eastAsia" w:ascii="Times New Roman" w:hAnsi="Times New Roman"/>
          <w:color w:val="000000"/>
          <w:szCs w:val="21"/>
        </w:rPr>
        <w:t xml:space="preserve"> 安装工程及竣工试验一切险的投保方及对投保的相关要求：</w:t>
      </w:r>
      <w:r>
        <w:rPr>
          <w:rFonts w:hint="eastAsia" w:ascii="宋体" w:hAnsi="宋体" w:cs="宋体"/>
          <w:color w:val="0000FF"/>
          <w:sz w:val="24"/>
          <w:szCs w:val="24"/>
          <w:u w:val="single"/>
        </w:rPr>
        <w:t>本工程投保工程保险，投保费用由承包人承担，承包人在投标时综合考虑费用。</w:t>
      </w:r>
      <w:r>
        <w:rPr>
          <w:rFonts w:hint="eastAsia" w:ascii="Times New Roman" w:hAnsi="Times New Roman"/>
          <w:szCs w:val="21"/>
          <w:u w:val="single"/>
        </w:rPr>
        <w:tab/>
      </w:r>
      <w:r>
        <w:rPr>
          <w:rFonts w:hint="eastAsia" w:ascii="Times New Roman" w:hAnsi="Times New Roman"/>
          <w:color w:val="000000"/>
          <w:szCs w:val="21"/>
        </w:rPr>
        <w:t xml:space="preserve"> 第三者责任险的应投保方及对投保的相关要求：</w:t>
      </w:r>
      <w:r>
        <w:rPr>
          <w:rFonts w:hint="eastAsia" w:ascii="宋体" w:hAnsi="宋体" w:cs="宋体"/>
          <w:color w:val="0000FF"/>
          <w:sz w:val="24"/>
          <w:szCs w:val="24"/>
          <w:u w:val="single"/>
        </w:rPr>
        <w:t xml:space="preserve">承包人应为在施工现场的全部人员办理意外伤害保险并支付保险费，包括发包人代表、监理人员、行政监督人员、承包人员工及为本项目服务或工作的设计、勘察、造价咨询单位等第三方的人员 </w:t>
      </w:r>
      <w:r>
        <w:rPr>
          <w:rFonts w:hint="eastAsia" w:ascii="宋体" w:hAnsi="宋体" w:cs="宋体"/>
          <w:color w:val="000000"/>
          <w:kern w:val="0"/>
          <w:sz w:val="24"/>
          <w:szCs w:val="24"/>
        </w:rPr>
        <w:t>。</w:t>
      </w:r>
    </w:p>
    <w:p w14:paraId="537375DB">
      <w:pPr>
        <w:tabs>
          <w:tab w:val="left" w:pos="3854"/>
        </w:tabs>
        <w:spacing w:after="140" w:line="360" w:lineRule="auto"/>
        <w:ind w:left="240"/>
        <w:jc w:val="left"/>
        <w:rPr>
          <w:rFonts w:hint="eastAsia" w:ascii="宋体" w:hAnsi="宋体" w:cs="宋体"/>
          <w:szCs w:val="21"/>
          <w:lang w:val="zh-TW" w:eastAsia="zh-TW" w:bidi="zh-TW"/>
        </w:rPr>
      </w:pPr>
    </w:p>
    <w:p w14:paraId="14537017">
      <w:pPr>
        <w:keepNext/>
        <w:keepLines/>
        <w:spacing w:after="140" w:line="360" w:lineRule="auto"/>
        <w:ind w:firstLine="280"/>
        <w:jc w:val="left"/>
        <w:outlineLvl w:val="1"/>
        <w:rPr>
          <w:rFonts w:hint="eastAsia" w:ascii="宋体" w:hAnsi="宋体" w:cs="宋体"/>
          <w:color w:val="000000"/>
          <w:szCs w:val="21"/>
          <w:lang w:val="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16</w:t>
      </w:r>
      <w:r>
        <w:rPr>
          <w:rFonts w:hint="eastAsia" w:ascii="宋体" w:hAnsi="宋体" w:cs="宋体"/>
          <w:color w:val="000000"/>
          <w:szCs w:val="21"/>
          <w:lang w:val="zh-TW" w:eastAsia="zh-TW" w:bidi="zh-TW"/>
        </w:rPr>
        <w:t>条违约、索赔和争议</w:t>
      </w:r>
    </w:p>
    <w:p w14:paraId="626A1800">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16.1 发包人违约</w:t>
      </w:r>
    </w:p>
    <w:p w14:paraId="1314D5C1">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16.1.1发包人违约的情形</w:t>
      </w:r>
    </w:p>
    <w:p w14:paraId="6CE78789">
      <w:pPr>
        <w:spacing w:line="360" w:lineRule="auto"/>
        <w:ind w:left="1200" w:hanging="1200" w:hangingChars="500"/>
        <w:jc w:val="left"/>
        <w:rPr>
          <w:rFonts w:hint="eastAsia" w:ascii="宋体" w:hAnsi="宋体" w:cs="宋体"/>
          <w:color w:val="000000"/>
          <w:kern w:val="0"/>
          <w:sz w:val="24"/>
          <w:szCs w:val="24"/>
        </w:rPr>
      </w:pPr>
      <w:r>
        <w:rPr>
          <w:rFonts w:hint="eastAsia" w:ascii="宋体" w:hAnsi="宋体" w:cs="宋体"/>
          <w:color w:val="000000"/>
          <w:kern w:val="0"/>
          <w:sz w:val="24"/>
          <w:szCs w:val="24"/>
        </w:rPr>
        <w:t>发包人违约的其他情形：</w:t>
      </w:r>
      <w:r>
        <w:rPr>
          <w:rFonts w:hint="eastAsia" w:ascii="宋体" w:hAnsi="宋体" w:cs="宋体"/>
          <w:color w:val="0000FF"/>
          <w:sz w:val="24"/>
          <w:szCs w:val="24"/>
          <w:u w:val="single"/>
        </w:rPr>
        <w:t>无</w:t>
      </w:r>
      <w:r>
        <w:rPr>
          <w:rFonts w:hint="eastAsia" w:ascii="宋体" w:hAnsi="宋体" w:cs="宋体"/>
          <w:color w:val="000000"/>
          <w:kern w:val="0"/>
          <w:sz w:val="24"/>
          <w:szCs w:val="24"/>
        </w:rPr>
        <w:t>。</w:t>
      </w:r>
    </w:p>
    <w:p w14:paraId="1766DFD1">
      <w:pPr>
        <w:spacing w:line="360" w:lineRule="auto"/>
        <w:ind w:left="1200" w:hanging="1200" w:hangingChars="500"/>
        <w:jc w:val="left"/>
        <w:rPr>
          <w:rFonts w:hint="eastAsia" w:ascii="宋体" w:hAnsi="宋体" w:cs="宋体"/>
          <w:color w:val="000000"/>
          <w:kern w:val="0"/>
          <w:sz w:val="24"/>
          <w:szCs w:val="24"/>
        </w:rPr>
      </w:pPr>
      <w:r>
        <w:rPr>
          <w:rFonts w:hint="eastAsia" w:ascii="宋体" w:hAnsi="宋体" w:cs="宋体"/>
          <w:color w:val="000000"/>
          <w:kern w:val="0"/>
          <w:sz w:val="24"/>
          <w:szCs w:val="24"/>
        </w:rPr>
        <w:t xml:space="preserve">    16.1.2 发包人违约的责任</w:t>
      </w:r>
    </w:p>
    <w:p w14:paraId="23A92AB9">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发包人违约责任的承担方式和计算方法：</w:t>
      </w:r>
    </w:p>
    <w:p w14:paraId="4EE9502B">
      <w:pPr>
        <w:spacing w:line="360" w:lineRule="auto"/>
        <w:ind w:firstLine="480" w:firstLineChars="200"/>
        <w:jc w:val="left"/>
        <w:rPr>
          <w:rFonts w:hint="eastAsia" w:ascii="宋体" w:hAnsi="宋体" w:cs="宋体"/>
          <w:color w:val="000000"/>
          <w:kern w:val="0"/>
          <w:sz w:val="24"/>
          <w:szCs w:val="24"/>
          <w:u w:val="single"/>
        </w:rPr>
      </w:pPr>
      <w:r>
        <w:rPr>
          <w:rFonts w:hint="eastAsia" w:ascii="宋体" w:hAnsi="宋体" w:cs="宋体"/>
          <w:color w:val="000000"/>
          <w:kern w:val="0"/>
          <w:sz w:val="24"/>
          <w:szCs w:val="24"/>
        </w:rPr>
        <w:t>（1）因发包人原因未能在计划开工日期前7天内下达开工通知的违约责任：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052AB9D8">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（2）因发包人原因未能按合同约定支付合同价款的违约责任：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1E8E67BD">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（3）发包人违反第10.1款〔变更的范围〕第（2）项约定，自行实施被取消的工作或转由他人实施的违约责任：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048231B4">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（4）发包人提供的材料、工程设备的规格、数量或质量不符合合同约定，或因发包人原因导致交货日期延误或交货地点变更等情况的违约责任：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588C7A1A">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（5）因发包人违反合同约定造成暂停施工的违约责任：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33B282A3">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（6）发包人无正当理由没有在约定期限内发出复工指示，导致承包人无法复工的违约责任：</w:t>
      </w:r>
      <w:r>
        <w:rPr>
          <w:rFonts w:hint="eastAsia" w:ascii="宋体" w:hAnsi="宋体" w:cs="宋体"/>
          <w:color w:val="0000FF"/>
          <w:sz w:val="24"/>
          <w:szCs w:val="24"/>
          <w:u w:val="single"/>
        </w:rPr>
        <w:t>实际协商</w:t>
      </w:r>
      <w:r>
        <w:rPr>
          <w:rFonts w:hint="eastAsia" w:ascii="宋体" w:hAnsi="宋体" w:cs="宋体"/>
          <w:color w:val="000000"/>
          <w:kern w:val="0"/>
          <w:sz w:val="24"/>
          <w:szCs w:val="24"/>
        </w:rPr>
        <w:t>。</w:t>
      </w:r>
    </w:p>
    <w:p w14:paraId="247752CE">
      <w:pPr>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（7）其他：</w:t>
      </w:r>
      <w:r>
        <w:rPr>
          <w:rFonts w:hint="eastAsia" w:ascii="宋体" w:hAnsi="宋体" w:cs="宋体"/>
          <w:color w:val="0000FF"/>
          <w:sz w:val="24"/>
          <w:szCs w:val="24"/>
          <w:u w:val="single"/>
        </w:rPr>
        <w:t>无</w:t>
      </w:r>
      <w:r>
        <w:rPr>
          <w:rFonts w:hint="eastAsia" w:ascii="宋体" w:hAnsi="宋体" w:cs="宋体"/>
          <w:color w:val="000000"/>
          <w:kern w:val="0"/>
          <w:sz w:val="24"/>
          <w:szCs w:val="24"/>
        </w:rPr>
        <w:t>。</w:t>
      </w:r>
    </w:p>
    <w:p w14:paraId="169C82C0">
      <w:pPr>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16.1.3 因发包人违约解除合同</w:t>
      </w:r>
    </w:p>
    <w:p w14:paraId="6DA9D02F">
      <w:pPr>
        <w:autoSpaceDE w:val="0"/>
        <w:autoSpaceDN w:val="0"/>
        <w:adjustRightInd w:val="0"/>
        <w:spacing w:line="360" w:lineRule="auto"/>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承包人按16.1.1项〔发包人违约的情形〕约定暂停施工满</w:t>
      </w:r>
      <w:r>
        <w:rPr>
          <w:rFonts w:hint="eastAsia" w:ascii="宋体" w:hAnsi="宋体" w:cs="宋体"/>
          <w:color w:val="0000FF"/>
          <w:sz w:val="24"/>
          <w:szCs w:val="24"/>
          <w:u w:val="single"/>
        </w:rPr>
        <w:t xml:space="preserve">  180 </w:t>
      </w:r>
      <w:r>
        <w:rPr>
          <w:rFonts w:hint="eastAsia" w:ascii="宋体" w:hAnsi="宋体" w:cs="宋体"/>
          <w:color w:val="000000"/>
          <w:kern w:val="0"/>
          <w:sz w:val="24"/>
          <w:szCs w:val="24"/>
        </w:rPr>
        <w:t>天后发包人仍不纠正其违约行为并致使合同目的不能实现的，承包人有权解除合同。</w:t>
      </w:r>
    </w:p>
    <w:p w14:paraId="1CAF24C8">
      <w:pPr>
        <w:spacing w:line="360" w:lineRule="auto"/>
        <w:ind w:firstLine="480" w:firstLineChars="200"/>
        <w:rPr>
          <w:rFonts w:hint="eastAsia" w:ascii="宋体" w:hAnsi="宋体" w:cs="宋体"/>
          <w:sz w:val="18"/>
          <w:szCs w:val="20"/>
        </w:rPr>
      </w:pPr>
      <w:r>
        <w:rPr>
          <w:rFonts w:hint="eastAsia" w:ascii="宋体" w:hAnsi="宋体" w:cs="宋体"/>
          <w:color w:val="000000"/>
          <w:kern w:val="0"/>
          <w:sz w:val="24"/>
          <w:szCs w:val="24"/>
        </w:rPr>
        <w:t>16.2 承包人违约</w:t>
      </w:r>
    </w:p>
    <w:p w14:paraId="7BF8D320">
      <w:pPr>
        <w:spacing w:line="360" w:lineRule="auto"/>
        <w:rPr>
          <w:rFonts w:ascii="宋体" w:hAnsi="宋体"/>
          <w:sz w:val="24"/>
          <w:szCs w:val="24"/>
        </w:rPr>
      </w:pPr>
      <w:r>
        <w:rPr>
          <w:rFonts w:ascii="宋体" w:hAnsi="宋体"/>
          <w:sz w:val="24"/>
          <w:szCs w:val="24"/>
        </w:rPr>
        <w:t>16.2.1 承包人违约的情形</w:t>
      </w:r>
    </w:p>
    <w:p w14:paraId="386DF3B2">
      <w:pPr>
        <w:spacing w:line="360" w:lineRule="auto"/>
        <w:rPr>
          <w:rFonts w:ascii="宋体" w:hAnsi="宋体"/>
          <w:sz w:val="24"/>
          <w:szCs w:val="24"/>
          <w:u w:val="single"/>
        </w:rPr>
      </w:pPr>
      <w:r>
        <w:rPr>
          <w:rFonts w:ascii="宋体" w:hAnsi="宋体"/>
          <w:sz w:val="24"/>
          <w:szCs w:val="24"/>
        </w:rPr>
        <w:t>承包人违约的其他情形：</w:t>
      </w:r>
      <w:r>
        <w:rPr>
          <w:rFonts w:ascii="宋体" w:hAnsi="宋体"/>
          <w:sz w:val="24"/>
          <w:szCs w:val="24"/>
          <w:u w:val="single"/>
        </w:rPr>
        <w:t xml:space="preserve"> </w:t>
      </w:r>
      <w:r>
        <w:rPr>
          <w:rFonts w:hint="eastAsia" w:ascii="宋体" w:hAnsi="宋体"/>
          <w:sz w:val="24"/>
          <w:szCs w:val="24"/>
          <w:u w:val="single"/>
        </w:rPr>
        <w:t>（1）未</w:t>
      </w:r>
      <w:r>
        <w:rPr>
          <w:rFonts w:ascii="宋体" w:hAnsi="宋体"/>
          <w:sz w:val="24"/>
          <w:szCs w:val="24"/>
          <w:u w:val="single"/>
        </w:rPr>
        <w:t>按投标文件承诺配备项目管理班子</w:t>
      </w:r>
      <w:r>
        <w:rPr>
          <w:rFonts w:hint="eastAsia" w:ascii="宋体" w:hAnsi="宋体"/>
          <w:sz w:val="24"/>
          <w:szCs w:val="24"/>
          <w:u w:val="single"/>
        </w:rPr>
        <w:t>的；</w:t>
      </w:r>
    </w:p>
    <w:p w14:paraId="7F8C0650">
      <w:pPr>
        <w:spacing w:line="360" w:lineRule="auto"/>
        <w:rPr>
          <w:rFonts w:ascii="宋体" w:hAnsi="宋体"/>
          <w:sz w:val="24"/>
          <w:szCs w:val="24"/>
          <w:u w:val="single"/>
        </w:rPr>
      </w:pPr>
      <w:r>
        <w:rPr>
          <w:rFonts w:hint="eastAsia" w:ascii="宋体" w:hAnsi="宋体"/>
          <w:sz w:val="24"/>
          <w:szCs w:val="24"/>
          <w:u w:val="single"/>
        </w:rPr>
        <w:t>（2）未按期足额</w:t>
      </w:r>
      <w:r>
        <w:rPr>
          <w:rFonts w:ascii="宋体" w:hAnsi="宋体"/>
          <w:sz w:val="24"/>
          <w:szCs w:val="24"/>
          <w:u w:val="single"/>
        </w:rPr>
        <w:t>支付民工工资，造成民工到发包人或相关部门聚众上访或闹事</w:t>
      </w:r>
      <w:r>
        <w:rPr>
          <w:rFonts w:hint="eastAsia" w:ascii="宋体" w:hAnsi="宋体"/>
          <w:sz w:val="24"/>
          <w:szCs w:val="24"/>
          <w:u w:val="single"/>
        </w:rPr>
        <w:t>的；</w:t>
      </w:r>
    </w:p>
    <w:p w14:paraId="6C9BB0DC">
      <w:pPr>
        <w:spacing w:line="360" w:lineRule="auto"/>
        <w:rPr>
          <w:rFonts w:ascii="宋体" w:hAnsi="宋体"/>
          <w:sz w:val="24"/>
          <w:szCs w:val="24"/>
          <w:u w:val="single"/>
        </w:rPr>
      </w:pPr>
      <w:r>
        <w:rPr>
          <w:rFonts w:hint="eastAsia" w:ascii="宋体" w:hAnsi="宋体"/>
          <w:sz w:val="24"/>
          <w:szCs w:val="24"/>
          <w:u w:val="single"/>
        </w:rPr>
        <w:t>（3）未</w:t>
      </w:r>
      <w:r>
        <w:rPr>
          <w:rFonts w:ascii="宋体" w:hAnsi="宋体"/>
          <w:sz w:val="24"/>
          <w:szCs w:val="24"/>
          <w:u w:val="single"/>
        </w:rPr>
        <w:t>及时完善并提供</w:t>
      </w:r>
      <w:r>
        <w:rPr>
          <w:rFonts w:hint="eastAsia" w:ascii="宋体" w:hAnsi="宋体"/>
          <w:sz w:val="24"/>
          <w:szCs w:val="24"/>
          <w:u w:val="single"/>
        </w:rPr>
        <w:t>（或配合）</w:t>
      </w:r>
      <w:r>
        <w:rPr>
          <w:rFonts w:ascii="宋体" w:hAnsi="宋体"/>
          <w:sz w:val="24"/>
          <w:szCs w:val="24"/>
          <w:u w:val="single"/>
        </w:rPr>
        <w:t>工程质量、隐蔽</w:t>
      </w:r>
      <w:r>
        <w:rPr>
          <w:rFonts w:hint="eastAsia" w:ascii="宋体" w:hAnsi="宋体"/>
          <w:sz w:val="24"/>
          <w:szCs w:val="24"/>
          <w:u w:val="single"/>
        </w:rPr>
        <w:t>验收</w:t>
      </w:r>
      <w:r>
        <w:rPr>
          <w:rFonts w:ascii="宋体" w:hAnsi="宋体"/>
          <w:sz w:val="24"/>
          <w:szCs w:val="24"/>
          <w:u w:val="single"/>
        </w:rPr>
        <w:t>、</w:t>
      </w:r>
      <w:r>
        <w:rPr>
          <w:rFonts w:hint="eastAsia" w:ascii="宋体" w:hAnsi="宋体"/>
          <w:sz w:val="24"/>
          <w:szCs w:val="24"/>
          <w:u w:val="single"/>
        </w:rPr>
        <w:t>试验检测、积极</w:t>
      </w:r>
      <w:r>
        <w:rPr>
          <w:rFonts w:ascii="宋体" w:hAnsi="宋体"/>
          <w:sz w:val="24"/>
          <w:szCs w:val="24"/>
          <w:u w:val="single"/>
        </w:rPr>
        <w:t>签证</w:t>
      </w:r>
      <w:r>
        <w:rPr>
          <w:rFonts w:hint="eastAsia" w:ascii="宋体" w:hAnsi="宋体"/>
          <w:sz w:val="24"/>
          <w:szCs w:val="24"/>
          <w:u w:val="single"/>
        </w:rPr>
        <w:t>、技术变更、测量收方等施工过程资料的；</w:t>
      </w:r>
    </w:p>
    <w:p w14:paraId="69416635">
      <w:pPr>
        <w:spacing w:line="360" w:lineRule="auto"/>
        <w:rPr>
          <w:rFonts w:ascii="宋体" w:hAnsi="宋体"/>
          <w:sz w:val="24"/>
          <w:szCs w:val="24"/>
          <w:u w:val="single"/>
        </w:rPr>
      </w:pPr>
      <w:r>
        <w:rPr>
          <w:rFonts w:hint="eastAsia" w:ascii="宋体" w:hAnsi="宋体"/>
          <w:sz w:val="24"/>
          <w:szCs w:val="24"/>
          <w:u w:val="single"/>
        </w:rPr>
        <w:t>（4）不遵守</w:t>
      </w:r>
      <w:r>
        <w:rPr>
          <w:rFonts w:ascii="宋体" w:hAnsi="宋体"/>
          <w:sz w:val="24"/>
          <w:szCs w:val="24"/>
          <w:u w:val="single"/>
        </w:rPr>
        <w:t>发包人</w:t>
      </w:r>
      <w:r>
        <w:rPr>
          <w:rFonts w:hint="eastAsia" w:ascii="宋体" w:hAnsi="宋体"/>
          <w:sz w:val="24"/>
          <w:szCs w:val="24"/>
          <w:u w:val="single"/>
        </w:rPr>
        <w:t>针对质量、安全、环保、进度、成本、</w:t>
      </w:r>
      <w:r>
        <w:rPr>
          <w:rFonts w:ascii="宋体" w:hAnsi="宋体"/>
          <w:sz w:val="24"/>
          <w:szCs w:val="24"/>
          <w:u w:val="single"/>
        </w:rPr>
        <w:t>现场管理</w:t>
      </w:r>
      <w:r>
        <w:rPr>
          <w:rFonts w:hint="eastAsia" w:ascii="宋体" w:hAnsi="宋体"/>
          <w:sz w:val="24"/>
          <w:szCs w:val="24"/>
          <w:u w:val="single"/>
        </w:rPr>
        <w:t>协调等方面制定或下发</w:t>
      </w:r>
      <w:r>
        <w:rPr>
          <w:rFonts w:ascii="宋体" w:hAnsi="宋体"/>
          <w:sz w:val="24"/>
          <w:szCs w:val="24"/>
          <w:u w:val="single"/>
        </w:rPr>
        <w:t>的</w:t>
      </w:r>
      <w:r>
        <w:rPr>
          <w:rFonts w:hint="eastAsia" w:ascii="宋体" w:hAnsi="宋体"/>
          <w:sz w:val="24"/>
          <w:szCs w:val="24"/>
          <w:u w:val="single"/>
        </w:rPr>
        <w:t>各类</w:t>
      </w:r>
      <w:r>
        <w:rPr>
          <w:rFonts w:ascii="宋体" w:hAnsi="宋体"/>
          <w:sz w:val="24"/>
          <w:szCs w:val="24"/>
          <w:u w:val="single"/>
        </w:rPr>
        <w:t>制度、流程、</w:t>
      </w:r>
      <w:r>
        <w:rPr>
          <w:rFonts w:hint="eastAsia" w:ascii="宋体" w:hAnsi="宋体"/>
          <w:sz w:val="24"/>
          <w:szCs w:val="24"/>
          <w:u w:val="single"/>
        </w:rPr>
        <w:t>办法、文件、</w:t>
      </w:r>
      <w:r>
        <w:rPr>
          <w:rFonts w:ascii="宋体" w:hAnsi="宋体"/>
          <w:sz w:val="24"/>
          <w:szCs w:val="24"/>
          <w:u w:val="single"/>
        </w:rPr>
        <w:t>表格</w:t>
      </w:r>
      <w:r>
        <w:rPr>
          <w:rFonts w:hint="eastAsia" w:ascii="宋体" w:hAnsi="宋体"/>
          <w:sz w:val="24"/>
          <w:szCs w:val="24"/>
          <w:u w:val="single"/>
        </w:rPr>
        <w:t>、</w:t>
      </w:r>
      <w:r>
        <w:rPr>
          <w:rFonts w:ascii="宋体" w:hAnsi="宋体"/>
          <w:sz w:val="24"/>
          <w:szCs w:val="24"/>
          <w:u w:val="single"/>
        </w:rPr>
        <w:t>程序</w:t>
      </w:r>
      <w:r>
        <w:rPr>
          <w:rFonts w:hint="eastAsia" w:ascii="宋体" w:hAnsi="宋体"/>
          <w:sz w:val="24"/>
          <w:szCs w:val="24"/>
          <w:u w:val="single"/>
        </w:rPr>
        <w:t>的；</w:t>
      </w:r>
    </w:p>
    <w:p w14:paraId="56ECCE9B">
      <w:pPr>
        <w:spacing w:line="360" w:lineRule="auto"/>
        <w:rPr>
          <w:rFonts w:ascii="宋体" w:hAnsi="宋体"/>
          <w:sz w:val="24"/>
          <w:szCs w:val="24"/>
          <w:u w:val="single"/>
        </w:rPr>
      </w:pPr>
      <w:r>
        <w:rPr>
          <w:rFonts w:hint="eastAsia" w:ascii="宋体" w:hAnsi="宋体"/>
          <w:sz w:val="24"/>
          <w:szCs w:val="24"/>
          <w:u w:val="single"/>
        </w:rPr>
        <w:t>（5）</w:t>
      </w:r>
      <w:r>
        <w:rPr>
          <w:rFonts w:ascii="宋体" w:hAnsi="宋体"/>
          <w:sz w:val="24"/>
          <w:szCs w:val="24"/>
          <w:u w:val="single"/>
        </w:rPr>
        <w:t>工程竣工验收合格移交前</w:t>
      </w:r>
      <w:r>
        <w:rPr>
          <w:rFonts w:hint="eastAsia" w:ascii="宋体" w:hAnsi="宋体"/>
          <w:sz w:val="24"/>
          <w:szCs w:val="24"/>
          <w:u w:val="single"/>
        </w:rPr>
        <w:t>未对</w:t>
      </w:r>
      <w:r>
        <w:rPr>
          <w:rFonts w:ascii="宋体" w:hAnsi="宋体"/>
          <w:sz w:val="24"/>
          <w:szCs w:val="24"/>
          <w:u w:val="single"/>
        </w:rPr>
        <w:t>成品</w:t>
      </w:r>
      <w:r>
        <w:rPr>
          <w:rFonts w:hint="eastAsia" w:ascii="宋体" w:hAnsi="宋体"/>
          <w:sz w:val="24"/>
          <w:szCs w:val="24"/>
          <w:u w:val="single"/>
        </w:rPr>
        <w:t>进行</w:t>
      </w:r>
      <w:r>
        <w:rPr>
          <w:rFonts w:ascii="宋体" w:hAnsi="宋体"/>
          <w:sz w:val="24"/>
          <w:szCs w:val="24"/>
          <w:u w:val="single"/>
        </w:rPr>
        <w:t>保护与管理</w:t>
      </w:r>
      <w:r>
        <w:rPr>
          <w:rFonts w:hint="eastAsia" w:ascii="宋体" w:hAnsi="宋体"/>
          <w:sz w:val="24"/>
          <w:szCs w:val="24"/>
          <w:u w:val="single"/>
        </w:rPr>
        <w:t>造成损害的；</w:t>
      </w:r>
    </w:p>
    <w:p w14:paraId="1AB04D00">
      <w:pPr>
        <w:spacing w:line="360" w:lineRule="auto"/>
        <w:rPr>
          <w:rFonts w:ascii="宋体" w:hAnsi="宋体"/>
          <w:sz w:val="24"/>
          <w:szCs w:val="24"/>
          <w:u w:val="single"/>
        </w:rPr>
      </w:pPr>
      <w:r>
        <w:rPr>
          <w:rFonts w:hint="eastAsia" w:ascii="宋体" w:hAnsi="宋体"/>
          <w:sz w:val="24"/>
          <w:szCs w:val="24"/>
          <w:u w:val="single"/>
        </w:rPr>
        <w:t>（6）由于承包人原因导致项目</w:t>
      </w:r>
      <w:r>
        <w:rPr>
          <w:rFonts w:ascii="宋体" w:hAnsi="宋体"/>
          <w:sz w:val="24"/>
          <w:szCs w:val="24"/>
          <w:u w:val="single"/>
        </w:rPr>
        <w:t>出现重大安全事故</w:t>
      </w:r>
      <w:r>
        <w:rPr>
          <w:rFonts w:hint="eastAsia" w:ascii="宋体" w:hAnsi="宋体"/>
          <w:sz w:val="24"/>
          <w:szCs w:val="24"/>
          <w:u w:val="single"/>
        </w:rPr>
        <w:t>的；</w:t>
      </w:r>
    </w:p>
    <w:p w14:paraId="1D8A4838">
      <w:pPr>
        <w:rPr>
          <w:u w:val="single"/>
        </w:rPr>
      </w:pPr>
      <w:r>
        <w:rPr>
          <w:rFonts w:hint="eastAsia" w:ascii="宋体" w:hAnsi="宋体"/>
          <w:sz w:val="24"/>
          <w:szCs w:val="24"/>
          <w:u w:val="single"/>
        </w:rPr>
        <w:t>（7）其他发包人认为承包人违约的情形。</w:t>
      </w:r>
    </w:p>
    <w:p w14:paraId="6376B8F2">
      <w:pPr>
        <w:spacing w:line="360" w:lineRule="auto"/>
        <w:rPr>
          <w:rFonts w:ascii="宋体" w:hAnsi="宋体"/>
          <w:sz w:val="24"/>
          <w:szCs w:val="24"/>
        </w:rPr>
      </w:pPr>
      <w:r>
        <w:rPr>
          <w:rFonts w:ascii="宋体" w:hAnsi="宋体"/>
          <w:sz w:val="24"/>
          <w:szCs w:val="24"/>
        </w:rPr>
        <w:t>16.2.2承包人违约的责任</w:t>
      </w:r>
    </w:p>
    <w:p w14:paraId="797E18B6">
      <w:pPr>
        <w:spacing w:line="360" w:lineRule="auto"/>
        <w:rPr>
          <w:rFonts w:ascii="宋体" w:hAnsi="宋体"/>
          <w:sz w:val="24"/>
          <w:szCs w:val="24"/>
          <w:u w:val="single"/>
        </w:rPr>
      </w:pPr>
      <w:r>
        <w:rPr>
          <w:rFonts w:ascii="宋体" w:hAnsi="宋体"/>
          <w:sz w:val="24"/>
          <w:szCs w:val="24"/>
        </w:rPr>
        <w:t>承包人违约责任的承担方式和计算方法：</w:t>
      </w:r>
      <w:r>
        <w:rPr>
          <w:rFonts w:ascii="宋体" w:hAnsi="宋体"/>
          <w:sz w:val="24"/>
          <w:szCs w:val="24"/>
          <w:u w:val="single"/>
        </w:rPr>
        <w:t xml:space="preserve"> </w:t>
      </w:r>
      <w:r>
        <w:rPr>
          <w:rFonts w:hint="eastAsia" w:ascii="宋体" w:hAnsi="宋体"/>
          <w:sz w:val="24"/>
          <w:szCs w:val="24"/>
          <w:u w:val="single"/>
        </w:rPr>
        <w:t>（1）未</w:t>
      </w:r>
      <w:r>
        <w:rPr>
          <w:rFonts w:ascii="宋体" w:hAnsi="宋体"/>
          <w:sz w:val="24"/>
          <w:szCs w:val="24"/>
          <w:u w:val="single"/>
        </w:rPr>
        <w:t>按投标文件承诺配备项目管理班子进场</w:t>
      </w:r>
      <w:r>
        <w:rPr>
          <w:rFonts w:hint="eastAsia" w:ascii="宋体" w:hAnsi="宋体"/>
          <w:sz w:val="24"/>
          <w:szCs w:val="24"/>
          <w:u w:val="single"/>
        </w:rPr>
        <w:t>的</w:t>
      </w:r>
      <w:r>
        <w:rPr>
          <w:rFonts w:ascii="宋体" w:hAnsi="宋体"/>
          <w:sz w:val="24"/>
          <w:szCs w:val="24"/>
          <w:u w:val="single"/>
        </w:rPr>
        <w:t>，项目经理（建造师）、技术负责人，发包人</w:t>
      </w:r>
      <w:r>
        <w:rPr>
          <w:rFonts w:hint="eastAsia" w:ascii="宋体" w:hAnsi="宋体"/>
          <w:sz w:val="24"/>
          <w:szCs w:val="24"/>
          <w:u w:val="single"/>
        </w:rPr>
        <w:t>可对承包人处以</w:t>
      </w:r>
      <w:r>
        <w:rPr>
          <w:rFonts w:ascii="宋体" w:hAnsi="宋体"/>
          <w:sz w:val="24"/>
          <w:szCs w:val="24"/>
          <w:u w:val="single"/>
        </w:rPr>
        <w:t>5000元/人•天</w:t>
      </w:r>
      <w:r>
        <w:rPr>
          <w:rFonts w:hint="eastAsia" w:ascii="宋体" w:hAnsi="宋体"/>
          <w:sz w:val="24"/>
          <w:szCs w:val="24"/>
          <w:u w:val="single"/>
        </w:rPr>
        <w:t>的违约金，</w:t>
      </w:r>
      <w:r>
        <w:rPr>
          <w:rFonts w:ascii="宋体" w:hAnsi="宋体"/>
          <w:sz w:val="24"/>
          <w:szCs w:val="24"/>
          <w:u w:val="single"/>
        </w:rPr>
        <w:t>从工程款或履约保证金中扣除</w:t>
      </w:r>
      <w:r>
        <w:rPr>
          <w:rFonts w:hint="eastAsia" w:ascii="宋体" w:hAnsi="宋体"/>
          <w:sz w:val="24"/>
          <w:szCs w:val="24"/>
          <w:u w:val="single"/>
        </w:rPr>
        <w:t>；</w:t>
      </w:r>
      <w:r>
        <w:rPr>
          <w:rFonts w:ascii="宋体" w:hAnsi="宋体"/>
          <w:sz w:val="24"/>
          <w:szCs w:val="24"/>
          <w:u w:val="single"/>
        </w:rPr>
        <w:t>对未按时进场的施工员、安全员、质量员、材料员</w:t>
      </w:r>
      <w:r>
        <w:rPr>
          <w:rFonts w:hint="eastAsia" w:ascii="宋体" w:hAnsi="宋体"/>
          <w:sz w:val="24"/>
          <w:szCs w:val="24"/>
          <w:u w:val="single"/>
        </w:rPr>
        <w:t>等</w:t>
      </w:r>
      <w:r>
        <w:rPr>
          <w:rFonts w:ascii="宋体" w:hAnsi="宋体"/>
          <w:sz w:val="24"/>
          <w:szCs w:val="24"/>
          <w:u w:val="single"/>
        </w:rPr>
        <w:t>，发包人</w:t>
      </w:r>
      <w:r>
        <w:rPr>
          <w:rFonts w:hint="eastAsia" w:ascii="宋体" w:hAnsi="宋体"/>
          <w:sz w:val="24"/>
          <w:szCs w:val="24"/>
          <w:u w:val="single"/>
        </w:rPr>
        <w:t>可对承包人处以</w:t>
      </w:r>
      <w:r>
        <w:rPr>
          <w:rFonts w:ascii="宋体" w:hAnsi="宋体"/>
          <w:sz w:val="24"/>
          <w:szCs w:val="24"/>
          <w:u w:val="single"/>
        </w:rPr>
        <w:t>1000元/人•天</w:t>
      </w:r>
      <w:r>
        <w:rPr>
          <w:rFonts w:hint="eastAsia" w:ascii="宋体" w:hAnsi="宋体"/>
          <w:sz w:val="24"/>
          <w:szCs w:val="24"/>
          <w:u w:val="single"/>
        </w:rPr>
        <w:t>的违约金，</w:t>
      </w:r>
      <w:r>
        <w:rPr>
          <w:rFonts w:ascii="宋体" w:hAnsi="宋体"/>
          <w:sz w:val="24"/>
          <w:szCs w:val="24"/>
          <w:u w:val="single"/>
        </w:rPr>
        <w:t>从工程款或履约保证金中扣除违约金，直到缺员进场为止</w:t>
      </w:r>
      <w:r>
        <w:rPr>
          <w:rFonts w:hint="eastAsia" w:ascii="宋体" w:hAnsi="宋体"/>
          <w:sz w:val="24"/>
          <w:szCs w:val="24"/>
          <w:u w:val="single"/>
        </w:rPr>
        <w:t>。</w:t>
      </w:r>
    </w:p>
    <w:p w14:paraId="77EF4A54">
      <w:pPr>
        <w:spacing w:line="360" w:lineRule="auto"/>
        <w:rPr>
          <w:rFonts w:ascii="宋体" w:hAnsi="宋体"/>
          <w:sz w:val="24"/>
          <w:szCs w:val="24"/>
          <w:u w:val="single"/>
        </w:rPr>
      </w:pPr>
      <w:r>
        <w:rPr>
          <w:rFonts w:hint="eastAsia" w:ascii="宋体" w:hAnsi="宋体"/>
          <w:sz w:val="24"/>
          <w:szCs w:val="24"/>
          <w:u w:val="single"/>
        </w:rPr>
        <w:t>（2）未按期足额</w:t>
      </w:r>
      <w:r>
        <w:rPr>
          <w:rFonts w:ascii="宋体" w:hAnsi="宋体"/>
          <w:sz w:val="24"/>
          <w:szCs w:val="24"/>
          <w:u w:val="single"/>
        </w:rPr>
        <w:t>支付民工工资，造成民工到发包人或相关部门聚众上访或闹事，</w:t>
      </w:r>
      <w:r>
        <w:rPr>
          <w:rFonts w:hint="eastAsia" w:ascii="宋体" w:hAnsi="宋体"/>
          <w:sz w:val="24"/>
          <w:szCs w:val="24"/>
          <w:u w:val="single"/>
        </w:rPr>
        <w:t>发包人可对承包人处以5万元/次的违约金，</w:t>
      </w:r>
      <w:r>
        <w:rPr>
          <w:rFonts w:ascii="宋体" w:hAnsi="宋体"/>
          <w:sz w:val="24"/>
          <w:szCs w:val="24"/>
          <w:u w:val="single"/>
        </w:rPr>
        <w:t>从工程款</w:t>
      </w:r>
      <w:r>
        <w:rPr>
          <w:rFonts w:hint="eastAsia" w:ascii="宋体" w:hAnsi="宋体"/>
          <w:sz w:val="24"/>
          <w:szCs w:val="24"/>
          <w:u w:val="single"/>
        </w:rPr>
        <w:t>中</w:t>
      </w:r>
      <w:r>
        <w:rPr>
          <w:rFonts w:ascii="宋体" w:hAnsi="宋体"/>
          <w:sz w:val="24"/>
          <w:szCs w:val="24"/>
          <w:u w:val="single"/>
        </w:rPr>
        <w:t>扣除</w:t>
      </w:r>
      <w:r>
        <w:rPr>
          <w:rFonts w:hint="eastAsia" w:ascii="宋体" w:hAnsi="宋体"/>
          <w:sz w:val="24"/>
          <w:szCs w:val="24"/>
          <w:u w:val="single"/>
        </w:rPr>
        <w:t>；此外</w:t>
      </w:r>
      <w:r>
        <w:rPr>
          <w:rFonts w:ascii="宋体" w:hAnsi="宋体"/>
          <w:sz w:val="24"/>
          <w:szCs w:val="24"/>
          <w:u w:val="single"/>
        </w:rPr>
        <w:t>承包人</w:t>
      </w:r>
      <w:r>
        <w:rPr>
          <w:rFonts w:hint="eastAsia" w:ascii="宋体" w:hAnsi="宋体"/>
          <w:sz w:val="24"/>
          <w:szCs w:val="24"/>
          <w:u w:val="single"/>
        </w:rPr>
        <w:t>还应积极</w:t>
      </w:r>
      <w:r>
        <w:rPr>
          <w:rFonts w:ascii="宋体" w:hAnsi="宋体"/>
          <w:sz w:val="24"/>
          <w:szCs w:val="24"/>
          <w:u w:val="single"/>
        </w:rPr>
        <w:t>落实解决，由此造成</w:t>
      </w:r>
      <w:r>
        <w:rPr>
          <w:rFonts w:hint="eastAsia" w:ascii="宋体" w:hAnsi="宋体"/>
          <w:sz w:val="24"/>
          <w:szCs w:val="24"/>
          <w:u w:val="single"/>
        </w:rPr>
        <w:t>的</w:t>
      </w:r>
      <w:r>
        <w:rPr>
          <w:rFonts w:ascii="宋体" w:hAnsi="宋体"/>
          <w:sz w:val="24"/>
          <w:szCs w:val="24"/>
          <w:u w:val="single"/>
        </w:rPr>
        <w:t>损失</w:t>
      </w:r>
      <w:r>
        <w:rPr>
          <w:rFonts w:hint="eastAsia" w:ascii="宋体" w:hAnsi="宋体"/>
          <w:sz w:val="24"/>
          <w:szCs w:val="24"/>
          <w:u w:val="single"/>
        </w:rPr>
        <w:t>发包人可继续追偿；</w:t>
      </w:r>
    </w:p>
    <w:p w14:paraId="4C44D976">
      <w:pPr>
        <w:spacing w:line="360" w:lineRule="auto"/>
        <w:rPr>
          <w:rFonts w:ascii="宋体" w:hAnsi="宋体"/>
          <w:sz w:val="24"/>
          <w:szCs w:val="24"/>
          <w:u w:val="single"/>
        </w:rPr>
      </w:pPr>
      <w:r>
        <w:rPr>
          <w:rFonts w:hint="eastAsia" w:ascii="宋体" w:hAnsi="宋体"/>
          <w:sz w:val="24"/>
          <w:szCs w:val="24"/>
          <w:u w:val="single"/>
        </w:rPr>
        <w:t>（3）未</w:t>
      </w:r>
      <w:r>
        <w:rPr>
          <w:rFonts w:ascii="宋体" w:hAnsi="宋体"/>
          <w:sz w:val="24"/>
          <w:szCs w:val="24"/>
          <w:u w:val="single"/>
        </w:rPr>
        <w:t>及时完善并提供</w:t>
      </w:r>
      <w:r>
        <w:rPr>
          <w:rFonts w:hint="eastAsia" w:ascii="宋体" w:hAnsi="宋体"/>
          <w:sz w:val="24"/>
          <w:szCs w:val="24"/>
          <w:u w:val="single"/>
        </w:rPr>
        <w:t>（或配合）施工过程资料的，</w:t>
      </w:r>
      <w:r>
        <w:rPr>
          <w:rFonts w:ascii="宋体" w:hAnsi="宋体"/>
          <w:sz w:val="24"/>
          <w:szCs w:val="24"/>
          <w:u w:val="single"/>
        </w:rPr>
        <w:t>发包人</w:t>
      </w:r>
      <w:r>
        <w:rPr>
          <w:rFonts w:hint="eastAsia" w:ascii="宋体" w:hAnsi="宋体"/>
          <w:sz w:val="24"/>
          <w:szCs w:val="24"/>
          <w:u w:val="single"/>
        </w:rPr>
        <w:t>可</w:t>
      </w:r>
      <w:r>
        <w:rPr>
          <w:rFonts w:ascii="宋体" w:hAnsi="宋体"/>
          <w:sz w:val="24"/>
          <w:szCs w:val="24"/>
          <w:u w:val="single"/>
        </w:rPr>
        <w:t>拒绝支付工程进度款</w:t>
      </w:r>
      <w:r>
        <w:rPr>
          <w:rFonts w:hint="eastAsia" w:ascii="宋体" w:hAnsi="宋体"/>
          <w:sz w:val="24"/>
          <w:szCs w:val="24"/>
          <w:u w:val="single"/>
        </w:rPr>
        <w:t>、并</w:t>
      </w:r>
      <w:r>
        <w:rPr>
          <w:rFonts w:ascii="宋体" w:hAnsi="宋体"/>
          <w:sz w:val="24"/>
          <w:szCs w:val="24"/>
          <w:u w:val="single"/>
        </w:rPr>
        <w:t>有权</w:t>
      </w:r>
      <w:r>
        <w:rPr>
          <w:rFonts w:hint="eastAsia" w:ascii="宋体" w:hAnsi="宋体"/>
          <w:sz w:val="24"/>
          <w:szCs w:val="24"/>
          <w:u w:val="single"/>
        </w:rPr>
        <w:t>对承包人</w:t>
      </w:r>
      <w:r>
        <w:rPr>
          <w:rFonts w:ascii="宋体" w:hAnsi="宋体"/>
          <w:sz w:val="24"/>
          <w:szCs w:val="24"/>
          <w:u w:val="single"/>
        </w:rPr>
        <w:t>按5000元/次</w:t>
      </w:r>
      <w:r>
        <w:rPr>
          <w:rFonts w:hint="eastAsia" w:ascii="宋体" w:hAnsi="宋体"/>
          <w:sz w:val="24"/>
          <w:szCs w:val="24"/>
          <w:u w:val="single"/>
        </w:rPr>
        <w:t>处以</w:t>
      </w:r>
      <w:r>
        <w:rPr>
          <w:rFonts w:ascii="宋体" w:hAnsi="宋体"/>
          <w:sz w:val="24"/>
          <w:szCs w:val="24"/>
          <w:u w:val="single"/>
        </w:rPr>
        <w:t>违约金</w:t>
      </w:r>
      <w:r>
        <w:rPr>
          <w:rFonts w:hint="eastAsia" w:ascii="宋体" w:hAnsi="宋体"/>
          <w:sz w:val="24"/>
          <w:szCs w:val="24"/>
          <w:u w:val="single"/>
        </w:rPr>
        <w:t>；</w:t>
      </w:r>
    </w:p>
    <w:p w14:paraId="66D92D8C">
      <w:pPr>
        <w:spacing w:line="360" w:lineRule="auto"/>
        <w:rPr>
          <w:rFonts w:ascii="宋体" w:hAnsi="宋体"/>
          <w:sz w:val="24"/>
          <w:szCs w:val="24"/>
          <w:u w:val="single"/>
        </w:rPr>
      </w:pPr>
      <w:r>
        <w:rPr>
          <w:rFonts w:hint="eastAsia" w:ascii="宋体" w:hAnsi="宋体"/>
          <w:sz w:val="24"/>
          <w:szCs w:val="24"/>
          <w:u w:val="single"/>
        </w:rPr>
        <w:t>（4）不遵守</w:t>
      </w:r>
      <w:r>
        <w:rPr>
          <w:rFonts w:ascii="宋体" w:hAnsi="宋体"/>
          <w:sz w:val="24"/>
          <w:szCs w:val="24"/>
          <w:u w:val="single"/>
        </w:rPr>
        <w:t>发包人</w:t>
      </w:r>
      <w:r>
        <w:rPr>
          <w:rFonts w:hint="eastAsia" w:ascii="宋体" w:hAnsi="宋体"/>
          <w:sz w:val="24"/>
          <w:szCs w:val="24"/>
          <w:u w:val="single"/>
        </w:rPr>
        <w:t>针对质量、安全、环保、进度、成本、</w:t>
      </w:r>
      <w:r>
        <w:rPr>
          <w:rFonts w:ascii="宋体" w:hAnsi="宋体"/>
          <w:sz w:val="24"/>
          <w:szCs w:val="24"/>
          <w:u w:val="single"/>
        </w:rPr>
        <w:t>现场管理</w:t>
      </w:r>
      <w:r>
        <w:rPr>
          <w:rFonts w:hint="eastAsia" w:ascii="宋体" w:hAnsi="宋体"/>
          <w:sz w:val="24"/>
          <w:szCs w:val="24"/>
          <w:u w:val="single"/>
        </w:rPr>
        <w:t>协调等方面制定或下发</w:t>
      </w:r>
      <w:r>
        <w:rPr>
          <w:rFonts w:ascii="宋体" w:hAnsi="宋体"/>
          <w:sz w:val="24"/>
          <w:szCs w:val="24"/>
          <w:u w:val="single"/>
        </w:rPr>
        <w:t>的</w:t>
      </w:r>
      <w:r>
        <w:rPr>
          <w:rFonts w:hint="eastAsia" w:ascii="宋体" w:hAnsi="宋体"/>
          <w:sz w:val="24"/>
          <w:szCs w:val="24"/>
          <w:u w:val="single"/>
        </w:rPr>
        <w:t>各类</w:t>
      </w:r>
      <w:r>
        <w:rPr>
          <w:rFonts w:ascii="宋体" w:hAnsi="宋体"/>
          <w:sz w:val="24"/>
          <w:szCs w:val="24"/>
          <w:u w:val="single"/>
        </w:rPr>
        <w:t>制度、流程、</w:t>
      </w:r>
      <w:r>
        <w:rPr>
          <w:rFonts w:hint="eastAsia" w:ascii="宋体" w:hAnsi="宋体"/>
          <w:sz w:val="24"/>
          <w:szCs w:val="24"/>
          <w:u w:val="single"/>
        </w:rPr>
        <w:t>办法、文件、</w:t>
      </w:r>
      <w:r>
        <w:rPr>
          <w:rFonts w:ascii="宋体" w:hAnsi="宋体"/>
          <w:sz w:val="24"/>
          <w:szCs w:val="24"/>
          <w:u w:val="single"/>
        </w:rPr>
        <w:t>表格</w:t>
      </w:r>
      <w:r>
        <w:rPr>
          <w:rFonts w:hint="eastAsia" w:ascii="宋体" w:hAnsi="宋体"/>
          <w:sz w:val="24"/>
          <w:szCs w:val="24"/>
          <w:u w:val="single"/>
        </w:rPr>
        <w:t>、</w:t>
      </w:r>
      <w:r>
        <w:rPr>
          <w:rFonts w:ascii="宋体" w:hAnsi="宋体"/>
          <w:sz w:val="24"/>
          <w:szCs w:val="24"/>
          <w:u w:val="single"/>
        </w:rPr>
        <w:t>程序</w:t>
      </w:r>
      <w:r>
        <w:rPr>
          <w:rFonts w:hint="eastAsia" w:ascii="宋体" w:hAnsi="宋体"/>
          <w:sz w:val="24"/>
          <w:szCs w:val="24"/>
          <w:u w:val="single"/>
        </w:rPr>
        <w:t>的，</w:t>
      </w:r>
      <w:r>
        <w:rPr>
          <w:rFonts w:ascii="宋体" w:hAnsi="宋体"/>
          <w:sz w:val="24"/>
          <w:szCs w:val="24"/>
          <w:u w:val="single"/>
        </w:rPr>
        <w:t>发包人</w:t>
      </w:r>
      <w:r>
        <w:rPr>
          <w:rFonts w:hint="eastAsia" w:ascii="宋体" w:hAnsi="宋体"/>
          <w:sz w:val="24"/>
          <w:szCs w:val="24"/>
          <w:u w:val="single"/>
        </w:rPr>
        <w:t>视具体情形可对承包人处以1000—</w:t>
      </w:r>
      <w:r>
        <w:rPr>
          <w:rFonts w:ascii="宋体" w:hAnsi="宋体"/>
          <w:sz w:val="24"/>
          <w:szCs w:val="24"/>
          <w:u w:val="single"/>
        </w:rPr>
        <w:t>5000元/</w:t>
      </w:r>
      <w:r>
        <w:rPr>
          <w:rFonts w:hint="eastAsia" w:ascii="宋体" w:hAnsi="宋体"/>
          <w:sz w:val="24"/>
          <w:szCs w:val="24"/>
          <w:u w:val="single"/>
        </w:rPr>
        <w:t>次的违约金，</w:t>
      </w:r>
      <w:r>
        <w:rPr>
          <w:rFonts w:ascii="宋体" w:hAnsi="宋体"/>
          <w:sz w:val="24"/>
          <w:szCs w:val="24"/>
          <w:u w:val="single"/>
        </w:rPr>
        <w:t>从工程款或履约保证金中扣除</w:t>
      </w:r>
      <w:r>
        <w:rPr>
          <w:rFonts w:hint="eastAsia" w:ascii="宋体" w:hAnsi="宋体"/>
          <w:sz w:val="24"/>
          <w:szCs w:val="24"/>
          <w:u w:val="single"/>
        </w:rPr>
        <w:t>；</w:t>
      </w:r>
    </w:p>
    <w:p w14:paraId="6866E7AD">
      <w:pPr>
        <w:spacing w:line="360" w:lineRule="auto"/>
        <w:rPr>
          <w:rFonts w:ascii="宋体" w:hAnsi="宋体"/>
          <w:sz w:val="24"/>
          <w:szCs w:val="24"/>
          <w:u w:val="single"/>
        </w:rPr>
      </w:pPr>
      <w:r>
        <w:rPr>
          <w:rFonts w:hint="eastAsia" w:ascii="宋体" w:hAnsi="宋体"/>
          <w:sz w:val="24"/>
          <w:szCs w:val="24"/>
          <w:u w:val="single"/>
        </w:rPr>
        <w:t>（5）</w:t>
      </w:r>
      <w:r>
        <w:rPr>
          <w:rFonts w:ascii="宋体" w:hAnsi="宋体"/>
          <w:sz w:val="24"/>
          <w:szCs w:val="24"/>
          <w:u w:val="single"/>
        </w:rPr>
        <w:t>工程竣工验收合格移交前</w:t>
      </w:r>
      <w:r>
        <w:rPr>
          <w:rFonts w:hint="eastAsia" w:ascii="宋体" w:hAnsi="宋体"/>
          <w:sz w:val="24"/>
          <w:szCs w:val="24"/>
          <w:u w:val="single"/>
        </w:rPr>
        <w:t>未对</w:t>
      </w:r>
      <w:r>
        <w:rPr>
          <w:rFonts w:ascii="宋体" w:hAnsi="宋体"/>
          <w:sz w:val="24"/>
          <w:szCs w:val="24"/>
          <w:u w:val="single"/>
        </w:rPr>
        <w:t>成品</w:t>
      </w:r>
      <w:r>
        <w:rPr>
          <w:rFonts w:hint="eastAsia" w:ascii="宋体" w:hAnsi="宋体"/>
          <w:sz w:val="24"/>
          <w:szCs w:val="24"/>
          <w:u w:val="single"/>
        </w:rPr>
        <w:t>进行</w:t>
      </w:r>
      <w:r>
        <w:rPr>
          <w:rFonts w:ascii="宋体" w:hAnsi="宋体"/>
          <w:sz w:val="24"/>
          <w:szCs w:val="24"/>
          <w:u w:val="single"/>
        </w:rPr>
        <w:t>保护与管理</w:t>
      </w:r>
      <w:r>
        <w:rPr>
          <w:rFonts w:hint="eastAsia" w:ascii="宋体" w:hAnsi="宋体"/>
          <w:sz w:val="24"/>
          <w:szCs w:val="24"/>
          <w:u w:val="single"/>
        </w:rPr>
        <w:t>造成损害的，由承包人负责自费按原设计进行修复，</w:t>
      </w:r>
      <w:r>
        <w:rPr>
          <w:rFonts w:ascii="宋体" w:hAnsi="宋体"/>
          <w:sz w:val="24"/>
          <w:szCs w:val="24"/>
          <w:u w:val="single"/>
        </w:rPr>
        <w:t>由此造成</w:t>
      </w:r>
      <w:r>
        <w:rPr>
          <w:rFonts w:hint="eastAsia" w:ascii="宋体" w:hAnsi="宋体"/>
          <w:sz w:val="24"/>
          <w:szCs w:val="24"/>
          <w:u w:val="single"/>
        </w:rPr>
        <w:t>的</w:t>
      </w:r>
      <w:r>
        <w:rPr>
          <w:rFonts w:ascii="宋体" w:hAnsi="宋体"/>
          <w:sz w:val="24"/>
          <w:szCs w:val="24"/>
          <w:u w:val="single"/>
        </w:rPr>
        <w:t>损失</w:t>
      </w:r>
      <w:r>
        <w:rPr>
          <w:rFonts w:hint="eastAsia" w:ascii="宋体" w:hAnsi="宋体"/>
          <w:sz w:val="24"/>
          <w:szCs w:val="24"/>
          <w:u w:val="single"/>
        </w:rPr>
        <w:t>发包人可进行追偿，</w:t>
      </w:r>
      <w:r>
        <w:rPr>
          <w:rFonts w:ascii="宋体" w:hAnsi="宋体"/>
          <w:sz w:val="24"/>
          <w:szCs w:val="24"/>
          <w:u w:val="single"/>
        </w:rPr>
        <w:t>从工程款或履约保证金中扣除</w:t>
      </w:r>
      <w:r>
        <w:rPr>
          <w:rFonts w:hint="eastAsia" w:ascii="宋体" w:hAnsi="宋体"/>
          <w:sz w:val="24"/>
          <w:szCs w:val="24"/>
          <w:u w:val="single"/>
        </w:rPr>
        <w:t>；</w:t>
      </w:r>
    </w:p>
    <w:p w14:paraId="5A24776E">
      <w:pPr>
        <w:spacing w:line="360" w:lineRule="auto"/>
        <w:rPr>
          <w:rFonts w:ascii="宋体" w:hAnsi="宋体"/>
          <w:sz w:val="24"/>
          <w:szCs w:val="24"/>
          <w:u w:val="single"/>
        </w:rPr>
      </w:pPr>
      <w:r>
        <w:rPr>
          <w:rFonts w:hint="eastAsia" w:ascii="宋体" w:hAnsi="宋体"/>
          <w:sz w:val="24"/>
          <w:szCs w:val="24"/>
          <w:u w:val="single"/>
        </w:rPr>
        <w:t>（6）由于承包人原因导致项目</w:t>
      </w:r>
      <w:r>
        <w:rPr>
          <w:rFonts w:ascii="宋体" w:hAnsi="宋体"/>
          <w:sz w:val="24"/>
          <w:szCs w:val="24"/>
          <w:u w:val="single"/>
        </w:rPr>
        <w:t>出现重</w:t>
      </w:r>
      <w:r>
        <w:rPr>
          <w:rFonts w:hint="eastAsia" w:ascii="宋体" w:hAnsi="宋体"/>
          <w:sz w:val="24"/>
          <w:szCs w:val="24"/>
          <w:u w:val="single"/>
        </w:rPr>
        <w:t>特</w:t>
      </w:r>
      <w:r>
        <w:rPr>
          <w:rFonts w:ascii="宋体" w:hAnsi="宋体"/>
          <w:sz w:val="24"/>
          <w:szCs w:val="24"/>
          <w:u w:val="single"/>
        </w:rPr>
        <w:t>大安全事故</w:t>
      </w:r>
      <w:r>
        <w:rPr>
          <w:rFonts w:hint="eastAsia" w:ascii="宋体" w:hAnsi="宋体"/>
          <w:sz w:val="24"/>
          <w:szCs w:val="24"/>
          <w:u w:val="single"/>
        </w:rPr>
        <w:t>的，</w:t>
      </w:r>
      <w:r>
        <w:rPr>
          <w:rFonts w:ascii="宋体" w:hAnsi="宋体"/>
          <w:sz w:val="24"/>
          <w:szCs w:val="24"/>
          <w:u w:val="single"/>
        </w:rPr>
        <w:t>由承包人自行承担管理不善造成的后果和责任，</w:t>
      </w:r>
      <w:r>
        <w:rPr>
          <w:rFonts w:hint="eastAsia" w:ascii="宋体" w:hAnsi="宋体"/>
          <w:sz w:val="24"/>
          <w:szCs w:val="24"/>
          <w:u w:val="single"/>
        </w:rPr>
        <w:t>若项目因</w:t>
      </w:r>
      <w:r>
        <w:rPr>
          <w:rFonts w:ascii="宋体" w:hAnsi="宋体"/>
          <w:sz w:val="24"/>
          <w:szCs w:val="24"/>
          <w:u w:val="single"/>
        </w:rPr>
        <w:t>承包人原因被</w:t>
      </w:r>
      <w:r>
        <w:rPr>
          <w:rFonts w:hint="eastAsia" w:ascii="宋体" w:hAnsi="宋体"/>
          <w:sz w:val="24"/>
          <w:szCs w:val="24"/>
          <w:u w:val="single"/>
        </w:rPr>
        <w:t>上级或主管</w:t>
      </w:r>
      <w:r>
        <w:rPr>
          <w:rFonts w:ascii="宋体" w:hAnsi="宋体"/>
          <w:sz w:val="24"/>
          <w:szCs w:val="24"/>
          <w:u w:val="single"/>
        </w:rPr>
        <w:t>部门处罚，相关</w:t>
      </w:r>
      <w:r>
        <w:rPr>
          <w:rFonts w:hint="eastAsia" w:ascii="宋体" w:hAnsi="宋体"/>
          <w:sz w:val="24"/>
          <w:szCs w:val="24"/>
          <w:u w:val="single"/>
        </w:rPr>
        <w:t>处罚</w:t>
      </w:r>
      <w:r>
        <w:rPr>
          <w:rFonts w:ascii="宋体" w:hAnsi="宋体"/>
          <w:sz w:val="24"/>
          <w:szCs w:val="24"/>
          <w:u w:val="single"/>
        </w:rPr>
        <w:t>费用由承包人承担</w:t>
      </w:r>
      <w:r>
        <w:rPr>
          <w:rFonts w:hint="eastAsia" w:ascii="宋体" w:hAnsi="宋体"/>
          <w:sz w:val="24"/>
          <w:szCs w:val="24"/>
          <w:u w:val="single"/>
        </w:rPr>
        <w:t>，发包人可不予退还承包人履约保证金，同时可对承包人处以10万元/次的违约金，</w:t>
      </w:r>
      <w:r>
        <w:rPr>
          <w:rFonts w:ascii="宋体" w:hAnsi="宋体"/>
          <w:sz w:val="24"/>
          <w:szCs w:val="24"/>
          <w:u w:val="single"/>
        </w:rPr>
        <w:t>由此造成</w:t>
      </w:r>
      <w:r>
        <w:rPr>
          <w:rFonts w:hint="eastAsia" w:ascii="宋体" w:hAnsi="宋体"/>
          <w:sz w:val="24"/>
          <w:szCs w:val="24"/>
          <w:u w:val="single"/>
        </w:rPr>
        <w:t>的</w:t>
      </w:r>
      <w:r>
        <w:rPr>
          <w:rFonts w:ascii="宋体" w:hAnsi="宋体"/>
          <w:sz w:val="24"/>
          <w:szCs w:val="24"/>
          <w:u w:val="single"/>
        </w:rPr>
        <w:t>损失</w:t>
      </w:r>
      <w:r>
        <w:rPr>
          <w:rFonts w:hint="eastAsia" w:ascii="宋体" w:hAnsi="宋体"/>
          <w:sz w:val="24"/>
          <w:szCs w:val="24"/>
          <w:u w:val="single"/>
        </w:rPr>
        <w:t>和责任发包人可继续追偿；</w:t>
      </w:r>
    </w:p>
    <w:p w14:paraId="3B9A4DA5">
      <w:pPr>
        <w:spacing w:line="360" w:lineRule="auto"/>
        <w:rPr>
          <w:rFonts w:ascii="宋体" w:hAnsi="宋体"/>
          <w:sz w:val="24"/>
          <w:szCs w:val="24"/>
        </w:rPr>
      </w:pPr>
      <w:r>
        <w:rPr>
          <w:rFonts w:hint="eastAsia" w:ascii="宋体" w:hAnsi="宋体"/>
          <w:sz w:val="24"/>
          <w:szCs w:val="24"/>
          <w:u w:val="single"/>
        </w:rPr>
        <w:t>（7）对通用合同条款16.2.1项第（1）—（6）目约定的违约情形和专用合同条款16.2.1项第（7）目约定的违约情形，发包人视具体情形可不予退还履约保证金，视具体情形可对承包人处以1000—50000元/次的违约金，违约金可</w:t>
      </w:r>
      <w:r>
        <w:rPr>
          <w:rFonts w:ascii="宋体" w:hAnsi="宋体"/>
          <w:sz w:val="24"/>
          <w:szCs w:val="24"/>
          <w:u w:val="single"/>
        </w:rPr>
        <w:t>从工程款或履约保证金中扣除</w:t>
      </w:r>
      <w:r>
        <w:rPr>
          <w:rFonts w:hint="eastAsia" w:ascii="宋体" w:hAnsi="宋体"/>
          <w:sz w:val="24"/>
          <w:szCs w:val="24"/>
          <w:u w:val="single"/>
        </w:rPr>
        <w:t>，因承包人违约造成的损失发包人可继续追偿。</w:t>
      </w:r>
      <w:r>
        <w:rPr>
          <w:rFonts w:ascii="宋体" w:hAnsi="宋体"/>
          <w:sz w:val="24"/>
          <w:szCs w:val="24"/>
        </w:rPr>
        <w:t xml:space="preserve">    </w:t>
      </w:r>
    </w:p>
    <w:p w14:paraId="72D56129">
      <w:pPr>
        <w:spacing w:line="360" w:lineRule="auto"/>
        <w:rPr>
          <w:rFonts w:ascii="宋体" w:hAnsi="宋体"/>
          <w:sz w:val="24"/>
          <w:szCs w:val="24"/>
        </w:rPr>
      </w:pPr>
      <w:r>
        <w:rPr>
          <w:rFonts w:ascii="宋体" w:hAnsi="宋体"/>
          <w:sz w:val="24"/>
          <w:szCs w:val="24"/>
        </w:rPr>
        <w:t>16.2.3 因承包人违约解除合同</w:t>
      </w:r>
    </w:p>
    <w:p w14:paraId="71D8EF4C">
      <w:pPr>
        <w:spacing w:line="360" w:lineRule="auto"/>
        <w:rPr>
          <w:rFonts w:ascii="宋体" w:hAnsi="宋体"/>
          <w:sz w:val="24"/>
          <w:szCs w:val="24"/>
          <w:u w:val="single"/>
        </w:rPr>
      </w:pPr>
      <w:r>
        <w:rPr>
          <w:rFonts w:ascii="宋体" w:hAnsi="宋体"/>
          <w:sz w:val="24"/>
          <w:szCs w:val="24"/>
        </w:rPr>
        <w:t>关于承包人违约解除合同的特别约定：</w:t>
      </w:r>
      <w:r>
        <w:rPr>
          <w:rFonts w:ascii="宋体" w:hAnsi="宋体"/>
          <w:sz w:val="24"/>
          <w:szCs w:val="24"/>
          <w:u w:val="single"/>
        </w:rPr>
        <w:t xml:space="preserve">  </w:t>
      </w:r>
      <w:r>
        <w:rPr>
          <w:rFonts w:hint="eastAsia" w:ascii="宋体" w:hAnsi="宋体"/>
          <w:sz w:val="24"/>
          <w:szCs w:val="24"/>
          <w:u w:val="single"/>
        </w:rPr>
        <w:t>除通用合同条款16.2.3项约定的情形外，还有以下情形发包人有权解除合同，不退还履约保证金，并要求承包人以实际损失为限承担赔偿责任，解除通知至送达承包人或现场项目经理部后立即生效：</w:t>
      </w:r>
      <w:r>
        <w:rPr>
          <w:rFonts w:ascii="宋体" w:hAnsi="宋体"/>
          <w:sz w:val="24"/>
          <w:szCs w:val="24"/>
          <w:u w:val="single"/>
        </w:rPr>
        <w:t>①</w:t>
      </w:r>
      <w:r>
        <w:rPr>
          <w:rFonts w:hint="eastAsia" w:ascii="宋体" w:hAnsi="宋体"/>
          <w:sz w:val="24"/>
          <w:szCs w:val="24"/>
          <w:u w:val="single"/>
        </w:rPr>
        <w:t>承包人原因导致项目</w:t>
      </w:r>
      <w:r>
        <w:rPr>
          <w:rFonts w:ascii="宋体" w:hAnsi="宋体"/>
          <w:sz w:val="24"/>
          <w:szCs w:val="24"/>
          <w:u w:val="single"/>
        </w:rPr>
        <w:t>出现重大安全事故</w:t>
      </w:r>
      <w:r>
        <w:rPr>
          <w:rFonts w:hint="eastAsia" w:ascii="宋体" w:hAnsi="宋体"/>
          <w:sz w:val="24"/>
          <w:szCs w:val="24"/>
          <w:u w:val="single"/>
        </w:rPr>
        <w:t>致使合同目的不能实现的；</w:t>
      </w:r>
      <w:r>
        <w:rPr>
          <w:rFonts w:ascii="宋体" w:hAnsi="宋体"/>
          <w:sz w:val="24"/>
          <w:szCs w:val="24"/>
          <w:u w:val="single"/>
        </w:rPr>
        <w:t>②承包人因其他法律纠纷或行政违法被查封或有关司法部门要求发包人停止向其支付工程款或协助执行工程款，致使合同无法继续履行的</w:t>
      </w:r>
      <w:r>
        <w:rPr>
          <w:rFonts w:hint="eastAsia" w:ascii="宋体" w:hAnsi="宋体"/>
          <w:sz w:val="24"/>
          <w:szCs w:val="24"/>
          <w:u w:val="single"/>
        </w:rPr>
        <w:t>；</w:t>
      </w:r>
      <w:r>
        <w:rPr>
          <w:rFonts w:ascii="宋体" w:hAnsi="宋体"/>
          <w:sz w:val="24"/>
          <w:szCs w:val="24"/>
          <w:u w:val="single"/>
        </w:rPr>
        <w:t>③承包人因欠缴税款致使工程所在地税务主管部门拒绝为其提供税务发票，致使合同无法继续履行的</w:t>
      </w:r>
      <w:r>
        <w:rPr>
          <w:rFonts w:hint="eastAsia" w:ascii="宋体" w:hAnsi="宋体"/>
          <w:sz w:val="24"/>
          <w:szCs w:val="24"/>
          <w:u w:val="single"/>
        </w:rPr>
        <w:t xml:space="preserve">； </w:t>
      </w:r>
      <w:r>
        <w:rPr>
          <w:rFonts w:ascii="宋体" w:hAnsi="宋体"/>
          <w:sz w:val="24"/>
          <w:szCs w:val="24"/>
          <w:u w:val="single"/>
        </w:rPr>
        <w:t xml:space="preserve">④承包人破产或宣告停业清理，且此清理不是出于重组、重建或合并之目的 </w:t>
      </w:r>
      <w:r>
        <w:rPr>
          <w:rFonts w:hint="eastAsia" w:ascii="宋体" w:hAnsi="宋体"/>
          <w:sz w:val="24"/>
          <w:szCs w:val="24"/>
          <w:u w:val="single"/>
        </w:rPr>
        <w:t>；⑤</w:t>
      </w:r>
      <w:r>
        <w:rPr>
          <w:rFonts w:ascii="宋体" w:hAnsi="宋体"/>
          <w:sz w:val="24"/>
          <w:szCs w:val="24"/>
          <w:u w:val="single"/>
        </w:rPr>
        <w:t>承包人未提交</w:t>
      </w:r>
      <w:r>
        <w:rPr>
          <w:rFonts w:hint="eastAsia" w:ascii="宋体" w:hAnsi="宋体"/>
          <w:sz w:val="24"/>
          <w:szCs w:val="24"/>
          <w:u w:val="single"/>
        </w:rPr>
        <w:t>项目经理与承包人之间的</w:t>
      </w:r>
      <w:r>
        <w:rPr>
          <w:rFonts w:ascii="宋体" w:hAnsi="宋体"/>
          <w:sz w:val="24"/>
          <w:szCs w:val="24"/>
          <w:u w:val="single"/>
        </w:rPr>
        <w:t>劳动合同</w:t>
      </w:r>
      <w:r>
        <w:rPr>
          <w:rFonts w:hint="eastAsia" w:ascii="宋体" w:hAnsi="宋体"/>
          <w:sz w:val="24"/>
          <w:szCs w:val="24"/>
          <w:u w:val="single"/>
        </w:rPr>
        <w:t>以及未提交</w:t>
      </w:r>
      <w:r>
        <w:rPr>
          <w:rFonts w:ascii="宋体" w:hAnsi="宋体"/>
          <w:sz w:val="24"/>
          <w:szCs w:val="24"/>
          <w:u w:val="single"/>
        </w:rPr>
        <w:t>为项目经理缴纳社会保险证明的</w:t>
      </w:r>
      <w:r>
        <w:rPr>
          <w:rFonts w:hint="eastAsia" w:ascii="宋体" w:hAnsi="宋体"/>
          <w:sz w:val="24"/>
          <w:szCs w:val="24"/>
          <w:u w:val="single"/>
        </w:rPr>
        <w:t>；⑥</w:t>
      </w:r>
      <w:r>
        <w:rPr>
          <w:rFonts w:ascii="宋体" w:hAnsi="宋体"/>
          <w:sz w:val="24"/>
          <w:szCs w:val="24"/>
          <w:u w:val="single"/>
        </w:rPr>
        <w:t>承包人无正当理由拒绝更换项目经理的。</w:t>
      </w:r>
      <w:r>
        <w:rPr>
          <w:rFonts w:hint="eastAsia" w:ascii="宋体" w:hAnsi="宋体"/>
          <w:sz w:val="24"/>
          <w:szCs w:val="24"/>
          <w:u w:val="single"/>
        </w:rPr>
        <w:t>⑦承包人在施工过程中擅自停工、窝工或因其他承包人原因致使合同约定的工期根本无法达到的。⑧承包人在施工过程中的主要分部施工质量明显无法达到合格要求，按监理人要求整改却无正当理由拒绝整改的。⑨承包人擅自更换本工程项目经理（建造师）、主要技术负责人或项目管理班子中的人员不能及时到位或擅自更换，经监理人发出书面警告不纠正的。⑩未经发包人和监理人批准，承包人的施工管理人员缺员30%及以上，经监理人发出书面警告不纠正的。⑪因承包人原因未支付承包人农民工工资，造成承包人农民工到发包人或相关部门聚众上访或闹事的。</w:t>
      </w:r>
    </w:p>
    <w:p w14:paraId="188818A8">
      <w:pPr>
        <w:spacing w:line="360" w:lineRule="auto"/>
        <w:ind w:firstLine="480" w:firstLineChars="200"/>
        <w:rPr>
          <w:rFonts w:hint="eastAsia" w:ascii="宋体" w:hAnsi="宋体" w:cs="宋体"/>
          <w:szCs w:val="21"/>
          <w:lang w:bidi="zh-TW"/>
        </w:rPr>
      </w:pPr>
      <w:r>
        <w:rPr>
          <w:rFonts w:ascii="宋体" w:hAnsi="宋体"/>
          <w:sz w:val="24"/>
          <w:szCs w:val="24"/>
        </w:rPr>
        <w:t>发包人</w:t>
      </w:r>
      <w:r>
        <w:rPr>
          <w:rFonts w:hint="eastAsia" w:ascii="宋体" w:hAnsi="宋体"/>
          <w:sz w:val="24"/>
          <w:szCs w:val="24"/>
        </w:rPr>
        <w:t>继续</w:t>
      </w:r>
      <w:r>
        <w:rPr>
          <w:rFonts w:ascii="宋体" w:hAnsi="宋体"/>
          <w:sz w:val="24"/>
          <w:szCs w:val="24"/>
        </w:rPr>
        <w:t>使用承包人在施工现场的材料、设备、临时工程、承包人文件和由承包人或以其名义编制的其他文件</w:t>
      </w:r>
      <w:r>
        <w:rPr>
          <w:rFonts w:hint="eastAsia" w:ascii="宋体" w:hAnsi="宋体"/>
          <w:sz w:val="24"/>
          <w:szCs w:val="24"/>
        </w:rPr>
        <w:t>的费用承担方式</w:t>
      </w:r>
      <w:r>
        <w:rPr>
          <w:rFonts w:ascii="宋体" w:hAnsi="宋体"/>
          <w:sz w:val="24"/>
          <w:szCs w:val="24"/>
        </w:rPr>
        <w:t>：</w:t>
      </w:r>
      <w:r>
        <w:rPr>
          <w:rFonts w:hint="eastAsia" w:ascii="宋体" w:hAnsi="宋体"/>
          <w:sz w:val="24"/>
          <w:szCs w:val="24"/>
          <w:u w:val="single"/>
        </w:rPr>
        <w:t>承包人与发包人协商</w:t>
      </w:r>
      <w:r>
        <w:rPr>
          <w:rFonts w:ascii="宋体" w:hAnsi="宋体"/>
          <w:sz w:val="24"/>
          <w:szCs w:val="24"/>
          <w:u w:val="single"/>
        </w:rPr>
        <w:t xml:space="preserve"> </w:t>
      </w:r>
      <w:r>
        <w:rPr>
          <w:rFonts w:hint="eastAsia" w:ascii="宋体" w:hAnsi="宋体"/>
          <w:sz w:val="24"/>
          <w:szCs w:val="24"/>
        </w:rPr>
        <w:t>。</w:t>
      </w:r>
    </w:p>
    <w:p w14:paraId="452099A2">
      <w:pPr>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16.3</w:t>
      </w:r>
      <w:r>
        <w:rPr>
          <w:rFonts w:hint="eastAsia" w:ascii="宋体" w:hAnsi="宋体" w:cs="宋体"/>
          <w:color w:val="000000"/>
          <w:szCs w:val="21"/>
          <w:lang w:val="zh-TW" w:eastAsia="zh-TW" w:bidi="zh-TW"/>
        </w:rPr>
        <w:t>争议和裁决</w:t>
      </w:r>
    </w:p>
    <w:p w14:paraId="142F1FC7">
      <w:pPr>
        <w:spacing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16.3.1</w:t>
      </w:r>
      <w:r>
        <w:rPr>
          <w:rFonts w:hint="eastAsia" w:ascii="宋体" w:hAnsi="宋体" w:cs="宋体"/>
          <w:color w:val="000000"/>
          <w:szCs w:val="21"/>
          <w:lang w:val="zh-TW" w:eastAsia="zh-TW" w:bidi="zh-TW"/>
        </w:rPr>
        <w:t>争议的解决程序</w:t>
      </w:r>
    </w:p>
    <w:p w14:paraId="58129A69">
      <w:pPr>
        <w:spacing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在争议提交调解之日起</w:t>
      </w:r>
      <w:r>
        <w:rPr>
          <w:rFonts w:hint="eastAsia" w:ascii="宋体" w:hAnsi="宋体" w:cs="宋体"/>
          <w:b/>
          <w:bCs/>
          <w:color w:val="000000"/>
          <w:szCs w:val="21"/>
          <w:lang w:val="zh-TW" w:eastAsia="zh-TW" w:bidi="zh-TW"/>
        </w:rPr>
        <w:t>30</w:t>
      </w:r>
      <w:r>
        <w:rPr>
          <w:rFonts w:hint="eastAsia" w:ascii="宋体" w:hAnsi="宋体" w:cs="宋体"/>
          <w:color w:val="000000"/>
          <w:szCs w:val="21"/>
          <w:lang w:val="zh-TW" w:eastAsia="zh-TW" w:bidi="zh-TW"/>
        </w:rPr>
        <w:t>日内，双方仍存有争议时，或合同任何一方不同意调解的，在以下方式中选择其一，作为双方解决争议事项的约定。</w:t>
      </w:r>
    </w:p>
    <w:p w14:paraId="3FDE0CEE">
      <w:pPr>
        <w:tabs>
          <w:tab w:val="left" w:pos="1392"/>
        </w:tabs>
        <w:spacing w:line="360" w:lineRule="auto"/>
        <w:ind w:firstLine="36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提交</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仲裁委员会，按照申请仲裁时该会有效的仲裁规则进 行仲裁。仲裁裁决是终局的，对双方均有约束力。</w:t>
      </w:r>
    </w:p>
    <w:p w14:paraId="6F3529B5">
      <w:pPr>
        <w:tabs>
          <w:tab w:val="left" w:pos="994"/>
        </w:tabs>
        <w:spacing w:after="140" w:line="360" w:lineRule="auto"/>
        <w:ind w:firstLine="360"/>
        <w:jc w:val="left"/>
        <w:rPr>
          <w:rFonts w:hint="eastAsia" w:ascii="宋体" w:hAnsi="宋体" w:cs="宋体"/>
          <w:szCs w:val="21"/>
          <w:lang w:val="zh-TW" w:eastAsia="zh-TW" w:bidi="zh-TW"/>
        </w:rPr>
      </w:pPr>
      <w:r>
        <w:rPr>
          <w:rFonts w:hint="eastAsia" w:ascii="宋体" w:hAnsi="宋体" w:cs="宋体"/>
          <w:szCs w:val="21"/>
          <w:lang w:val="zh-TW" w:eastAsia="zh-TW" w:bidi="zh-TW"/>
        </w:rPr>
        <w:t>√□</w:t>
      </w:r>
      <w:r>
        <w:rPr>
          <w:rFonts w:hint="eastAsia" w:ascii="宋体" w:hAnsi="宋体" w:cs="宋体"/>
          <w:color w:val="000000"/>
          <w:szCs w:val="21"/>
          <w:lang w:val="zh-TW" w:eastAsia="zh-TW" w:bidi="zh-TW"/>
        </w:rPr>
        <w:t>向</w:t>
      </w:r>
      <w:r>
        <w:rPr>
          <w:rFonts w:hint="eastAsia" w:ascii="宋体" w:hAnsi="宋体" w:cs="宋体"/>
          <w:szCs w:val="21"/>
          <w:u w:val="single"/>
          <w:lang w:val="zh-TW" w:eastAsia="zh-TW" w:bidi="zh-TW"/>
        </w:rPr>
        <w:t xml:space="preserve"> 项目</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所在地人民法院提起诉讼。</w:t>
      </w:r>
    </w:p>
    <w:p w14:paraId="15113275">
      <w:pPr>
        <w:keepNext/>
        <w:keepLines/>
        <w:spacing w:after="14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19</w:t>
      </w:r>
      <w:r>
        <w:rPr>
          <w:rFonts w:hint="eastAsia" w:ascii="宋体" w:hAnsi="宋体" w:cs="宋体"/>
          <w:color w:val="000000"/>
          <w:szCs w:val="21"/>
          <w:lang w:val="zh-TW" w:eastAsia="zh-TW" w:bidi="zh-TW"/>
        </w:rPr>
        <w:t>条合同生效与合同终止</w:t>
      </w:r>
    </w:p>
    <w:p w14:paraId="2791F84C">
      <w:pPr>
        <w:keepNext/>
        <w:keepLines/>
        <w:spacing w:after="60" w:line="360" w:lineRule="auto"/>
        <w:ind w:firstLine="240"/>
        <w:jc w:val="left"/>
        <w:outlineLvl w:val="1"/>
        <w:rPr>
          <w:rFonts w:hint="eastAsia" w:ascii="宋体" w:hAnsi="宋体" w:cs="宋体"/>
          <w:szCs w:val="21"/>
          <w:lang w:val="zh-TW" w:eastAsia="zh-TW" w:bidi="zh-TW"/>
        </w:rPr>
      </w:pPr>
      <w:r>
        <w:rPr>
          <w:rFonts w:hint="eastAsia" w:ascii="宋体" w:hAnsi="宋体" w:cs="宋体"/>
          <w:b/>
          <w:bCs/>
          <w:color w:val="000000"/>
          <w:szCs w:val="21"/>
          <w:lang w:bidi="en-US"/>
        </w:rPr>
        <w:t>19.2</w:t>
      </w:r>
      <w:r>
        <w:rPr>
          <w:rFonts w:hint="eastAsia" w:ascii="宋体" w:hAnsi="宋体" w:cs="宋体"/>
          <w:color w:val="000000"/>
          <w:szCs w:val="21"/>
          <w:lang w:val="zh-TW" w:eastAsia="zh-TW" w:bidi="zh-TW"/>
        </w:rPr>
        <w:t>合同份数</w:t>
      </w:r>
    </w:p>
    <w:p w14:paraId="186967F3">
      <w:pPr>
        <w:tabs>
          <w:tab w:val="left" w:pos="1397"/>
          <w:tab w:val="left" w:pos="1627"/>
          <w:tab w:val="left" w:pos="2794"/>
          <w:tab w:val="left" w:pos="3149"/>
        </w:tabs>
        <w:spacing w:after="60" w:line="360" w:lineRule="auto"/>
        <w:ind w:firstLine="240"/>
        <w:jc w:val="left"/>
        <w:rPr>
          <w:rFonts w:hint="eastAsia" w:ascii="宋体" w:hAnsi="宋体" w:cs="宋体"/>
          <w:szCs w:val="21"/>
          <w:lang w:val="zh-TW" w:eastAsia="zh-TW" w:bidi="zh-TW"/>
        </w:rPr>
      </w:pPr>
      <w:r>
        <w:rPr>
          <w:rFonts w:hint="eastAsia" w:ascii="宋体" w:hAnsi="宋体" w:cs="宋体"/>
          <w:color w:val="000000"/>
          <w:szCs w:val="21"/>
          <w:lang w:val="zh-TW" w:eastAsia="zh-TW" w:bidi="zh-TW"/>
        </w:rPr>
        <w:t>本合同正本一式：</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份，合同副本一式：</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份。合同双方应 持的正本份数：</w:t>
      </w:r>
      <w:r>
        <w:rPr>
          <w:rFonts w:hint="eastAsia" w:ascii="宋体" w:hAnsi="宋体" w:cs="宋体"/>
          <w:szCs w:val="21"/>
          <w:u w:val="single"/>
          <w:lang w:val="zh-TW" w:eastAsia="zh-TW"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，副本份数：</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r>
        <w:rPr>
          <w:rFonts w:hint="eastAsia" w:ascii="宋体" w:hAnsi="宋体" w:cs="宋体"/>
          <w:color w:val="000000"/>
          <w:szCs w:val="21"/>
          <w:lang w:val="zh-TW" w:eastAsia="zh-TW" w:bidi="zh-TW"/>
        </w:rPr>
        <w:t>。</w:t>
      </w:r>
    </w:p>
    <w:p w14:paraId="7DD47F39">
      <w:pPr>
        <w:keepNext/>
        <w:keepLines/>
        <w:spacing w:after="140" w:line="360" w:lineRule="auto"/>
        <w:ind w:firstLine="280"/>
        <w:jc w:val="left"/>
        <w:outlineLvl w:val="1"/>
        <w:rPr>
          <w:rFonts w:hint="eastAsia" w:ascii="宋体" w:hAnsi="宋体" w:cs="宋体"/>
          <w:szCs w:val="21"/>
          <w:lang w:val="zh-TW" w:eastAsia="zh-TW" w:bidi="zh-TW"/>
        </w:rPr>
      </w:pPr>
      <w:r>
        <w:rPr>
          <w:rFonts w:hint="eastAsia" w:ascii="宋体" w:hAnsi="宋体" w:cs="宋体"/>
          <w:color w:val="000000"/>
          <w:szCs w:val="21"/>
          <w:lang w:val="zh-TW" w:eastAsia="zh-TW" w:bidi="zh-TW"/>
        </w:rPr>
        <w:t>第</w:t>
      </w:r>
      <w:r>
        <w:rPr>
          <w:rFonts w:hint="eastAsia" w:ascii="宋体" w:hAnsi="宋体" w:cs="宋体"/>
          <w:b/>
          <w:bCs/>
          <w:color w:val="000000"/>
          <w:szCs w:val="21"/>
          <w:lang w:val="zh-TW" w:eastAsia="zh-TW" w:bidi="zh-TW"/>
        </w:rPr>
        <w:t>20</w:t>
      </w:r>
      <w:r>
        <w:rPr>
          <w:rFonts w:hint="eastAsia" w:ascii="宋体" w:hAnsi="宋体" w:cs="宋体"/>
          <w:color w:val="000000"/>
          <w:szCs w:val="21"/>
          <w:lang w:val="zh-TW" w:eastAsia="zh-TW" w:bidi="zh-TW"/>
        </w:rPr>
        <w:t>条补充条款</w:t>
      </w:r>
    </w:p>
    <w:p w14:paraId="42309651">
      <w:pPr>
        <w:tabs>
          <w:tab w:val="left" w:pos="3662"/>
        </w:tabs>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20.1</w:t>
      </w:r>
      <w:r>
        <w:rPr>
          <w:rFonts w:hint="eastAsia" w:ascii="宋体" w:hAnsi="宋体" w:cs="宋体"/>
          <w:color w:val="000000"/>
          <w:szCs w:val="21"/>
          <w:lang w:val="zh-TW" w:eastAsia="zh-TW" w:bidi="zh-TW"/>
        </w:rPr>
        <w:t>承包合同工程的内容及合同工作范围划分：</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5687F65">
      <w:pPr>
        <w:tabs>
          <w:tab w:val="left" w:pos="3653"/>
        </w:tabs>
        <w:spacing w:after="60" w:line="360" w:lineRule="auto"/>
        <w:ind w:firstLine="240"/>
        <w:jc w:val="left"/>
        <w:rPr>
          <w:rFonts w:hint="eastAsia" w:ascii="宋体" w:hAnsi="宋体" w:cs="宋体"/>
          <w:szCs w:val="21"/>
          <w:lang w:val="zh-TW" w:eastAsia="zh-TW" w:bidi="zh-TW"/>
        </w:rPr>
      </w:pPr>
      <w:r>
        <w:rPr>
          <w:rFonts w:hint="eastAsia" w:ascii="宋体" w:hAnsi="宋体" w:cs="宋体"/>
          <w:b/>
          <w:bCs/>
          <w:color w:val="000000"/>
          <w:szCs w:val="21"/>
          <w:lang w:bidi="en-US"/>
        </w:rPr>
        <w:t>20.2</w:t>
      </w:r>
      <w:r>
        <w:rPr>
          <w:rFonts w:hint="eastAsia" w:ascii="宋体" w:hAnsi="宋体" w:cs="宋体"/>
          <w:color w:val="000000"/>
          <w:szCs w:val="21"/>
          <w:lang w:val="zh-TW" w:eastAsia="zh-TW" w:bidi="zh-TW"/>
        </w:rPr>
        <w:t>承包合同的单项工程一览表：</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1285EF8">
      <w:pPr>
        <w:ind w:firstLine="211" w:firstLineChars="100"/>
        <w:rPr>
          <w:rFonts w:hint="eastAsia" w:ascii="宋体" w:hAnsi="宋体" w:cs="宋体"/>
          <w:szCs w:val="21"/>
          <w:u w:val="single"/>
          <w:lang w:bidi="zh-TW"/>
        </w:rPr>
      </w:pPr>
      <w:r>
        <w:rPr>
          <w:rFonts w:hint="eastAsia" w:ascii="宋体" w:hAnsi="宋体" w:cs="宋体"/>
          <w:b/>
          <w:bCs/>
          <w:color w:val="000000"/>
          <w:szCs w:val="21"/>
          <w:lang w:bidi="en-US"/>
        </w:rPr>
        <w:t>20.3</w:t>
      </w:r>
      <w:r>
        <w:rPr>
          <w:rFonts w:hint="eastAsia" w:ascii="宋体" w:hAnsi="宋体" w:cs="宋体"/>
          <w:color w:val="000000"/>
          <w:szCs w:val="21"/>
          <w:lang w:val="zh-TW" w:eastAsia="zh-TW" w:bidi="zh-TW"/>
        </w:rPr>
        <w:t>合同价格清单分项表：</w:t>
      </w:r>
      <w:r>
        <w:rPr>
          <w:rFonts w:hint="eastAsia" w:ascii="宋体" w:hAnsi="宋体" w:cs="宋体"/>
          <w:szCs w:val="21"/>
          <w:u w:val="single"/>
          <w:lang w:val="zh-TW" w:eastAsia="zh-TW" w:bidi="zh-TW"/>
        </w:rPr>
        <w:t xml:space="preserve"> </w:t>
      </w:r>
      <w:r>
        <w:rPr>
          <w:rFonts w:hint="eastAsia" w:ascii="宋体" w:hAnsi="宋体" w:cs="宋体"/>
          <w:szCs w:val="21"/>
          <w:u w:val="single"/>
          <w:lang w:val="zh-TW" w:bidi="zh-TW"/>
        </w:rPr>
        <w:t xml:space="preserve">                                        </w:t>
      </w:r>
    </w:p>
    <w:p w14:paraId="11CA053E">
      <w:pPr>
        <w:ind w:firstLine="600"/>
        <w:rPr>
          <w:rFonts w:ascii="宋体" w:hAnsi="宋体" w:cs="宋体"/>
          <w:color w:val="000000"/>
          <w:szCs w:val="21"/>
          <w:lang w:val="zh-TW" w:eastAsia="zh-TW" w:bidi="zh-TW"/>
        </w:rPr>
      </w:pPr>
      <w:r>
        <w:rPr>
          <w:rFonts w:hint="eastAsia" w:ascii="宋体" w:hAnsi="宋体" w:cs="宋体"/>
          <w:color w:val="000000"/>
          <w:szCs w:val="21"/>
          <w:lang w:val="zh-TW" w:eastAsia="zh-TW" w:bidi="zh-TW"/>
        </w:rPr>
        <w:t>1. 签约合同暂定价（含税）为：</w:t>
      </w:r>
    </w:p>
    <w:p w14:paraId="4ADCD3D2">
      <w:pPr>
        <w:ind w:firstLine="600"/>
        <w:rPr>
          <w:rFonts w:ascii="宋体" w:hAnsi="宋体" w:cs="宋体"/>
          <w:color w:val="000000"/>
          <w:szCs w:val="21"/>
          <w:lang w:val="zh-TW" w:eastAsia="zh-TW" w:bidi="zh-TW"/>
        </w:rPr>
      </w:pPr>
      <w:r>
        <w:rPr>
          <w:rFonts w:hint="eastAsia" w:ascii="宋体" w:hAnsi="宋体" w:cs="宋体"/>
          <w:color w:val="000000"/>
          <w:szCs w:val="21"/>
          <w:lang w:val="zh-TW" w:eastAsia="zh-TW" w:bidi="zh-TW"/>
        </w:rPr>
        <w:t xml:space="preserve">人民币（大写) </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元）。</w:t>
      </w:r>
    </w:p>
    <w:p w14:paraId="4B6D5E94">
      <w:pPr>
        <w:ind w:firstLine="600"/>
        <w:rPr>
          <w:rFonts w:ascii="宋体" w:hAnsi="宋体" w:cs="宋体"/>
          <w:color w:val="000000"/>
          <w:szCs w:val="21"/>
          <w:lang w:val="zh-TW" w:eastAsia="zh-TW" w:bidi="zh-TW"/>
        </w:rPr>
      </w:pPr>
      <w:r>
        <w:rPr>
          <w:rFonts w:hint="eastAsia" w:ascii="宋体" w:hAnsi="宋体" w:cs="宋体"/>
          <w:color w:val="000000"/>
          <w:szCs w:val="21"/>
          <w:lang w:val="zh-TW" w:eastAsia="zh-TW" w:bidi="zh-TW"/>
        </w:rPr>
        <w:t xml:space="preserve">具体构成详见价格清单。其中： </w:t>
      </w:r>
    </w:p>
    <w:p w14:paraId="4930AABE">
      <w:pPr>
        <w:spacing w:line="360" w:lineRule="auto"/>
        <w:ind w:firstLine="420" w:firstLineChars="200"/>
        <w:rPr>
          <w:rFonts w:ascii="宋体" w:hAnsi="宋体" w:cs="宋体"/>
          <w:color w:val="000000"/>
          <w:szCs w:val="21"/>
          <w:lang w:val="zh-TW" w:eastAsia="zh-TW" w:bidi="zh-TW"/>
        </w:rPr>
      </w:pPr>
      <w:r>
        <w:rPr>
          <w:rFonts w:ascii="宋体" w:hAnsi="宋体" w:cs="宋体"/>
          <w:color w:val="000000"/>
          <w:szCs w:val="21"/>
          <w:lang w:val="zh-TW" w:eastAsia="zh-TW" w:bidi="zh-TW"/>
        </w:rPr>
        <w:t>（1）安全文明施工费：</w:t>
      </w:r>
    </w:p>
    <w:p w14:paraId="0D6B327B">
      <w:pPr>
        <w:spacing w:line="360" w:lineRule="auto"/>
        <w:ind w:firstLine="945" w:firstLineChars="450"/>
        <w:rPr>
          <w:rFonts w:ascii="宋体" w:hAnsi="宋体" w:cs="宋体"/>
          <w:color w:val="000000"/>
          <w:szCs w:val="21"/>
          <w:lang w:val="zh-TW" w:eastAsia="zh-TW" w:bidi="zh-TW"/>
        </w:rPr>
      </w:pPr>
      <w:r>
        <w:rPr>
          <w:rFonts w:ascii="宋体" w:hAnsi="宋体" w:cs="宋体"/>
          <w:color w:val="000000"/>
          <w:szCs w:val="21"/>
          <w:lang w:val="zh-TW" w:eastAsia="zh-TW" w:bidi="zh-TW"/>
        </w:rPr>
        <w:t xml:space="preserve">人民币（大写）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元)；</w:t>
      </w:r>
    </w:p>
    <w:p w14:paraId="59177FDA">
      <w:pPr>
        <w:spacing w:line="360" w:lineRule="auto"/>
        <w:ind w:firstLine="420" w:firstLineChars="200"/>
        <w:rPr>
          <w:rFonts w:ascii="宋体" w:hAnsi="宋体" w:cs="宋体"/>
          <w:color w:val="000000"/>
          <w:szCs w:val="21"/>
          <w:lang w:val="zh-TW" w:eastAsia="zh-TW" w:bidi="zh-TW"/>
        </w:rPr>
      </w:pPr>
      <w:r>
        <w:rPr>
          <w:rFonts w:ascii="宋体" w:hAnsi="宋体" w:cs="宋体"/>
          <w:color w:val="000000"/>
          <w:szCs w:val="21"/>
          <w:lang w:val="zh-TW" w:eastAsia="zh-TW" w:bidi="zh-TW"/>
        </w:rPr>
        <w:t>（2）材料和工程设备暂估价金额：</w:t>
      </w:r>
    </w:p>
    <w:p w14:paraId="7B3E6E18">
      <w:pPr>
        <w:spacing w:line="360" w:lineRule="auto"/>
        <w:ind w:firstLine="945" w:firstLineChars="450"/>
        <w:rPr>
          <w:rFonts w:ascii="宋体" w:hAnsi="宋体" w:cs="宋体"/>
          <w:color w:val="000000"/>
          <w:szCs w:val="21"/>
          <w:lang w:val="zh-TW" w:eastAsia="zh-TW" w:bidi="zh-TW"/>
        </w:rPr>
      </w:pPr>
      <w:r>
        <w:rPr>
          <w:rFonts w:ascii="宋体" w:hAnsi="宋体" w:cs="宋体"/>
          <w:color w:val="000000"/>
          <w:szCs w:val="21"/>
          <w:lang w:val="zh-TW" w:eastAsia="zh-TW" w:bidi="zh-TW"/>
        </w:rPr>
        <w:t xml:space="preserve">人民币（大写）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元)；</w:t>
      </w:r>
    </w:p>
    <w:p w14:paraId="5DD00C9A">
      <w:pPr>
        <w:spacing w:line="360" w:lineRule="auto"/>
        <w:ind w:firstLine="420" w:firstLineChars="200"/>
        <w:rPr>
          <w:rFonts w:ascii="宋体" w:hAnsi="宋体" w:cs="宋体"/>
          <w:color w:val="000000"/>
          <w:szCs w:val="21"/>
          <w:lang w:val="zh-TW" w:eastAsia="zh-TW" w:bidi="zh-TW"/>
        </w:rPr>
      </w:pPr>
      <w:r>
        <w:rPr>
          <w:rFonts w:ascii="宋体" w:hAnsi="宋体" w:cs="宋体"/>
          <w:color w:val="000000"/>
          <w:szCs w:val="21"/>
          <w:lang w:val="zh-TW" w:eastAsia="zh-TW" w:bidi="zh-TW"/>
        </w:rPr>
        <w:t>（3）专业工程暂估价金额：</w:t>
      </w:r>
    </w:p>
    <w:p w14:paraId="01C89057">
      <w:pPr>
        <w:spacing w:line="360" w:lineRule="auto"/>
        <w:ind w:firstLine="945" w:firstLineChars="450"/>
        <w:rPr>
          <w:rFonts w:ascii="宋体" w:hAnsi="宋体" w:cs="宋体"/>
          <w:color w:val="000000"/>
          <w:szCs w:val="21"/>
          <w:lang w:val="zh-TW" w:eastAsia="zh-TW" w:bidi="zh-TW"/>
        </w:rPr>
      </w:pPr>
      <w:r>
        <w:rPr>
          <w:rFonts w:ascii="宋体" w:hAnsi="宋体" w:cs="宋体"/>
          <w:color w:val="000000"/>
          <w:szCs w:val="21"/>
          <w:lang w:val="zh-TW" w:eastAsia="zh-TW" w:bidi="zh-TW"/>
        </w:rPr>
        <w:t xml:space="preserve">人民币（大写）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元)；</w:t>
      </w:r>
    </w:p>
    <w:p w14:paraId="0B6D2CC3">
      <w:pPr>
        <w:spacing w:line="360" w:lineRule="auto"/>
        <w:ind w:firstLine="420" w:firstLineChars="200"/>
        <w:rPr>
          <w:rFonts w:ascii="宋体" w:hAnsi="宋体" w:cs="宋体"/>
          <w:color w:val="000000"/>
          <w:szCs w:val="21"/>
          <w:lang w:val="zh-TW" w:eastAsia="zh-TW" w:bidi="zh-TW"/>
        </w:rPr>
      </w:pPr>
      <w:r>
        <w:rPr>
          <w:rFonts w:ascii="宋体" w:hAnsi="宋体" w:cs="宋体"/>
          <w:color w:val="000000"/>
          <w:szCs w:val="21"/>
          <w:lang w:val="zh-TW" w:eastAsia="zh-TW" w:bidi="zh-TW"/>
        </w:rPr>
        <w:t>（4）暂列金额：</w:t>
      </w:r>
    </w:p>
    <w:p w14:paraId="510A9E4A">
      <w:pPr>
        <w:spacing w:line="360" w:lineRule="auto"/>
        <w:ind w:firstLine="945" w:firstLineChars="450"/>
        <w:rPr>
          <w:rFonts w:ascii="宋体" w:hAnsi="宋体" w:cs="宋体"/>
          <w:color w:val="000000"/>
          <w:szCs w:val="21"/>
          <w:lang w:val="zh-TW" w:eastAsia="zh-TW" w:bidi="zh-TW"/>
        </w:rPr>
      </w:pPr>
      <w:r>
        <w:rPr>
          <w:rFonts w:ascii="宋体" w:hAnsi="宋体" w:cs="宋体"/>
          <w:color w:val="000000"/>
          <w:szCs w:val="21"/>
          <w:lang w:val="zh-TW" w:eastAsia="zh-TW" w:bidi="zh-TW"/>
        </w:rPr>
        <w:t xml:space="preserve">人民币（大写）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    </w:t>
      </w:r>
      <w:r>
        <w:rPr>
          <w:rFonts w:hint="eastAsia" w:ascii="宋体" w:hAnsi="宋体" w:cs="宋体"/>
          <w:color w:val="000000"/>
          <w:szCs w:val="21"/>
          <w:lang w:val="zh-TW" w:eastAsia="zh-TW" w:bidi="zh-TW"/>
        </w:rPr>
        <w:t xml:space="preserve">    </w:t>
      </w:r>
      <w:r>
        <w:rPr>
          <w:rFonts w:ascii="宋体" w:hAnsi="宋体" w:cs="宋体"/>
          <w:color w:val="000000"/>
          <w:szCs w:val="21"/>
          <w:lang w:val="zh-TW" w:eastAsia="zh-TW" w:bidi="zh-TW"/>
        </w:rPr>
        <w:t xml:space="preserve">  元)。</w:t>
      </w:r>
    </w:p>
    <w:p w14:paraId="2BB28FC8">
      <w:pPr>
        <w:ind w:firstLine="600"/>
        <w:rPr>
          <w:rFonts w:ascii="宋体" w:hAnsi="宋体" w:cs="宋体"/>
          <w:color w:val="000000"/>
          <w:szCs w:val="21"/>
          <w:lang w:val="zh-TW" w:eastAsia="zh-TW" w:bidi="zh-TW"/>
        </w:rPr>
      </w:pPr>
      <w:r>
        <w:rPr>
          <w:rFonts w:hint="eastAsia" w:ascii="宋体" w:hAnsi="宋体" w:cs="宋体"/>
          <w:color w:val="000000"/>
          <w:szCs w:val="21"/>
          <w:lang w:val="zh-TW" w:eastAsia="zh-TW" w:bidi="zh-TW"/>
        </w:rPr>
        <w:t>（5） 设计费（含税包干价）：</w:t>
      </w:r>
    </w:p>
    <w:p w14:paraId="42B13AF2">
      <w:pPr>
        <w:ind w:firstLine="600"/>
        <w:rPr>
          <w:rFonts w:ascii="宋体" w:hAnsi="宋体" w:cs="宋体"/>
          <w:color w:val="000000"/>
          <w:szCs w:val="21"/>
          <w:lang w:val="zh-TW" w:eastAsia="zh-TW" w:bidi="zh-TW"/>
        </w:rPr>
      </w:pPr>
      <w:r>
        <w:rPr>
          <w:rFonts w:hint="eastAsia" w:ascii="宋体" w:hAnsi="宋体" w:cs="宋体"/>
          <w:color w:val="000000"/>
          <w:szCs w:val="21"/>
          <w:lang w:val="zh-TW" w:eastAsia="zh-TW" w:bidi="zh-TW"/>
        </w:rPr>
        <w:t xml:space="preserve">人民币（大写) </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元）；适用税率：</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%，税金为人民币（大写) </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w:t>
      </w:r>
      <w:r>
        <w:rPr>
          <w:rFonts w:ascii="宋体" w:hAnsi="宋体" w:cs="宋体"/>
          <w:color w:val="000000"/>
          <w:szCs w:val="21"/>
          <w:lang w:val="zh-TW" w:eastAsia="zh-TW" w:bidi="zh-TW"/>
        </w:rPr>
        <w:t xml:space="preserve">          </w:t>
      </w:r>
      <w:r>
        <w:rPr>
          <w:rFonts w:hint="eastAsia" w:ascii="宋体" w:hAnsi="宋体" w:cs="宋体"/>
          <w:color w:val="000000"/>
          <w:szCs w:val="21"/>
          <w:lang w:val="zh-TW" w:eastAsia="zh-TW" w:bidi="zh-TW"/>
        </w:rPr>
        <w:t xml:space="preserve">元）； </w:t>
      </w:r>
    </w:p>
    <w:p w14:paraId="3D0812C7">
      <w:pPr>
        <w:spacing w:after="120"/>
        <w:rPr>
          <w:rFonts w:hint="eastAsia" w:ascii="宋体" w:hAnsi="宋体" w:cs="宋体"/>
          <w:color w:val="000000"/>
          <w:szCs w:val="21"/>
          <w:lang w:val="zh-TW" w:bidi="zh-TW"/>
        </w:rPr>
      </w:pPr>
      <w:r>
        <w:rPr>
          <w:rFonts w:hint="eastAsia" w:ascii="宋体" w:hAnsi="宋体" w:cs="宋体"/>
          <w:color w:val="000000"/>
          <w:szCs w:val="21"/>
          <w:lang w:val="zh-TW" w:bidi="zh-TW"/>
        </w:rPr>
        <w:t>2、签约合同价（含税）为：建安工程费：经过第三方中介机构评审的控制价*（1-中标人下浮率%）</w:t>
      </w:r>
    </w:p>
    <w:p w14:paraId="7B9BD1C8">
      <w:pPr>
        <w:spacing w:after="120"/>
        <w:rPr>
          <w:rFonts w:hint="eastAsia" w:ascii="宋体" w:hAnsi="宋体" w:cs="宋体"/>
          <w:color w:val="000000"/>
          <w:szCs w:val="21"/>
          <w:lang w:val="zh-TW" w:bidi="zh-TW"/>
        </w:rPr>
      </w:pPr>
      <w:r>
        <w:rPr>
          <w:rFonts w:hint="eastAsia" w:ascii="宋体" w:hAnsi="宋体" w:cs="宋体"/>
          <w:color w:val="000000"/>
          <w:szCs w:val="21"/>
          <w:lang w:val="zh-TW" w:bidi="zh-TW"/>
        </w:rPr>
        <w:t xml:space="preserve">                          设计费：包干价</w:t>
      </w:r>
    </w:p>
    <w:p w14:paraId="40F456EB">
      <w:pPr>
        <w:ind w:firstLine="600"/>
        <w:rPr>
          <w:rFonts w:ascii="宋体" w:hAnsi="宋体" w:cs="宋体"/>
          <w:color w:val="000000"/>
          <w:szCs w:val="21"/>
          <w:lang w:val="zh-TW" w:eastAsia="zh-TW" w:bidi="zh-TW"/>
        </w:rPr>
      </w:pPr>
      <w:r>
        <w:rPr>
          <w:rFonts w:hint="eastAsia" w:ascii="宋体" w:hAnsi="宋体" w:cs="宋体"/>
          <w:color w:val="000000"/>
          <w:szCs w:val="21"/>
          <w:lang w:val="zh-TW" w:bidi="zh-TW"/>
        </w:rPr>
        <w:t>3</w:t>
      </w:r>
      <w:r>
        <w:rPr>
          <w:rFonts w:hint="eastAsia" w:ascii="宋体" w:hAnsi="宋体" w:cs="宋体"/>
          <w:color w:val="000000"/>
          <w:szCs w:val="21"/>
          <w:lang w:val="zh-TW" w:eastAsia="zh-TW" w:bidi="zh-TW"/>
        </w:rPr>
        <w:t>. 合同价格形式：</w:t>
      </w:r>
    </w:p>
    <w:p w14:paraId="1537AD79">
      <w:pPr>
        <w:pStyle w:val="43"/>
        <w:tabs>
          <w:tab w:val="left" w:pos="598"/>
        </w:tabs>
        <w:spacing w:line="360" w:lineRule="auto"/>
        <w:ind w:firstLine="420" w:firstLineChars="200"/>
        <w:rPr>
          <w:rFonts w:ascii="宋体" w:hAnsi="宋体" w:cs="宋体"/>
          <w:color w:val="000000"/>
          <w:szCs w:val="21"/>
          <w:lang w:val="zh-TW" w:eastAsia="zh-TW" w:bidi="zh-TW"/>
        </w:rPr>
      </w:pPr>
      <w:r>
        <w:rPr>
          <w:rFonts w:hint="eastAsia" w:ascii="宋体" w:hAnsi="宋体" w:eastAsia="宋体" w:cs="宋体"/>
          <w:color w:val="000000"/>
          <w:kern w:val="2"/>
          <w:sz w:val="21"/>
          <w:szCs w:val="21"/>
          <w:lang w:val="zh-TW" w:eastAsia="zh-TW" w:bidi="zh-TW"/>
        </w:rPr>
        <w:t>合同价格形式为</w:t>
      </w:r>
      <w:r>
        <w:rPr>
          <w:rFonts w:hint="eastAsia" w:ascii="宋体" w:hAnsi="宋体" w:eastAsia="宋体" w:cs="宋体"/>
          <w:color w:val="000000"/>
          <w:kern w:val="2"/>
          <w:sz w:val="21"/>
          <w:szCs w:val="21"/>
          <w:lang w:val="zh-TW" w:eastAsia="zh-CN" w:bidi="zh-TW"/>
        </w:rPr>
        <w:t>总价</w:t>
      </w:r>
      <w:r>
        <w:rPr>
          <w:rFonts w:hint="eastAsia" w:cs="宋体"/>
          <w:color w:val="000000"/>
          <w:kern w:val="2"/>
          <w:sz w:val="21"/>
          <w:szCs w:val="21"/>
          <w:lang w:val="en-US" w:eastAsia="zh-CN" w:bidi="zh-TW"/>
        </w:rPr>
        <w:t>与单价</w:t>
      </w:r>
      <w:r>
        <w:rPr>
          <w:rFonts w:hint="eastAsia" w:ascii="宋体" w:hAnsi="宋体" w:eastAsia="宋体" w:cs="宋体"/>
          <w:color w:val="000000"/>
          <w:kern w:val="2"/>
          <w:sz w:val="21"/>
          <w:szCs w:val="21"/>
          <w:lang w:val="zh-TW" w:eastAsia="zh-TW" w:bidi="zh-TW"/>
        </w:rPr>
        <w:t>合同，</w:t>
      </w:r>
      <w:r>
        <w:rPr>
          <w:rFonts w:hint="eastAsia" w:ascii="宋体" w:hAnsi="宋体" w:eastAsia="宋体" w:cs="宋体"/>
          <w:color w:val="000000"/>
          <w:kern w:val="2"/>
          <w:sz w:val="21"/>
          <w:szCs w:val="21"/>
          <w:lang w:val="en-US" w:eastAsia="zh-CN" w:bidi="zh-TW"/>
        </w:rPr>
        <w:t>最终结算价以</w:t>
      </w:r>
      <w:r>
        <w:rPr>
          <w:rFonts w:hint="eastAsia" w:cs="宋体"/>
          <w:color w:val="000000"/>
          <w:kern w:val="2"/>
          <w:sz w:val="21"/>
          <w:szCs w:val="21"/>
          <w:lang w:val="en-US" w:eastAsia="zh-CN" w:bidi="zh-TW"/>
        </w:rPr>
        <w:t>竣工结算审定金额为准</w:t>
      </w:r>
      <w:r>
        <w:rPr>
          <w:rFonts w:hint="eastAsia" w:ascii="宋体" w:hAnsi="宋体" w:eastAsia="宋体" w:cs="宋体"/>
          <w:color w:val="000000"/>
          <w:kern w:val="2"/>
          <w:sz w:val="21"/>
          <w:szCs w:val="21"/>
          <w:lang w:val="zh-TW" w:eastAsia="zh-TW" w:bidi="zh-TW"/>
        </w:rPr>
        <w:t>。</w:t>
      </w:r>
    </w:p>
    <w:p w14:paraId="5801E7EB">
      <w:pPr>
        <w:tabs>
          <w:tab w:val="left" w:pos="596"/>
        </w:tabs>
        <w:spacing w:line="360" w:lineRule="auto"/>
        <w:ind w:firstLine="300"/>
      </w:pPr>
      <w:r>
        <w:rPr>
          <w:rFonts w:hint="eastAsia" w:ascii="宋体" w:hAnsi="宋体" w:cs="宋体"/>
          <w:b/>
          <w:bCs/>
          <w:color w:val="000000"/>
          <w:szCs w:val="21"/>
          <w:lang w:bidi="en-US"/>
        </w:rPr>
        <w:t>20.4</w:t>
      </w:r>
      <w:r>
        <w:rPr>
          <w:rFonts w:hint="eastAsia" w:ascii="宋体" w:hAnsi="宋体" w:cs="宋体"/>
          <w:color w:val="000000"/>
          <w:szCs w:val="21"/>
          <w:lang w:val="zh-TW" w:eastAsia="zh-TW" w:bidi="zh-TW"/>
        </w:rPr>
        <w:t>其它合同附件：</w:t>
      </w:r>
      <w:r>
        <w:rPr>
          <w:rFonts w:hint="eastAsia" w:ascii="宋体" w:hAnsi="宋体" w:cs="宋体"/>
          <w:szCs w:val="21"/>
          <w:u w:val="single"/>
          <w:lang w:val="zh-TW" w:eastAsia="zh-TW" w:bidi="zh-TW"/>
        </w:rPr>
        <w:t xml:space="preserve"> </w:t>
      </w:r>
      <w:r>
        <w:rPr>
          <w:rFonts w:hint="eastAsia" w:ascii="宋体" w:hAnsi="宋体" w:cs="宋体"/>
          <w:szCs w:val="21"/>
          <w:u w:val="single"/>
          <w:lang w:bidi="zh-TW"/>
        </w:rPr>
        <w:t xml:space="preserve">                                              </w:t>
      </w:r>
      <w:r>
        <w:rPr>
          <w:rFonts w:hint="eastAsia" w:ascii="宋体" w:hAnsi="宋体" w:cs="宋体"/>
          <w:szCs w:val="21"/>
          <w:u w:val="single"/>
          <w:lang w:val="zh-TW" w:eastAsia="zh-TW" w:bidi="zh-TW"/>
        </w:rPr>
        <w:tab/>
      </w:r>
    </w:p>
    <w:p w14:paraId="2F461D8E">
      <w:pPr>
        <w:pStyle w:val="43"/>
        <w:tabs>
          <w:tab w:val="left" w:pos="596"/>
        </w:tabs>
        <w:spacing w:line="360" w:lineRule="auto"/>
        <w:ind w:firstLine="300"/>
        <w:rPr>
          <w:sz w:val="21"/>
          <w:szCs w:val="21"/>
          <w:lang w:eastAsia="zh-CN"/>
        </w:rPr>
      </w:pPr>
    </w:p>
    <w:p w14:paraId="7D024E96">
      <w:pPr>
        <w:ind w:firstLine="420" w:firstLineChars="200"/>
        <w:rPr>
          <w:rFonts w:hint="eastAsia"/>
          <w:lang w:val="en-US" w:eastAsia="zh-CN"/>
        </w:rPr>
      </w:pPr>
      <w:r>
        <w:rPr>
          <w:rFonts w:hint="eastAsia"/>
          <w:lang w:val="en-US" w:eastAsia="zh-CN"/>
        </w:rPr>
        <w:t>纪检监察举报电话：0835-2625910</w:t>
      </w:r>
    </w:p>
    <w:p w14:paraId="398E7228">
      <w:pPr>
        <w:ind w:firstLine="420" w:firstLineChars="200"/>
        <w:rPr>
          <w:rFonts w:hint="eastAsia"/>
          <w:lang w:val="en-US" w:eastAsia="zh-CN"/>
        </w:rPr>
      </w:pPr>
      <w:r>
        <w:rPr>
          <w:rFonts w:hint="eastAsia"/>
          <w:lang w:val="en-US" w:eastAsia="zh-CN"/>
        </w:rPr>
        <w:t>举报邮箱：157482507@qq.com</w:t>
      </w:r>
    </w:p>
    <w:p w14:paraId="3F488932"/>
    <w:p w14:paraId="4A60128A">
      <w:r>
        <w:rPr>
          <w:rFonts w:hint="eastAsia"/>
        </w:rPr>
        <w:t xml:space="preserve"> </w:t>
      </w:r>
      <w:bookmarkEnd w:id="444"/>
      <w:bookmarkEnd w:id="445"/>
      <w:bookmarkEnd w:id="446"/>
      <w:bookmarkEnd w:id="447"/>
      <w:bookmarkEnd w:id="448"/>
    </w:p>
    <w:p w14:paraId="7FC99625">
      <w:pPr>
        <w:spacing w:line="400" w:lineRule="exact"/>
      </w:pPr>
    </w:p>
    <w:p w14:paraId="67A00103">
      <w:pPr>
        <w:pStyle w:val="3"/>
        <w:jc w:val="center"/>
      </w:pPr>
      <w:bookmarkStart w:id="449" w:name="_Toc247514232"/>
      <w:bookmarkStart w:id="450" w:name="_Toc247527819"/>
      <w:bookmarkStart w:id="451" w:name="_Toc300835204"/>
      <w:r>
        <w:rPr>
          <w:rFonts w:hint="eastAsia"/>
        </w:rPr>
        <w:t>第二卷</w:t>
      </w:r>
      <w:bookmarkEnd w:id="449"/>
      <w:bookmarkEnd w:id="450"/>
      <w:bookmarkEnd w:id="451"/>
    </w:p>
    <w:p w14:paraId="2E399FC0">
      <w:pPr>
        <w:pStyle w:val="3"/>
        <w:jc w:val="center"/>
        <w:rPr>
          <w:rFonts w:ascii="宋体" w:hAnsi="宋体" w:cs="宋体"/>
          <w:bCs w:val="0"/>
          <w:sz w:val="32"/>
          <w:szCs w:val="32"/>
        </w:rPr>
      </w:pPr>
      <w:r>
        <w:rPr>
          <w:rFonts w:hint="eastAsia"/>
        </w:rPr>
        <w:br w:type="page"/>
      </w:r>
      <w:bookmarkStart w:id="452" w:name="_Toc247527820"/>
      <w:bookmarkStart w:id="453" w:name="_Toc152045782"/>
      <w:bookmarkStart w:id="454" w:name="_Toc144974851"/>
      <w:bookmarkStart w:id="455" w:name="_Toc247514233"/>
      <w:bookmarkStart w:id="456" w:name="_Toc152042571"/>
      <w:bookmarkStart w:id="457" w:name="_Toc300835205"/>
      <w:r>
        <w:rPr>
          <w:rFonts w:hint="eastAsia" w:ascii="宋体" w:hAnsi="宋体" w:cs="宋体"/>
          <w:bCs w:val="0"/>
          <w:sz w:val="32"/>
          <w:szCs w:val="32"/>
        </w:rPr>
        <w:t xml:space="preserve">第五章  </w:t>
      </w:r>
      <w:bookmarkEnd w:id="452"/>
      <w:bookmarkEnd w:id="453"/>
      <w:bookmarkEnd w:id="454"/>
      <w:bookmarkEnd w:id="455"/>
      <w:bookmarkEnd w:id="456"/>
      <w:r>
        <w:rPr>
          <w:rFonts w:hint="eastAsia" w:ascii="宋体" w:hAnsi="宋体" w:cs="宋体"/>
          <w:bCs w:val="0"/>
          <w:sz w:val="32"/>
          <w:szCs w:val="32"/>
        </w:rPr>
        <w:t>发包人要求</w:t>
      </w:r>
      <w:bookmarkEnd w:id="457"/>
    </w:p>
    <w:p w14:paraId="1A554EEA">
      <w:pPr>
        <w:topLinePunct/>
        <w:spacing w:line="440" w:lineRule="exact"/>
        <w:jc w:val="center"/>
      </w:pPr>
    </w:p>
    <w:p w14:paraId="2A68E83E">
      <w:pPr>
        <w:spacing w:line="400" w:lineRule="exact"/>
        <w:jc w:val="center"/>
      </w:pPr>
      <w:r>
        <w:br w:type="page"/>
      </w:r>
    </w:p>
    <w:p w14:paraId="30452857">
      <w:pPr>
        <w:spacing w:line="400" w:lineRule="exact"/>
        <w:jc w:val="center"/>
        <w:rPr>
          <w:b/>
          <w:sz w:val="32"/>
          <w:szCs w:val="32"/>
        </w:rPr>
      </w:pPr>
      <w:r>
        <w:rPr>
          <w:rFonts w:hint="eastAsia"/>
          <w:b/>
          <w:sz w:val="32"/>
          <w:szCs w:val="32"/>
        </w:rPr>
        <w:t>发包人要求</w:t>
      </w:r>
    </w:p>
    <w:p w14:paraId="14929CB5">
      <w:pPr>
        <w:spacing w:line="400" w:lineRule="exact"/>
      </w:pPr>
    </w:p>
    <w:p w14:paraId="035E8A81">
      <w:pPr>
        <w:spacing w:line="440" w:lineRule="exact"/>
        <w:ind w:firstLine="410" w:firstLineChars="171"/>
        <w:rPr>
          <w:sz w:val="24"/>
        </w:rPr>
      </w:pPr>
      <w:r>
        <w:rPr>
          <w:rFonts w:hint="eastAsia"/>
          <w:sz w:val="24"/>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14:paraId="718D72EE">
      <w:pPr>
        <w:spacing w:line="360" w:lineRule="auto"/>
        <w:ind w:firstLine="240" w:firstLineChars="100"/>
        <w:rPr>
          <w:sz w:val="24"/>
        </w:rPr>
      </w:pPr>
      <w:r>
        <w:rPr>
          <w:rFonts w:hint="eastAsia"/>
          <w:sz w:val="24"/>
        </w:rPr>
        <w:t>附件：</w:t>
      </w:r>
    </w:p>
    <w:p w14:paraId="465CB5EE">
      <w:pPr>
        <w:spacing w:line="360" w:lineRule="auto"/>
        <w:ind w:firstLine="482" w:firstLineChars="200"/>
        <w:rPr>
          <w:rFonts w:ascii="宋体" w:hAnsi="宋体"/>
          <w:b/>
          <w:sz w:val="24"/>
          <w:u w:val="single"/>
        </w:rPr>
      </w:pPr>
      <w:r>
        <w:rPr>
          <w:rFonts w:hint="eastAsia"/>
          <w:b/>
          <w:sz w:val="24"/>
          <w:u w:val="single"/>
        </w:rPr>
        <w:t xml:space="preserve">请将完整的发包人要求粘贴于此处 </w:t>
      </w:r>
    </w:p>
    <w:p w14:paraId="30415078">
      <w:pPr>
        <w:spacing w:line="400" w:lineRule="exact"/>
        <w:rPr>
          <w:rFonts w:ascii="宋体" w:hAnsi="宋体"/>
          <w:szCs w:val="21"/>
        </w:rPr>
      </w:pPr>
      <w:r>
        <w:rPr>
          <w:rFonts w:hint="eastAsia" w:ascii="宋体" w:hAnsi="宋体"/>
          <w:szCs w:val="21"/>
        </w:rPr>
        <w:br w:type="page"/>
      </w:r>
    </w:p>
    <w:p w14:paraId="252CCE9C">
      <w:pPr>
        <w:pStyle w:val="3"/>
        <w:jc w:val="center"/>
      </w:pPr>
      <w:bookmarkStart w:id="458" w:name="_Toc300835206"/>
      <w:r>
        <w:rPr>
          <w:rFonts w:hint="eastAsia" w:ascii="宋体" w:hAnsi="宋体" w:cs="宋体"/>
          <w:bCs w:val="0"/>
          <w:sz w:val="32"/>
          <w:szCs w:val="32"/>
        </w:rPr>
        <w:t>第六章  发包人提供的资料</w:t>
      </w:r>
      <w:bookmarkEnd w:id="458"/>
    </w:p>
    <w:p w14:paraId="38ED57E0">
      <w:pPr>
        <w:spacing w:line="360" w:lineRule="auto"/>
      </w:pPr>
      <w:r>
        <w:br w:type="page"/>
      </w:r>
    </w:p>
    <w:p w14:paraId="12DEBB1F">
      <w:pPr>
        <w:spacing w:line="400" w:lineRule="exact"/>
        <w:jc w:val="center"/>
        <w:rPr>
          <w:b/>
          <w:sz w:val="32"/>
          <w:szCs w:val="32"/>
        </w:rPr>
      </w:pPr>
      <w:r>
        <w:rPr>
          <w:rFonts w:hint="eastAsia"/>
          <w:b/>
          <w:sz w:val="32"/>
          <w:szCs w:val="32"/>
        </w:rPr>
        <w:t>发包人提供的资料</w:t>
      </w:r>
    </w:p>
    <w:p w14:paraId="534CA806">
      <w:pPr>
        <w:rPr>
          <w:b/>
          <w:sz w:val="30"/>
          <w:szCs w:val="30"/>
        </w:rPr>
      </w:pPr>
    </w:p>
    <w:p w14:paraId="1B7AAFF7">
      <w:pPr>
        <w:spacing w:line="360" w:lineRule="auto"/>
        <w:ind w:firstLine="480" w:firstLineChars="200"/>
        <w:rPr>
          <w:rFonts w:ascii="黑体" w:hAnsi="宋体" w:eastAsia="黑体"/>
          <w:sz w:val="24"/>
        </w:rPr>
      </w:pPr>
      <w:r>
        <w:rPr>
          <w:rFonts w:hint="eastAsia" w:ascii="黑体" w:hAnsi="宋体" w:eastAsia="黑体"/>
          <w:sz w:val="24"/>
        </w:rPr>
        <w:t>一、项目概况</w:t>
      </w:r>
    </w:p>
    <w:p w14:paraId="3AA4F237">
      <w:pPr>
        <w:spacing w:line="360" w:lineRule="auto"/>
        <w:ind w:firstLine="480" w:firstLineChars="200"/>
        <w:rPr>
          <w:rFonts w:ascii="黑体" w:hAnsi="宋体" w:eastAsia="黑体"/>
          <w:sz w:val="24"/>
        </w:rPr>
      </w:pPr>
      <w:r>
        <w:rPr>
          <w:rFonts w:hint="eastAsia" w:ascii="黑体" w:hAnsi="宋体" w:eastAsia="黑体"/>
          <w:sz w:val="24"/>
        </w:rPr>
        <w:t>二、发包人提供的资料</w:t>
      </w:r>
    </w:p>
    <w:p w14:paraId="3B946E22">
      <w:pPr>
        <w:spacing w:line="360" w:lineRule="auto"/>
        <w:ind w:firstLine="480" w:firstLineChars="200"/>
        <w:rPr>
          <w:rFonts w:ascii="宋体" w:hAnsi="宋体"/>
          <w:sz w:val="24"/>
        </w:rPr>
      </w:pPr>
      <w:r>
        <w:rPr>
          <w:rFonts w:hint="eastAsia" w:ascii="宋体" w:hAnsi="宋体"/>
          <w:sz w:val="24"/>
        </w:rPr>
        <w:t>1. 施工场地及毗邻区域内的供水、排水、供电、供气、供热、通信、广播电视等地下管线资料、气象和水文观测资料，相邻建筑物和构筑物、地下工程的有关资料，以及其他与建设工程有关的原始资料。</w:t>
      </w:r>
    </w:p>
    <w:p w14:paraId="5DBE2EC2">
      <w:pPr>
        <w:spacing w:line="360" w:lineRule="auto"/>
        <w:ind w:firstLine="480" w:firstLineChars="200"/>
        <w:rPr>
          <w:rFonts w:ascii="宋体" w:hAnsi="宋体"/>
          <w:sz w:val="24"/>
        </w:rPr>
      </w:pPr>
      <w:r>
        <w:rPr>
          <w:rFonts w:hint="eastAsia" w:ascii="宋体" w:hAnsi="宋体"/>
          <w:sz w:val="24"/>
        </w:rPr>
        <w:t>2. 定位放线的基准点、基准线和基准标高。</w:t>
      </w:r>
    </w:p>
    <w:p w14:paraId="176CA3A3">
      <w:pPr>
        <w:spacing w:line="360" w:lineRule="auto"/>
        <w:ind w:firstLine="480" w:firstLineChars="200"/>
        <w:rPr>
          <w:rFonts w:ascii="宋体" w:hAnsi="宋体"/>
          <w:sz w:val="24"/>
        </w:rPr>
      </w:pPr>
      <w:r>
        <w:rPr>
          <w:rFonts w:hint="eastAsia" w:ascii="宋体" w:hAnsi="宋体"/>
          <w:sz w:val="24"/>
        </w:rPr>
        <w:t>3. 发包人取得的有关审批、核准和备案材料，如规划许可证。</w:t>
      </w:r>
    </w:p>
    <w:p w14:paraId="7EA5D978">
      <w:pPr>
        <w:spacing w:line="360" w:lineRule="auto"/>
        <w:ind w:firstLine="480" w:firstLineChars="200"/>
        <w:rPr>
          <w:rFonts w:ascii="宋体" w:hAnsi="宋体"/>
          <w:sz w:val="24"/>
        </w:rPr>
      </w:pPr>
      <w:r>
        <w:rPr>
          <w:rFonts w:hint="eastAsia" w:ascii="宋体" w:hAnsi="宋体"/>
          <w:sz w:val="24"/>
        </w:rPr>
        <w:t>4．其他资料。</w:t>
      </w:r>
    </w:p>
    <w:p w14:paraId="1EE37F46">
      <w:pPr>
        <w:spacing w:line="360" w:lineRule="auto"/>
        <w:ind w:firstLine="723" w:firstLineChars="300"/>
        <w:rPr>
          <w:rFonts w:ascii="宋体" w:hAnsi="宋体"/>
          <w:b/>
          <w:sz w:val="24"/>
          <w:u w:val="single"/>
        </w:rPr>
      </w:pPr>
      <w:r>
        <w:rPr>
          <w:rFonts w:hint="eastAsia" w:ascii="宋体" w:hAnsi="宋体"/>
          <w:b/>
          <w:sz w:val="24"/>
          <w:u w:val="single"/>
        </w:rPr>
        <w:t xml:space="preserve">请将发包人提供的资料完整粘贴于此处，如无需提供请删除此备注 </w:t>
      </w:r>
    </w:p>
    <w:p w14:paraId="5E54253C">
      <w:pPr>
        <w:spacing w:line="400" w:lineRule="exact"/>
      </w:pPr>
      <w:r>
        <w:br w:type="page"/>
      </w:r>
    </w:p>
    <w:p w14:paraId="231111D2">
      <w:pPr>
        <w:spacing w:line="400" w:lineRule="exact"/>
      </w:pPr>
    </w:p>
    <w:p w14:paraId="493AA59E">
      <w:pPr>
        <w:spacing w:line="400" w:lineRule="exact"/>
      </w:pPr>
    </w:p>
    <w:p w14:paraId="222B2CF9">
      <w:pPr>
        <w:spacing w:line="400" w:lineRule="exact"/>
      </w:pPr>
    </w:p>
    <w:p w14:paraId="0F41573A">
      <w:pPr>
        <w:spacing w:line="400" w:lineRule="exact"/>
      </w:pPr>
    </w:p>
    <w:p w14:paraId="072A0EE8">
      <w:pPr>
        <w:pStyle w:val="3"/>
        <w:jc w:val="center"/>
      </w:pPr>
      <w:bookmarkStart w:id="459" w:name="_Toc300835207"/>
      <w:bookmarkStart w:id="460" w:name="_Toc247527825"/>
      <w:bookmarkStart w:id="461" w:name="_Toc247514244"/>
      <w:bookmarkStart w:id="462" w:name="_Toc144974855"/>
      <w:bookmarkStart w:id="463" w:name="_Toc152045786"/>
      <w:bookmarkStart w:id="464" w:name="_Toc152042575"/>
      <w:r>
        <w:rPr>
          <w:rFonts w:hint="eastAsia"/>
        </w:rPr>
        <w:t>第三卷</w:t>
      </w:r>
      <w:bookmarkEnd w:id="459"/>
      <w:bookmarkEnd w:id="460"/>
      <w:bookmarkEnd w:id="461"/>
    </w:p>
    <w:p w14:paraId="56551A3F">
      <w:pPr>
        <w:spacing w:line="400" w:lineRule="exact"/>
      </w:pPr>
      <w:r>
        <w:rPr>
          <w:rFonts w:ascii="黑体" w:hAnsi="黑体" w:eastAsia="黑体"/>
          <w:b/>
          <w:bCs/>
          <w:sz w:val="32"/>
        </w:rPr>
        <w:br w:type="page"/>
      </w:r>
    </w:p>
    <w:p w14:paraId="6B45D7E7">
      <w:pPr>
        <w:pStyle w:val="3"/>
        <w:jc w:val="center"/>
        <w:rPr>
          <w:rFonts w:ascii="宋体" w:hAnsi="宋体" w:cs="宋体"/>
          <w:bCs w:val="0"/>
          <w:sz w:val="32"/>
          <w:szCs w:val="32"/>
        </w:rPr>
      </w:pPr>
      <w:bookmarkStart w:id="465" w:name="_Toc247527826"/>
      <w:bookmarkStart w:id="466" w:name="_Toc247514245"/>
      <w:bookmarkStart w:id="467" w:name="_Toc300835208"/>
      <w:r>
        <w:rPr>
          <w:rFonts w:hint="eastAsia" w:ascii="宋体" w:hAnsi="宋体" w:cs="宋体"/>
          <w:bCs w:val="0"/>
          <w:sz w:val="32"/>
          <w:szCs w:val="32"/>
        </w:rPr>
        <w:t>第七章  投标文件格式</w:t>
      </w:r>
      <w:bookmarkEnd w:id="462"/>
      <w:bookmarkEnd w:id="463"/>
      <w:bookmarkEnd w:id="464"/>
      <w:bookmarkEnd w:id="465"/>
      <w:bookmarkEnd w:id="466"/>
      <w:bookmarkEnd w:id="467"/>
    </w:p>
    <w:p w14:paraId="6398061A">
      <w:pPr>
        <w:spacing w:line="400" w:lineRule="exact"/>
      </w:pPr>
    </w:p>
    <w:p w14:paraId="4A112398">
      <w:pPr>
        <w:spacing w:line="400" w:lineRule="exact"/>
        <w:rPr>
          <w:sz w:val="24"/>
        </w:rPr>
      </w:pPr>
      <w:r>
        <w:rPr>
          <w:sz w:val="24"/>
        </w:rPr>
        <w:t xml:space="preserve"> </w:t>
      </w:r>
    </w:p>
    <w:p w14:paraId="029B479E">
      <w:pPr>
        <w:spacing w:line="400" w:lineRule="exact"/>
        <w:rPr>
          <w:sz w:val="24"/>
        </w:rPr>
      </w:pPr>
    </w:p>
    <w:p w14:paraId="6A1B676E">
      <w:pPr>
        <w:spacing w:line="400" w:lineRule="exact"/>
        <w:rPr>
          <w:sz w:val="24"/>
        </w:rPr>
      </w:pPr>
    </w:p>
    <w:p w14:paraId="08220D67">
      <w:pPr>
        <w:spacing w:line="400" w:lineRule="exact"/>
        <w:rPr>
          <w:sz w:val="24"/>
        </w:rPr>
      </w:pPr>
    </w:p>
    <w:p w14:paraId="2B26C2A4">
      <w:pPr>
        <w:spacing w:line="400" w:lineRule="exact"/>
        <w:rPr>
          <w:sz w:val="24"/>
        </w:rPr>
      </w:pPr>
    </w:p>
    <w:p w14:paraId="66E5E4C1">
      <w:pPr>
        <w:spacing w:line="400" w:lineRule="exact"/>
        <w:rPr>
          <w:sz w:val="24"/>
        </w:rPr>
      </w:pPr>
    </w:p>
    <w:p w14:paraId="57253C1A">
      <w:pPr>
        <w:spacing w:line="400" w:lineRule="exact"/>
        <w:rPr>
          <w:sz w:val="24"/>
        </w:rPr>
      </w:pPr>
    </w:p>
    <w:p w14:paraId="65FA9016">
      <w:pPr>
        <w:spacing w:line="400" w:lineRule="exact"/>
        <w:rPr>
          <w:sz w:val="24"/>
        </w:rPr>
      </w:pPr>
    </w:p>
    <w:p w14:paraId="5B01FE5C">
      <w:pPr>
        <w:spacing w:line="400" w:lineRule="exact"/>
        <w:rPr>
          <w:sz w:val="24"/>
        </w:rPr>
      </w:pPr>
    </w:p>
    <w:p w14:paraId="31BA0521">
      <w:pPr>
        <w:spacing w:line="400" w:lineRule="exact"/>
        <w:rPr>
          <w:sz w:val="24"/>
        </w:rPr>
      </w:pPr>
    </w:p>
    <w:p w14:paraId="52C0B88C">
      <w:pPr>
        <w:spacing w:line="400" w:lineRule="exact"/>
        <w:rPr>
          <w:sz w:val="24"/>
        </w:rPr>
      </w:pPr>
    </w:p>
    <w:p w14:paraId="1A54327B">
      <w:pPr>
        <w:spacing w:line="400" w:lineRule="exact"/>
        <w:rPr>
          <w:sz w:val="24"/>
        </w:rPr>
      </w:pPr>
    </w:p>
    <w:p w14:paraId="6BEF33D5">
      <w:pPr>
        <w:spacing w:line="400" w:lineRule="exact"/>
        <w:rPr>
          <w:sz w:val="24"/>
        </w:rPr>
      </w:pPr>
    </w:p>
    <w:p w14:paraId="5FE864AD">
      <w:pPr>
        <w:spacing w:line="400" w:lineRule="exact"/>
        <w:rPr>
          <w:sz w:val="24"/>
        </w:rPr>
      </w:pPr>
    </w:p>
    <w:p w14:paraId="46D2FD25">
      <w:pPr>
        <w:spacing w:line="400" w:lineRule="exact"/>
        <w:rPr>
          <w:sz w:val="24"/>
        </w:rPr>
      </w:pPr>
    </w:p>
    <w:p w14:paraId="06471278">
      <w:pPr>
        <w:spacing w:line="400" w:lineRule="exact"/>
        <w:rPr>
          <w:sz w:val="24"/>
        </w:rPr>
      </w:pPr>
    </w:p>
    <w:p w14:paraId="38D515A1">
      <w:pPr>
        <w:spacing w:line="400" w:lineRule="exact"/>
        <w:rPr>
          <w:sz w:val="24"/>
        </w:rPr>
      </w:pPr>
    </w:p>
    <w:p w14:paraId="5A998425">
      <w:pPr>
        <w:spacing w:line="400" w:lineRule="exact"/>
        <w:rPr>
          <w:sz w:val="24"/>
        </w:rPr>
      </w:pPr>
    </w:p>
    <w:p w14:paraId="73FC5A95">
      <w:pPr>
        <w:spacing w:line="400" w:lineRule="exact"/>
        <w:rPr>
          <w:sz w:val="24"/>
        </w:rPr>
      </w:pPr>
    </w:p>
    <w:p w14:paraId="513524AE">
      <w:pPr>
        <w:spacing w:line="400" w:lineRule="exact"/>
        <w:rPr>
          <w:sz w:val="24"/>
        </w:rPr>
      </w:pPr>
    </w:p>
    <w:p w14:paraId="4A74D790">
      <w:pPr>
        <w:spacing w:line="400" w:lineRule="exact"/>
        <w:rPr>
          <w:sz w:val="24"/>
        </w:rPr>
      </w:pPr>
    </w:p>
    <w:p w14:paraId="7F6F58E5">
      <w:pPr>
        <w:spacing w:line="400" w:lineRule="exact"/>
        <w:rPr>
          <w:rFonts w:eastAsia="黑体"/>
          <w:sz w:val="20"/>
          <w:szCs w:val="20"/>
        </w:rPr>
      </w:pPr>
      <w:r>
        <w:rPr>
          <w:rFonts w:hint="eastAsia" w:ascii="宋体" w:hAnsi="宋体"/>
          <w:sz w:val="24"/>
        </w:rPr>
        <w:t>注：“_______（盖单位章）”的，下划线上填写单位全称（法定名称），在单位全称上加盖单位章，单位全称应与单位章一致，联合体投标的，投标人名称应填写联合体牵头人名称。</w:t>
      </w:r>
      <w:r>
        <w:br w:type="page"/>
      </w:r>
    </w:p>
    <w:p w14:paraId="518DBAB8">
      <w:pPr>
        <w:jc w:val="center"/>
        <w:rPr>
          <w:rFonts w:eastAsia="黑体"/>
          <w:sz w:val="28"/>
          <w:szCs w:val="28"/>
        </w:rPr>
      </w:pPr>
      <w:r>
        <w:rPr>
          <w:rFonts w:hint="eastAsia" w:eastAsia="黑体"/>
          <w:sz w:val="28"/>
          <w:szCs w:val="28"/>
          <w:u w:val="single"/>
        </w:rPr>
        <w:t xml:space="preserve">        </w:t>
      </w:r>
      <w:r>
        <w:rPr>
          <w:rFonts w:eastAsia="黑体"/>
          <w:sz w:val="28"/>
          <w:szCs w:val="28"/>
        </w:rPr>
        <w:t>（项目名称）</w:t>
      </w:r>
      <w:r>
        <w:rPr>
          <w:rFonts w:hint="eastAsia" w:eastAsia="黑体"/>
          <w:sz w:val="28"/>
          <w:szCs w:val="28"/>
        </w:rPr>
        <w:t>设计施工总承包</w:t>
      </w:r>
      <w:r>
        <w:rPr>
          <w:rFonts w:hint="eastAsia" w:ascii="宋体" w:hAnsi="宋体"/>
          <w:b/>
          <w:sz w:val="28"/>
          <w:szCs w:val="28"/>
          <w:u w:val="single"/>
        </w:rPr>
        <w:t xml:space="preserve">    </w:t>
      </w:r>
      <w:r>
        <w:rPr>
          <w:rFonts w:hint="eastAsia" w:ascii="宋体" w:hAnsi="宋体"/>
          <w:b/>
          <w:sz w:val="28"/>
          <w:szCs w:val="28"/>
        </w:rPr>
        <w:t xml:space="preserve"> </w:t>
      </w:r>
      <w:r>
        <w:rPr>
          <w:rFonts w:hint="eastAsia" w:eastAsia="黑体"/>
          <w:sz w:val="28"/>
          <w:szCs w:val="28"/>
        </w:rPr>
        <w:t>标段</w:t>
      </w:r>
      <w:r>
        <w:rPr>
          <w:rFonts w:eastAsia="黑体"/>
          <w:sz w:val="28"/>
          <w:szCs w:val="28"/>
        </w:rPr>
        <w:t>招标</w:t>
      </w:r>
    </w:p>
    <w:p w14:paraId="20196806">
      <w:pPr>
        <w:rPr>
          <w:rFonts w:eastAsia="黑体"/>
          <w:sz w:val="20"/>
          <w:szCs w:val="20"/>
        </w:rPr>
      </w:pPr>
    </w:p>
    <w:p w14:paraId="0D901ADF">
      <w:pPr>
        <w:rPr>
          <w:rFonts w:eastAsia="黑体"/>
          <w:sz w:val="20"/>
          <w:szCs w:val="20"/>
        </w:rPr>
      </w:pPr>
    </w:p>
    <w:p w14:paraId="2F9F54D1">
      <w:pPr>
        <w:rPr>
          <w:rFonts w:eastAsia="黑体"/>
          <w:sz w:val="20"/>
          <w:szCs w:val="20"/>
        </w:rPr>
      </w:pPr>
    </w:p>
    <w:p w14:paraId="0F182740">
      <w:pPr>
        <w:rPr>
          <w:rFonts w:eastAsia="黑体"/>
          <w:sz w:val="20"/>
          <w:szCs w:val="20"/>
        </w:rPr>
      </w:pPr>
    </w:p>
    <w:p w14:paraId="2B819B48">
      <w:pPr>
        <w:rPr>
          <w:rFonts w:eastAsia="黑体"/>
          <w:sz w:val="20"/>
          <w:szCs w:val="20"/>
        </w:rPr>
      </w:pPr>
    </w:p>
    <w:p w14:paraId="3D0C0AE7">
      <w:pPr>
        <w:rPr>
          <w:rFonts w:eastAsia="黑体"/>
          <w:sz w:val="20"/>
          <w:szCs w:val="20"/>
        </w:rPr>
      </w:pPr>
    </w:p>
    <w:p w14:paraId="1FBA5346">
      <w:pPr>
        <w:jc w:val="center"/>
        <w:rPr>
          <w:rFonts w:eastAsia="黑体"/>
          <w:sz w:val="44"/>
          <w:szCs w:val="44"/>
        </w:rPr>
      </w:pPr>
    </w:p>
    <w:p w14:paraId="61824907">
      <w:pPr>
        <w:jc w:val="center"/>
        <w:rPr>
          <w:rFonts w:eastAsia="黑体"/>
          <w:sz w:val="44"/>
          <w:szCs w:val="44"/>
        </w:rPr>
      </w:pPr>
    </w:p>
    <w:p w14:paraId="7D2A797A">
      <w:pPr>
        <w:jc w:val="center"/>
        <w:rPr>
          <w:rFonts w:eastAsia="黑体"/>
          <w:sz w:val="44"/>
          <w:szCs w:val="44"/>
        </w:rPr>
      </w:pPr>
      <w:r>
        <w:rPr>
          <w:rFonts w:eastAsia="黑体"/>
          <w:sz w:val="44"/>
          <w:szCs w:val="44"/>
        </w:rPr>
        <w:t>投  标  文  件</w:t>
      </w:r>
    </w:p>
    <w:p w14:paraId="24A1CD90">
      <w:pPr>
        <w:rPr>
          <w:rFonts w:eastAsia="黑体"/>
          <w:sz w:val="28"/>
          <w:szCs w:val="28"/>
        </w:rPr>
      </w:pPr>
    </w:p>
    <w:p w14:paraId="4CCE77E5">
      <w:pPr>
        <w:rPr>
          <w:rFonts w:eastAsia="黑体"/>
          <w:sz w:val="28"/>
          <w:szCs w:val="28"/>
        </w:rPr>
      </w:pPr>
    </w:p>
    <w:p w14:paraId="516FEC1E">
      <w:pPr>
        <w:rPr>
          <w:rFonts w:eastAsia="黑体"/>
          <w:sz w:val="28"/>
          <w:szCs w:val="28"/>
        </w:rPr>
      </w:pPr>
    </w:p>
    <w:p w14:paraId="0E739712">
      <w:pPr>
        <w:rPr>
          <w:rFonts w:eastAsia="黑体"/>
          <w:sz w:val="28"/>
          <w:szCs w:val="28"/>
        </w:rPr>
      </w:pPr>
    </w:p>
    <w:p w14:paraId="5C5F0E93">
      <w:pPr>
        <w:rPr>
          <w:rFonts w:eastAsia="黑体"/>
          <w:sz w:val="28"/>
          <w:szCs w:val="28"/>
        </w:rPr>
      </w:pPr>
    </w:p>
    <w:p w14:paraId="7EA4B6FC">
      <w:pPr>
        <w:rPr>
          <w:rFonts w:eastAsia="黑体"/>
          <w:sz w:val="28"/>
          <w:szCs w:val="28"/>
        </w:rPr>
      </w:pPr>
    </w:p>
    <w:p w14:paraId="4A633798">
      <w:pPr>
        <w:rPr>
          <w:rFonts w:eastAsia="黑体"/>
          <w:sz w:val="28"/>
          <w:szCs w:val="28"/>
        </w:rPr>
      </w:pPr>
    </w:p>
    <w:p w14:paraId="0C27BB83">
      <w:pPr>
        <w:rPr>
          <w:rFonts w:eastAsia="黑体"/>
          <w:sz w:val="28"/>
          <w:szCs w:val="28"/>
        </w:rPr>
      </w:pPr>
    </w:p>
    <w:p w14:paraId="5FAFBBFF">
      <w:pPr>
        <w:rPr>
          <w:rFonts w:eastAsia="黑体"/>
          <w:sz w:val="28"/>
          <w:szCs w:val="28"/>
        </w:rPr>
      </w:pPr>
    </w:p>
    <w:p w14:paraId="1A02F576">
      <w:pPr>
        <w:rPr>
          <w:rFonts w:eastAsia="黑体"/>
          <w:sz w:val="28"/>
          <w:szCs w:val="28"/>
        </w:rPr>
      </w:pPr>
    </w:p>
    <w:p w14:paraId="6AF458A1">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（盖单位章）</w:t>
      </w:r>
    </w:p>
    <w:p w14:paraId="3DE58D7A">
      <w:pPr>
        <w:jc w:val="center"/>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（签字）</w:t>
      </w:r>
    </w:p>
    <w:p w14:paraId="66574DCC">
      <w:pPr>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14:paraId="59CDA6A4">
      <w:pPr>
        <w:spacing w:line="440" w:lineRule="exact"/>
        <w:rPr>
          <w:rFonts w:eastAsia="黑体"/>
          <w:sz w:val="20"/>
          <w:szCs w:val="20"/>
        </w:rPr>
      </w:pPr>
    </w:p>
    <w:p w14:paraId="5856A208">
      <w:pPr>
        <w:spacing w:line="400" w:lineRule="exact"/>
      </w:pPr>
      <w:r>
        <w:br w:type="page"/>
      </w:r>
    </w:p>
    <w:p w14:paraId="1310FA4C">
      <w:pPr>
        <w:pStyle w:val="4"/>
        <w:jc w:val="center"/>
      </w:pPr>
      <w:bookmarkStart w:id="468" w:name="_Toc144974856"/>
      <w:bookmarkStart w:id="469" w:name="_Toc247514246"/>
      <w:bookmarkStart w:id="470" w:name="_Toc300835209"/>
      <w:bookmarkStart w:id="471" w:name="_Toc152042576"/>
      <w:bookmarkStart w:id="472" w:name="_Toc247527827"/>
      <w:bookmarkStart w:id="473" w:name="_Toc152045787"/>
      <w:r>
        <w:rPr>
          <w:rFonts w:hint="eastAsia"/>
        </w:rPr>
        <w:t>目    录</w:t>
      </w:r>
      <w:bookmarkEnd w:id="468"/>
      <w:bookmarkEnd w:id="469"/>
      <w:bookmarkEnd w:id="470"/>
      <w:bookmarkEnd w:id="471"/>
      <w:bookmarkEnd w:id="472"/>
      <w:bookmarkEnd w:id="473"/>
    </w:p>
    <w:p w14:paraId="470EC51C">
      <w:pPr>
        <w:spacing w:line="540" w:lineRule="exact"/>
      </w:pPr>
    </w:p>
    <w:p w14:paraId="2CD35D85">
      <w:pPr>
        <w:spacing w:line="540" w:lineRule="exact"/>
      </w:pPr>
      <w:r>
        <w:rPr>
          <w:rFonts w:hint="eastAsia"/>
        </w:rPr>
        <w:t>一、投标函及投标函附录</w:t>
      </w:r>
    </w:p>
    <w:p w14:paraId="06C7B60C">
      <w:pPr>
        <w:spacing w:line="540" w:lineRule="exact"/>
      </w:pPr>
      <w:r>
        <w:rPr>
          <w:rFonts w:hint="eastAsia"/>
        </w:rPr>
        <w:t>二、法定代表人身份证明或授权委托书</w:t>
      </w:r>
    </w:p>
    <w:p w14:paraId="1C2A2EC8">
      <w:pPr>
        <w:spacing w:line="540" w:lineRule="exact"/>
      </w:pPr>
      <w:r>
        <w:rPr>
          <w:rFonts w:hint="eastAsia"/>
        </w:rPr>
        <w:t>三、联合体协议书</w:t>
      </w:r>
    </w:p>
    <w:p w14:paraId="58D4E18B">
      <w:pPr>
        <w:spacing w:line="540" w:lineRule="exact"/>
      </w:pPr>
      <w:r>
        <w:rPr>
          <w:rFonts w:hint="eastAsia"/>
        </w:rPr>
        <w:t xml:space="preserve">四、投标保证金 </w:t>
      </w:r>
    </w:p>
    <w:p w14:paraId="0811FED5">
      <w:pPr>
        <w:spacing w:line="540" w:lineRule="exact"/>
      </w:pPr>
      <w:r>
        <w:rPr>
          <w:rFonts w:hint="eastAsia"/>
        </w:rPr>
        <w:t>五、价格清单</w:t>
      </w:r>
    </w:p>
    <w:p w14:paraId="28B25373">
      <w:pPr>
        <w:spacing w:line="540" w:lineRule="exact"/>
      </w:pPr>
      <w:r>
        <w:rPr>
          <w:rFonts w:hint="eastAsia"/>
        </w:rPr>
        <w:t>六、承包人建议书</w:t>
      </w:r>
    </w:p>
    <w:p w14:paraId="231578B1">
      <w:pPr>
        <w:spacing w:line="540" w:lineRule="exact"/>
      </w:pPr>
      <w:r>
        <w:rPr>
          <w:rFonts w:hint="eastAsia"/>
        </w:rPr>
        <w:t>七、承包人实施方案</w:t>
      </w:r>
    </w:p>
    <w:p w14:paraId="0857079D">
      <w:pPr>
        <w:spacing w:line="540" w:lineRule="exact"/>
      </w:pPr>
      <w:r>
        <w:rPr>
          <w:rFonts w:hint="eastAsia"/>
        </w:rPr>
        <w:t>八、资格审查资料</w:t>
      </w:r>
    </w:p>
    <w:p w14:paraId="75DEF7C9">
      <w:pPr>
        <w:spacing w:line="540" w:lineRule="exact"/>
      </w:pPr>
      <w:r>
        <w:rPr>
          <w:rFonts w:hint="eastAsia"/>
        </w:rPr>
        <w:t>九、其他资料</w:t>
      </w:r>
    </w:p>
    <w:p w14:paraId="2B889049">
      <w:pPr>
        <w:spacing w:line="540" w:lineRule="exact"/>
      </w:pPr>
      <w:r>
        <w:t xml:space="preserve"> </w:t>
      </w:r>
    </w:p>
    <w:p w14:paraId="19E1056B">
      <w:pPr>
        <w:spacing w:line="540" w:lineRule="exact"/>
        <w:rPr>
          <w:rFonts w:ascii="宋体" w:hAnsi="宋体"/>
          <w:sz w:val="24"/>
        </w:rPr>
      </w:pPr>
      <w:r>
        <w:rPr>
          <w:rFonts w:hint="eastAsia" w:ascii="宋体" w:hAnsi="宋体"/>
          <w:sz w:val="24"/>
        </w:rPr>
        <w:t>注：投标文件不需要编制页码。</w:t>
      </w:r>
    </w:p>
    <w:p w14:paraId="78F382E6">
      <w:pPr>
        <w:spacing w:line="540" w:lineRule="exact"/>
        <w:rPr>
          <w:rFonts w:eastAsia="黑体"/>
          <w:sz w:val="20"/>
          <w:szCs w:val="20"/>
        </w:rPr>
      </w:pPr>
    </w:p>
    <w:p w14:paraId="663A3050">
      <w:pPr>
        <w:spacing w:line="540" w:lineRule="exact"/>
        <w:rPr>
          <w:rFonts w:eastAsia="黑体"/>
          <w:sz w:val="20"/>
          <w:szCs w:val="20"/>
        </w:rPr>
      </w:pPr>
    </w:p>
    <w:p w14:paraId="6A68558C">
      <w:pPr>
        <w:spacing w:line="540" w:lineRule="exact"/>
        <w:rPr>
          <w:rFonts w:eastAsia="黑体"/>
          <w:sz w:val="20"/>
          <w:szCs w:val="20"/>
        </w:rPr>
      </w:pPr>
    </w:p>
    <w:p w14:paraId="2F3A3A47">
      <w:pPr>
        <w:spacing w:line="540" w:lineRule="exact"/>
        <w:rPr>
          <w:rFonts w:eastAsia="黑体"/>
          <w:sz w:val="20"/>
          <w:szCs w:val="20"/>
        </w:rPr>
      </w:pPr>
    </w:p>
    <w:p w14:paraId="758BE331">
      <w:pPr>
        <w:pStyle w:val="2"/>
        <w:rPr>
          <w:rFonts w:eastAsia="黑体"/>
          <w:sz w:val="20"/>
          <w:szCs w:val="20"/>
        </w:rPr>
      </w:pPr>
    </w:p>
    <w:p w14:paraId="299E3057"/>
    <w:p w14:paraId="74366D87">
      <w:pPr>
        <w:spacing w:line="540" w:lineRule="exact"/>
        <w:rPr>
          <w:rFonts w:eastAsia="黑体"/>
          <w:sz w:val="20"/>
          <w:szCs w:val="20"/>
        </w:rPr>
      </w:pPr>
    </w:p>
    <w:p w14:paraId="4987A6E4">
      <w:pPr>
        <w:spacing w:line="540" w:lineRule="exact"/>
        <w:rPr>
          <w:rFonts w:eastAsia="黑体"/>
          <w:sz w:val="20"/>
          <w:szCs w:val="20"/>
        </w:rPr>
      </w:pPr>
    </w:p>
    <w:p w14:paraId="2E453D31">
      <w:pPr>
        <w:spacing w:line="540" w:lineRule="exact"/>
        <w:rPr>
          <w:rFonts w:eastAsia="黑体"/>
          <w:sz w:val="20"/>
          <w:szCs w:val="20"/>
        </w:rPr>
      </w:pPr>
    </w:p>
    <w:p w14:paraId="07AF7942">
      <w:pPr>
        <w:pStyle w:val="4"/>
        <w:spacing w:line="360" w:lineRule="auto"/>
        <w:jc w:val="center"/>
        <w:rPr>
          <w:sz w:val="20"/>
          <w:szCs w:val="20"/>
        </w:rPr>
      </w:pPr>
      <w:bookmarkStart w:id="474" w:name="_Toc247514247"/>
      <w:bookmarkStart w:id="475" w:name="_Toc152042577"/>
      <w:bookmarkStart w:id="476" w:name="_Toc247527828"/>
      <w:bookmarkStart w:id="477" w:name="_Toc152045788"/>
      <w:bookmarkStart w:id="478" w:name="_Toc144974857"/>
      <w:bookmarkStart w:id="479" w:name="_Toc300835210"/>
      <w:r>
        <w:rPr>
          <w:rFonts w:hint="eastAsia" w:ascii="宋体" w:hAnsi="宋体" w:eastAsia="宋体"/>
          <w:bCs w:val="0"/>
          <w:kern w:val="44"/>
          <w:sz w:val="28"/>
          <w:szCs w:val="28"/>
        </w:rPr>
        <w:t>一、投标函及投标函附录</w:t>
      </w:r>
      <w:bookmarkEnd w:id="474"/>
      <w:bookmarkEnd w:id="475"/>
      <w:bookmarkEnd w:id="476"/>
      <w:bookmarkEnd w:id="477"/>
      <w:bookmarkEnd w:id="478"/>
      <w:bookmarkEnd w:id="479"/>
    </w:p>
    <w:p w14:paraId="48E88570">
      <w:pPr>
        <w:pStyle w:val="2"/>
        <w:spacing w:line="360" w:lineRule="auto"/>
        <w:ind w:firstLine="3245" w:firstLineChars="1347"/>
        <w:rPr>
          <w:sz w:val="20"/>
          <w:szCs w:val="20"/>
        </w:rPr>
      </w:pPr>
      <w:bookmarkStart w:id="480" w:name="_Toc152045789"/>
      <w:bookmarkStart w:id="481" w:name="_Toc247527829"/>
      <w:bookmarkStart w:id="482" w:name="_Toc300835211"/>
      <w:bookmarkStart w:id="483" w:name="_Toc152042578"/>
      <w:bookmarkStart w:id="484" w:name="_Toc247514248"/>
      <w:bookmarkStart w:id="485" w:name="_Toc144974858"/>
      <w:r>
        <w:rPr>
          <w:rFonts w:ascii="宋体" w:eastAsia="宋体"/>
          <w:b/>
          <w:kern w:val="0"/>
          <w:sz w:val="24"/>
          <w:szCs w:val="24"/>
        </w:rPr>
        <w:t>（一）投标函</w:t>
      </w:r>
      <w:bookmarkEnd w:id="480"/>
      <w:bookmarkEnd w:id="481"/>
      <w:bookmarkEnd w:id="482"/>
      <w:bookmarkEnd w:id="483"/>
      <w:bookmarkEnd w:id="484"/>
      <w:bookmarkEnd w:id="485"/>
    </w:p>
    <w:p w14:paraId="079BCB4D">
      <w:pPr>
        <w:spacing w:line="360" w:lineRule="auto"/>
        <w:rPr>
          <w:szCs w:val="21"/>
        </w:rPr>
      </w:pPr>
      <w:r>
        <w:rPr>
          <w:szCs w:val="21"/>
          <w:u w:val="single"/>
        </w:rPr>
        <w:t xml:space="preserve">                        </w:t>
      </w:r>
      <w:r>
        <w:rPr>
          <w:szCs w:val="21"/>
        </w:rPr>
        <w:t>（招标人名称）：</w:t>
      </w:r>
    </w:p>
    <w:p w14:paraId="7D639C2C">
      <w:pPr>
        <w:numPr>
          <w:ilvl w:val="0"/>
          <w:numId w:val="8"/>
        </w:numPr>
        <w:spacing w:line="440" w:lineRule="exact"/>
        <w:rPr>
          <w:rFonts w:hint="eastAsia" w:ascii="宋体" w:hAnsi="宋体" w:cs="宋体"/>
          <w:szCs w:val="21"/>
          <w:lang w:val="en-US" w:eastAsia="zh-CN"/>
        </w:rPr>
      </w:pPr>
      <w:r>
        <w:rPr>
          <w:szCs w:val="21"/>
        </w:rPr>
        <w:t>我方已仔细研究了</w:t>
      </w:r>
      <w:r>
        <w:rPr>
          <w:szCs w:val="21"/>
          <w:u w:val="single"/>
        </w:rPr>
        <w:t xml:space="preserve">       </w:t>
      </w:r>
      <w:r>
        <w:rPr>
          <w:rFonts w:hint="eastAsia"/>
          <w:szCs w:val="21"/>
          <w:u w:val="single"/>
        </w:rPr>
        <w:t xml:space="preserve">     </w:t>
      </w:r>
      <w:r>
        <w:rPr>
          <w:szCs w:val="21"/>
          <w:u w:val="single"/>
        </w:rPr>
        <w:t xml:space="preserve">   </w:t>
      </w:r>
      <w:r>
        <w:rPr>
          <w:szCs w:val="21"/>
        </w:rPr>
        <w:t>（项目名称）</w:t>
      </w:r>
      <w:r>
        <w:rPr>
          <w:rFonts w:hint="eastAsia"/>
          <w:szCs w:val="21"/>
        </w:rPr>
        <w:t>设计施工总承包</w:t>
      </w:r>
      <w:r>
        <w:rPr>
          <w:rFonts w:hint="eastAsia"/>
          <w:szCs w:val="21"/>
          <w:u w:val="single"/>
        </w:rPr>
        <w:t xml:space="preserve">    </w:t>
      </w:r>
      <w:r>
        <w:rPr>
          <w:rFonts w:hint="eastAsia"/>
          <w:szCs w:val="21"/>
        </w:rPr>
        <w:t>标段</w:t>
      </w:r>
      <w:r>
        <w:rPr>
          <w:szCs w:val="21"/>
        </w:rPr>
        <w:t>招标文件的全部内容，愿意</w:t>
      </w:r>
      <w:r>
        <w:rPr>
          <w:rFonts w:hint="eastAsia"/>
          <w:szCs w:val="21"/>
        </w:rPr>
        <w:t>以</w:t>
      </w:r>
      <w:r>
        <w:rPr>
          <w:rFonts w:ascii="Wingdings 2" w:hAnsi="Wingdings 2" w:cs="宋体"/>
          <w:szCs w:val="21"/>
          <w:lang w:val="en-US" w:eastAsia="zh-CN"/>
        </w:rPr>
        <w:sym w:font="Wingdings 2" w:char="F0A3"/>
      </w:r>
      <w:r>
        <w:rPr>
          <w:rFonts w:hint="eastAsia"/>
          <w:szCs w:val="21"/>
          <w:u w:val="single"/>
        </w:rPr>
        <w:t xml:space="preserve">          </w:t>
      </w:r>
      <w:r>
        <w:rPr>
          <w:rFonts w:hint="eastAsia"/>
          <w:szCs w:val="21"/>
        </w:rPr>
        <w:t>的投标报价（适用于总价合同方式）</w:t>
      </w:r>
      <w:r>
        <w:rPr>
          <w:rFonts w:hint="eastAsia" w:ascii="宋体" w:hAnsi="宋体" w:cs="宋体"/>
          <w:szCs w:val="21"/>
          <w:lang w:val="en-US" w:eastAsia="zh-CN"/>
        </w:rPr>
        <w:t xml:space="preserve"> </w:t>
      </w:r>
      <w:r>
        <w:rPr>
          <w:rFonts w:ascii="Wingdings 2" w:hAnsi="Wingdings 2" w:cs="宋体"/>
          <w:szCs w:val="21"/>
          <w:lang w:val="en-US" w:eastAsia="zh-CN"/>
        </w:rPr>
        <w:sym w:font="Wingdings 2" w:char="F0A3"/>
      </w:r>
      <w:r>
        <w:rPr>
          <w:rFonts w:hint="eastAsia"/>
          <w:szCs w:val="21"/>
          <w:u w:val="single"/>
        </w:rPr>
        <w:t xml:space="preserve">          </w:t>
      </w:r>
      <w:r>
        <w:rPr>
          <w:rFonts w:hint="eastAsia" w:ascii="宋体" w:hAnsi="宋体" w:cs="宋体"/>
          <w:szCs w:val="21"/>
          <w:lang w:val="en-US" w:eastAsia="zh-CN"/>
        </w:rPr>
        <w:t>的投标报价【其中总价部分</w:t>
      </w:r>
    </w:p>
    <w:p w14:paraId="7CF38CC5">
      <w:pPr>
        <w:numPr>
          <w:ilvl w:val="0"/>
          <w:numId w:val="0"/>
        </w:numPr>
        <w:spacing w:line="440" w:lineRule="exact"/>
        <w:rPr>
          <w:rFonts w:ascii="宋体" w:hAnsi="宋体" w:cs="宋体"/>
          <w:szCs w:val="21"/>
        </w:rPr>
      </w:pPr>
      <w:r>
        <w:rPr>
          <w:rFonts w:hint="eastAsia"/>
          <w:szCs w:val="21"/>
          <w:u w:val="single"/>
        </w:rPr>
        <w:t xml:space="preserve">          </w:t>
      </w:r>
      <w:r>
        <w:rPr>
          <w:rFonts w:hint="eastAsia" w:ascii="宋体" w:hAnsi="宋体" w:cs="宋体"/>
          <w:szCs w:val="21"/>
          <w:lang w:val="en-US" w:eastAsia="zh-CN"/>
        </w:rPr>
        <w:t>元，单价部分</w:t>
      </w:r>
      <w:r>
        <w:rPr>
          <w:rFonts w:hint="eastAsia"/>
          <w:szCs w:val="21"/>
          <w:u w:val="single"/>
        </w:rPr>
        <w:t xml:space="preserve">          </w:t>
      </w:r>
      <w:r>
        <w:rPr>
          <w:rFonts w:hint="eastAsia" w:ascii="宋体" w:hAnsi="宋体" w:cs="宋体"/>
          <w:szCs w:val="21"/>
          <w:lang w:val="en-US" w:eastAsia="zh-CN"/>
        </w:rPr>
        <w:t>元】（适用于总价与单价组合式合同方式）</w:t>
      </w:r>
      <w:r>
        <w:rPr>
          <w:rFonts w:hint="eastAsia" w:ascii="宋体" w:hAnsi="宋体" w:cs="宋体"/>
          <w:szCs w:val="21"/>
        </w:rPr>
        <w:t>，</w:t>
      </w:r>
      <w:r>
        <w:rPr>
          <w:rFonts w:hint="eastAsia"/>
          <w:szCs w:val="21"/>
        </w:rPr>
        <w:t>工期</w:t>
      </w:r>
      <w:r>
        <w:rPr>
          <w:rFonts w:hint="eastAsia"/>
          <w:szCs w:val="21"/>
          <w:u w:val="single"/>
        </w:rPr>
        <w:t xml:space="preserve">          </w:t>
      </w:r>
      <w:r>
        <w:rPr>
          <w:rFonts w:hint="eastAsia"/>
          <w:szCs w:val="21"/>
        </w:rPr>
        <w:t xml:space="preserve"> ，</w:t>
      </w:r>
      <w:r>
        <w:rPr>
          <w:rFonts w:hint="eastAsia" w:ascii="宋体" w:hAnsi="宋体" w:cs="宋体"/>
          <w:szCs w:val="21"/>
        </w:rPr>
        <w:t>设计质量标准：</w:t>
      </w:r>
      <w:r>
        <w:rPr>
          <w:rFonts w:hint="eastAsia" w:ascii="宋体" w:hAnsi="宋体" w:cs="宋体"/>
          <w:bCs/>
          <w:szCs w:val="21"/>
          <w:u w:val="single"/>
        </w:rPr>
        <w:t xml:space="preserve">           </w:t>
      </w:r>
      <w:r>
        <w:rPr>
          <w:rFonts w:hint="eastAsia" w:ascii="宋体" w:hAnsi="宋体" w:cs="宋体"/>
          <w:bCs/>
          <w:szCs w:val="21"/>
        </w:rPr>
        <w:t>，</w:t>
      </w:r>
      <w:r>
        <w:rPr>
          <w:rFonts w:hint="eastAsia" w:ascii="宋体" w:hAnsi="宋体" w:cs="宋体"/>
          <w:szCs w:val="21"/>
        </w:rPr>
        <w:t>施工质量标准：</w:t>
      </w:r>
      <w:r>
        <w:rPr>
          <w:rFonts w:hint="eastAsia" w:ascii="宋体" w:hAnsi="宋体" w:cs="宋体"/>
          <w:bCs/>
          <w:szCs w:val="21"/>
          <w:u w:val="single"/>
        </w:rPr>
        <w:t xml:space="preserve">           </w:t>
      </w:r>
      <w:r>
        <w:rPr>
          <w:rFonts w:hint="eastAsia" w:ascii="宋体" w:hAnsi="宋体" w:cs="宋体"/>
          <w:bCs/>
          <w:szCs w:val="21"/>
        </w:rPr>
        <w:t>，</w:t>
      </w:r>
      <w:r>
        <w:rPr>
          <w:rFonts w:hint="eastAsia" w:ascii="宋体" w:hAnsi="宋体" w:cs="宋体"/>
          <w:szCs w:val="21"/>
        </w:rPr>
        <w:t>按合同约定进行设计、实施和竣工承包工程，修补工程中的任何缺陷，实现工程目的。</w:t>
      </w:r>
    </w:p>
    <w:p w14:paraId="009F9965">
      <w:pPr>
        <w:spacing w:line="360" w:lineRule="auto"/>
        <w:ind w:firstLine="420" w:firstLineChars="200"/>
        <w:rPr>
          <w:szCs w:val="21"/>
        </w:rPr>
      </w:pPr>
      <w:r>
        <w:rPr>
          <w:szCs w:val="21"/>
        </w:rPr>
        <w:t>2．我方承诺在</w:t>
      </w:r>
      <w:r>
        <w:rPr>
          <w:rFonts w:hint="eastAsia"/>
          <w:szCs w:val="21"/>
        </w:rPr>
        <w:t>招标文件规定的</w:t>
      </w:r>
      <w:r>
        <w:rPr>
          <w:szCs w:val="21"/>
        </w:rPr>
        <w:t>投标有效期内不修改、撤销投标文件</w:t>
      </w:r>
      <w:r>
        <w:rPr>
          <w:rFonts w:hint="eastAsia"/>
          <w:szCs w:val="21"/>
        </w:rPr>
        <w:t>。</w:t>
      </w:r>
    </w:p>
    <w:p w14:paraId="171B575C">
      <w:pPr>
        <w:spacing w:line="360" w:lineRule="auto"/>
        <w:ind w:firstLine="420" w:firstLineChars="200"/>
        <w:rPr>
          <w:szCs w:val="21"/>
        </w:rPr>
      </w:pPr>
      <w:r>
        <w:rPr>
          <w:szCs w:val="21"/>
        </w:rPr>
        <w:t>3．随同本投标函提交投标保证金一份，金额为人民币（大写）</w:t>
      </w:r>
      <w:r>
        <w:rPr>
          <w:szCs w:val="21"/>
          <w:u w:val="single"/>
        </w:rPr>
        <w:t xml:space="preserve">        </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14:paraId="1C7D5238">
      <w:pPr>
        <w:spacing w:line="360" w:lineRule="auto"/>
        <w:ind w:firstLine="420" w:firstLineChars="200"/>
        <w:rPr>
          <w:szCs w:val="21"/>
        </w:rPr>
      </w:pPr>
      <w:r>
        <w:rPr>
          <w:szCs w:val="21"/>
        </w:rPr>
        <w:t>4．如我方中标：</w:t>
      </w:r>
    </w:p>
    <w:p w14:paraId="5C98CD67">
      <w:pPr>
        <w:spacing w:line="360" w:lineRule="auto"/>
        <w:ind w:firstLine="718" w:firstLineChars="342"/>
        <w:rPr>
          <w:szCs w:val="21"/>
        </w:rPr>
      </w:pPr>
      <w:r>
        <w:rPr>
          <w:szCs w:val="21"/>
        </w:rPr>
        <w:t>（1）我方承诺在收到中标通知书后，在中标通知书规定的期限内与你方签订合同。</w:t>
      </w:r>
    </w:p>
    <w:p w14:paraId="0616C617">
      <w:pPr>
        <w:spacing w:line="360" w:lineRule="auto"/>
        <w:ind w:firstLine="718" w:firstLineChars="342"/>
        <w:rPr>
          <w:szCs w:val="21"/>
        </w:rPr>
      </w:pPr>
      <w:r>
        <w:rPr>
          <w:szCs w:val="21"/>
        </w:rPr>
        <w:t>（2）随同本投标函递交的投标函附录属于合同文件的组成部分。</w:t>
      </w:r>
    </w:p>
    <w:p w14:paraId="19FD1B1C">
      <w:pPr>
        <w:spacing w:line="360" w:lineRule="auto"/>
        <w:ind w:firstLine="718" w:firstLineChars="342"/>
        <w:rPr>
          <w:szCs w:val="21"/>
        </w:rPr>
      </w:pPr>
      <w:r>
        <w:rPr>
          <w:szCs w:val="21"/>
        </w:rPr>
        <w:t>（3）我方承诺按照招标文件规定向你方递交履约担保。</w:t>
      </w:r>
    </w:p>
    <w:p w14:paraId="0DC30416">
      <w:pPr>
        <w:spacing w:line="360" w:lineRule="auto"/>
        <w:ind w:firstLine="718" w:firstLineChars="342"/>
        <w:rPr>
          <w:szCs w:val="21"/>
        </w:rPr>
      </w:pPr>
      <w:r>
        <w:rPr>
          <w:szCs w:val="21"/>
        </w:rPr>
        <w:t>（</w:t>
      </w:r>
      <w:r>
        <w:rPr>
          <w:szCs w:val="21"/>
          <w:highlight w:val="cyan"/>
        </w:rPr>
        <w:t>4</w:t>
      </w:r>
      <w:r>
        <w:rPr>
          <w:rFonts w:hint="eastAsia"/>
          <w:szCs w:val="21"/>
          <w:highlight w:val="cyan"/>
        </w:rPr>
        <w:t>）我方承诺在合同约定的期限内不更换项目经理、施工负责人，</w:t>
      </w:r>
      <w:r>
        <w:rPr>
          <w:rFonts w:hint="eastAsia"/>
          <w:szCs w:val="21"/>
        </w:rPr>
        <w:t>因特殊情况确需更换的，应征得你方同意，且更换后的人员不低于原投标承诺人员所具有的资格和条件，否则</w:t>
      </w:r>
      <w:r>
        <w:rPr>
          <w:rFonts w:hint="eastAsia"/>
          <w:szCs w:val="21"/>
          <w:highlight w:val="cyan"/>
        </w:rPr>
        <w:t>愿意承担相应违约责任。</w:t>
      </w:r>
    </w:p>
    <w:p w14:paraId="22F3D144">
      <w:pPr>
        <w:spacing w:line="360" w:lineRule="auto"/>
        <w:ind w:firstLine="718" w:firstLineChars="342"/>
        <w:rPr>
          <w:szCs w:val="21"/>
        </w:rPr>
      </w:pPr>
      <w:r>
        <w:rPr>
          <w:rFonts w:hint="eastAsia"/>
          <w:szCs w:val="21"/>
        </w:rPr>
        <w:t>（5）</w:t>
      </w:r>
      <w:r>
        <w:rPr>
          <w:szCs w:val="21"/>
        </w:rPr>
        <w:t>我方承诺在合同约定的期限内完成并移交全部合同工程。</w:t>
      </w:r>
    </w:p>
    <w:p w14:paraId="1E04FF58">
      <w:pPr>
        <w:spacing w:line="360" w:lineRule="auto"/>
        <w:ind w:firstLine="420" w:firstLineChars="200"/>
        <w:rPr>
          <w:szCs w:val="21"/>
        </w:rPr>
      </w:pPr>
      <w:r>
        <w:rPr>
          <w:szCs w:val="21"/>
        </w:rPr>
        <w:t>5．</w:t>
      </w:r>
      <w:r>
        <w:rPr>
          <w:rFonts w:hint="eastAsia"/>
          <w:szCs w:val="21"/>
        </w:rPr>
        <w:t>我方在此声明，所递交的投标文件（包括有关资料、澄清）真实可信，不存在弄虚作假或隐瞒。</w:t>
      </w:r>
    </w:p>
    <w:p w14:paraId="18BC8DAD">
      <w:pPr>
        <w:spacing w:line="360" w:lineRule="auto"/>
        <w:ind w:firstLine="420" w:firstLineChars="200"/>
        <w:rPr>
          <w:szCs w:val="21"/>
        </w:rPr>
      </w:pPr>
      <w:r>
        <w:rPr>
          <w:rFonts w:hint="eastAsia"/>
          <w:szCs w:val="21"/>
        </w:rPr>
        <w:t>经我方认真核查，本投标人不存在招标文件第二章“投标人须知”第1.4.3项和第1.4.4项规定的任何一种情形（与其他投标人存在控股、管理关系除外）。</w:t>
      </w:r>
    </w:p>
    <w:p w14:paraId="4A8CE813">
      <w:pPr>
        <w:spacing w:line="360" w:lineRule="auto"/>
        <w:ind w:firstLine="420" w:firstLineChars="200"/>
        <w:rPr>
          <w:szCs w:val="21"/>
        </w:rPr>
      </w:pPr>
      <w:r>
        <w:rPr>
          <w:rFonts w:hint="eastAsia"/>
          <w:szCs w:val="21"/>
        </w:rPr>
        <w:t>6．</w:t>
      </w:r>
      <w:r>
        <w:rPr>
          <w:szCs w:val="21"/>
          <w:u w:val="single"/>
        </w:rPr>
        <w:t xml:space="preserve">                                       （</w:t>
      </w:r>
      <w:r>
        <w:rPr>
          <w:rFonts w:hint="eastAsia"/>
          <w:szCs w:val="21"/>
          <w:u w:val="single"/>
        </w:rPr>
        <w:t>其他</w:t>
      </w:r>
      <w:r>
        <w:rPr>
          <w:szCs w:val="21"/>
          <w:u w:val="single"/>
        </w:rPr>
        <w:t>补充说明）</w:t>
      </w:r>
      <w:r>
        <w:rPr>
          <w:szCs w:val="21"/>
        </w:rPr>
        <w:t>。</w:t>
      </w:r>
    </w:p>
    <w:p w14:paraId="0C172B77">
      <w:pPr>
        <w:spacing w:line="360" w:lineRule="auto"/>
        <w:ind w:firstLine="3780" w:firstLineChars="1800"/>
        <w:rPr>
          <w:szCs w:val="21"/>
        </w:rPr>
      </w:pPr>
      <w:r>
        <w:rPr>
          <w:szCs w:val="21"/>
        </w:rPr>
        <w:t>投 标 人：</w:t>
      </w:r>
      <w:r>
        <w:rPr>
          <w:szCs w:val="21"/>
          <w:u w:val="single"/>
        </w:rPr>
        <w:t xml:space="preserve">                      </w:t>
      </w:r>
      <w:r>
        <w:rPr>
          <w:szCs w:val="21"/>
        </w:rPr>
        <w:t>（盖单位章）</w:t>
      </w:r>
    </w:p>
    <w:p w14:paraId="60E926AE">
      <w:pPr>
        <w:spacing w:line="360" w:lineRule="auto"/>
        <w:ind w:firstLine="3675" w:firstLineChars="1750"/>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14:paraId="2C77261B">
      <w:pPr>
        <w:spacing w:line="360" w:lineRule="auto"/>
        <w:ind w:firstLine="3675" w:firstLineChars="1750"/>
        <w:rPr>
          <w:szCs w:val="21"/>
        </w:rPr>
      </w:pPr>
      <w:r>
        <w:rPr>
          <w:szCs w:val="21"/>
        </w:rPr>
        <w:t>地址：</w:t>
      </w:r>
      <w:r>
        <w:rPr>
          <w:szCs w:val="21"/>
          <w:u w:val="single"/>
        </w:rPr>
        <w:t xml:space="preserve">                                     </w:t>
      </w:r>
    </w:p>
    <w:p w14:paraId="52502E34">
      <w:pPr>
        <w:spacing w:line="360" w:lineRule="auto"/>
        <w:ind w:firstLine="3675" w:firstLineChars="1750"/>
        <w:rPr>
          <w:szCs w:val="21"/>
        </w:rPr>
      </w:pPr>
      <w:r>
        <w:rPr>
          <w:szCs w:val="21"/>
        </w:rPr>
        <w:t>网址：</w:t>
      </w:r>
      <w:r>
        <w:rPr>
          <w:szCs w:val="21"/>
          <w:u w:val="single"/>
        </w:rPr>
        <w:t xml:space="preserve">                                     </w:t>
      </w:r>
    </w:p>
    <w:p w14:paraId="447CCF21">
      <w:pPr>
        <w:spacing w:line="360" w:lineRule="auto"/>
        <w:ind w:firstLine="3675" w:firstLineChars="1750"/>
        <w:rPr>
          <w:szCs w:val="21"/>
        </w:rPr>
      </w:pPr>
      <w:r>
        <w:rPr>
          <w:szCs w:val="21"/>
        </w:rPr>
        <w:t>电话：</w:t>
      </w:r>
      <w:r>
        <w:rPr>
          <w:szCs w:val="21"/>
          <w:u w:val="single"/>
        </w:rPr>
        <w:t xml:space="preserve">                                     </w:t>
      </w:r>
    </w:p>
    <w:p w14:paraId="036D2ECD">
      <w:pPr>
        <w:spacing w:line="360" w:lineRule="auto"/>
        <w:ind w:firstLine="3675" w:firstLineChars="1750"/>
        <w:rPr>
          <w:szCs w:val="21"/>
        </w:rPr>
      </w:pPr>
      <w:r>
        <w:rPr>
          <w:szCs w:val="21"/>
        </w:rPr>
        <w:t>传真：</w:t>
      </w:r>
      <w:r>
        <w:rPr>
          <w:szCs w:val="21"/>
          <w:u w:val="single"/>
        </w:rPr>
        <w:t xml:space="preserve">                                     </w:t>
      </w:r>
    </w:p>
    <w:p w14:paraId="272F958F">
      <w:pPr>
        <w:spacing w:line="360" w:lineRule="auto"/>
        <w:ind w:firstLine="3675" w:firstLineChars="1750"/>
        <w:rPr>
          <w:szCs w:val="21"/>
        </w:rPr>
      </w:pPr>
      <w:r>
        <w:rPr>
          <w:szCs w:val="21"/>
        </w:rPr>
        <w:t>邮政编码：</w:t>
      </w:r>
      <w:r>
        <w:rPr>
          <w:szCs w:val="21"/>
          <w:u w:val="single"/>
        </w:rPr>
        <w:t xml:space="preserve">                                 </w:t>
      </w:r>
    </w:p>
    <w:p w14:paraId="52849908">
      <w:pPr>
        <w:spacing w:line="360" w:lineRule="auto"/>
        <w:ind w:firstLine="4725" w:firstLineChars="225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25FD869B">
      <w:pPr>
        <w:pStyle w:val="2"/>
        <w:spacing w:line="360" w:lineRule="auto"/>
        <w:ind w:firstLine="3245" w:firstLineChars="1347"/>
        <w:rPr>
          <w:rFonts w:ascii="宋体" w:eastAsia="宋体"/>
          <w:b/>
          <w:kern w:val="0"/>
          <w:sz w:val="24"/>
          <w:szCs w:val="24"/>
        </w:rPr>
      </w:pPr>
      <w:bookmarkStart w:id="486" w:name="_Toc300835212"/>
      <w:bookmarkStart w:id="487" w:name="_Toc144974859"/>
      <w:bookmarkStart w:id="488" w:name="_Toc247527830"/>
      <w:bookmarkStart w:id="489" w:name="_Toc152042579"/>
      <w:bookmarkStart w:id="490" w:name="_Toc152045790"/>
      <w:bookmarkStart w:id="491" w:name="_Toc247514249"/>
      <w:r>
        <w:rPr>
          <w:rFonts w:ascii="宋体" w:eastAsia="宋体"/>
          <w:b/>
          <w:kern w:val="0"/>
          <w:sz w:val="24"/>
          <w:szCs w:val="24"/>
        </w:rPr>
        <w:t>（二）投标函附录</w:t>
      </w:r>
      <w:bookmarkEnd w:id="486"/>
      <w:bookmarkEnd w:id="487"/>
      <w:bookmarkEnd w:id="488"/>
      <w:bookmarkEnd w:id="489"/>
      <w:bookmarkEnd w:id="490"/>
      <w:bookmarkEnd w:id="491"/>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2623"/>
        <w:gridCol w:w="3069"/>
        <w:gridCol w:w="903"/>
      </w:tblGrid>
      <w:tr w14:paraId="6822E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309E9714">
            <w:pPr>
              <w:spacing w:line="360" w:lineRule="auto"/>
              <w:jc w:val="center"/>
              <w:rPr>
                <w:rFonts w:ascii="宋体" w:hAnsi="宋体"/>
                <w:szCs w:val="21"/>
              </w:rPr>
            </w:pPr>
            <w:r>
              <w:rPr>
                <w:rFonts w:ascii="宋体" w:hAnsi="宋体"/>
                <w:szCs w:val="21"/>
              </w:rPr>
              <w:t>序号</w:t>
            </w:r>
          </w:p>
        </w:tc>
        <w:tc>
          <w:tcPr>
            <w:tcW w:w="2623" w:type="dxa"/>
            <w:vAlign w:val="center"/>
          </w:tcPr>
          <w:p w14:paraId="57012E83">
            <w:pPr>
              <w:spacing w:line="360" w:lineRule="auto"/>
              <w:jc w:val="center"/>
              <w:rPr>
                <w:rFonts w:ascii="宋体" w:hAnsi="宋体"/>
                <w:szCs w:val="21"/>
              </w:rPr>
            </w:pPr>
            <w:r>
              <w:rPr>
                <w:rFonts w:hint="eastAsia" w:ascii="宋体" w:hAnsi="宋体"/>
                <w:szCs w:val="21"/>
              </w:rPr>
              <w:t>条款名称</w:t>
            </w:r>
          </w:p>
        </w:tc>
        <w:tc>
          <w:tcPr>
            <w:tcW w:w="3069" w:type="dxa"/>
            <w:vAlign w:val="center"/>
          </w:tcPr>
          <w:p w14:paraId="08648A61">
            <w:pPr>
              <w:spacing w:line="360" w:lineRule="auto"/>
              <w:jc w:val="center"/>
              <w:rPr>
                <w:rFonts w:ascii="宋体" w:hAnsi="宋体"/>
                <w:szCs w:val="21"/>
              </w:rPr>
            </w:pPr>
            <w:r>
              <w:rPr>
                <w:rFonts w:hint="eastAsia" w:ascii="宋体" w:hAnsi="宋体"/>
                <w:szCs w:val="21"/>
              </w:rPr>
              <w:t>约定</w:t>
            </w:r>
            <w:r>
              <w:rPr>
                <w:rFonts w:ascii="宋体" w:hAnsi="宋体"/>
                <w:szCs w:val="21"/>
              </w:rPr>
              <w:t>内容</w:t>
            </w:r>
          </w:p>
        </w:tc>
        <w:tc>
          <w:tcPr>
            <w:tcW w:w="903" w:type="dxa"/>
            <w:vAlign w:val="center"/>
          </w:tcPr>
          <w:p w14:paraId="4EB54796">
            <w:pPr>
              <w:spacing w:line="360" w:lineRule="auto"/>
              <w:jc w:val="center"/>
              <w:rPr>
                <w:rFonts w:ascii="宋体" w:hAnsi="宋体"/>
                <w:szCs w:val="21"/>
              </w:rPr>
            </w:pPr>
            <w:r>
              <w:rPr>
                <w:rFonts w:ascii="宋体" w:hAnsi="宋体"/>
                <w:szCs w:val="21"/>
              </w:rPr>
              <w:t>备注</w:t>
            </w:r>
          </w:p>
        </w:tc>
      </w:tr>
      <w:tr w14:paraId="08172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496F9279">
            <w:pPr>
              <w:spacing w:line="360" w:lineRule="auto"/>
              <w:jc w:val="center"/>
              <w:rPr>
                <w:rFonts w:ascii="宋体" w:hAnsi="宋体"/>
                <w:szCs w:val="21"/>
              </w:rPr>
            </w:pPr>
            <w:r>
              <w:rPr>
                <w:rFonts w:ascii="宋体" w:hAnsi="宋体"/>
                <w:szCs w:val="21"/>
              </w:rPr>
              <w:t>1</w:t>
            </w:r>
          </w:p>
        </w:tc>
        <w:tc>
          <w:tcPr>
            <w:tcW w:w="2623" w:type="dxa"/>
            <w:vAlign w:val="center"/>
          </w:tcPr>
          <w:p w14:paraId="2A4D46A0">
            <w:pPr>
              <w:spacing w:line="360" w:lineRule="auto"/>
              <w:ind w:firstLine="630" w:firstLineChars="300"/>
              <w:rPr>
                <w:rFonts w:ascii="宋体" w:hAnsi="宋体"/>
                <w:szCs w:val="21"/>
              </w:rPr>
            </w:pPr>
            <w:r>
              <w:rPr>
                <w:rFonts w:ascii="宋体" w:hAnsi="宋体"/>
                <w:szCs w:val="21"/>
              </w:rPr>
              <w:t>项目经理</w:t>
            </w:r>
          </w:p>
        </w:tc>
        <w:tc>
          <w:tcPr>
            <w:tcW w:w="3069" w:type="dxa"/>
            <w:vAlign w:val="center"/>
          </w:tcPr>
          <w:p w14:paraId="5615F877">
            <w:pPr>
              <w:spacing w:line="360" w:lineRule="auto"/>
              <w:rPr>
                <w:szCs w:val="21"/>
              </w:rPr>
            </w:pPr>
            <w:r>
              <w:rPr>
                <w:szCs w:val="21"/>
              </w:rPr>
              <w:t xml:space="preserve">姓名：           </w:t>
            </w:r>
          </w:p>
        </w:tc>
        <w:tc>
          <w:tcPr>
            <w:tcW w:w="903" w:type="dxa"/>
            <w:vAlign w:val="center"/>
          </w:tcPr>
          <w:p w14:paraId="5439A898">
            <w:pPr>
              <w:spacing w:line="360" w:lineRule="auto"/>
              <w:rPr>
                <w:szCs w:val="21"/>
              </w:rPr>
            </w:pPr>
          </w:p>
        </w:tc>
      </w:tr>
      <w:tr w14:paraId="76055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122633B2">
            <w:pPr>
              <w:spacing w:line="360" w:lineRule="auto"/>
              <w:jc w:val="center"/>
              <w:rPr>
                <w:rFonts w:ascii="宋体" w:hAnsi="宋体"/>
                <w:szCs w:val="21"/>
              </w:rPr>
            </w:pPr>
            <w:r>
              <w:rPr>
                <w:rFonts w:hint="eastAsia" w:ascii="宋体" w:hAnsi="宋体"/>
                <w:szCs w:val="21"/>
              </w:rPr>
              <w:t>2</w:t>
            </w:r>
          </w:p>
        </w:tc>
        <w:tc>
          <w:tcPr>
            <w:tcW w:w="2623" w:type="dxa"/>
            <w:vAlign w:val="center"/>
          </w:tcPr>
          <w:p w14:paraId="39C7A383">
            <w:pPr>
              <w:spacing w:line="360" w:lineRule="auto"/>
              <w:ind w:firstLine="630" w:firstLineChars="300"/>
              <w:rPr>
                <w:rFonts w:ascii="宋体" w:hAnsi="宋体"/>
                <w:szCs w:val="21"/>
              </w:rPr>
            </w:pPr>
            <w:r>
              <w:rPr>
                <w:rFonts w:hint="eastAsia" w:ascii="宋体" w:hAnsi="宋体"/>
                <w:szCs w:val="21"/>
              </w:rPr>
              <w:t>施工负责人</w:t>
            </w:r>
          </w:p>
        </w:tc>
        <w:tc>
          <w:tcPr>
            <w:tcW w:w="3069" w:type="dxa"/>
            <w:vAlign w:val="center"/>
          </w:tcPr>
          <w:p w14:paraId="3389B5FC">
            <w:pPr>
              <w:spacing w:line="360" w:lineRule="auto"/>
              <w:rPr>
                <w:szCs w:val="21"/>
              </w:rPr>
            </w:pPr>
            <w:r>
              <w:rPr>
                <w:szCs w:val="21"/>
              </w:rPr>
              <w:t>姓名：</w:t>
            </w:r>
          </w:p>
        </w:tc>
        <w:tc>
          <w:tcPr>
            <w:tcW w:w="903" w:type="dxa"/>
            <w:vAlign w:val="center"/>
          </w:tcPr>
          <w:p w14:paraId="19C6B42F">
            <w:pPr>
              <w:spacing w:line="360" w:lineRule="auto"/>
              <w:rPr>
                <w:szCs w:val="21"/>
              </w:rPr>
            </w:pPr>
          </w:p>
        </w:tc>
      </w:tr>
      <w:tr w14:paraId="05D2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076DD17E">
            <w:pPr>
              <w:spacing w:line="360" w:lineRule="auto"/>
              <w:jc w:val="center"/>
              <w:rPr>
                <w:rFonts w:ascii="宋体" w:hAnsi="宋体"/>
                <w:szCs w:val="21"/>
              </w:rPr>
            </w:pPr>
            <w:r>
              <w:rPr>
                <w:rFonts w:hint="eastAsia" w:ascii="宋体" w:hAnsi="宋体"/>
                <w:szCs w:val="21"/>
              </w:rPr>
              <w:t>3</w:t>
            </w:r>
          </w:p>
        </w:tc>
        <w:tc>
          <w:tcPr>
            <w:tcW w:w="2623" w:type="dxa"/>
            <w:vAlign w:val="center"/>
          </w:tcPr>
          <w:p w14:paraId="3A4E63A1">
            <w:pPr>
              <w:spacing w:line="360" w:lineRule="auto"/>
              <w:ind w:firstLine="630" w:firstLineChars="300"/>
              <w:rPr>
                <w:rFonts w:ascii="宋体" w:hAnsi="宋体"/>
                <w:szCs w:val="21"/>
              </w:rPr>
            </w:pPr>
            <w:r>
              <w:rPr>
                <w:rFonts w:hint="eastAsia" w:ascii="宋体" w:hAnsi="宋体"/>
                <w:szCs w:val="21"/>
              </w:rPr>
              <w:t>设计负责人</w:t>
            </w:r>
          </w:p>
        </w:tc>
        <w:tc>
          <w:tcPr>
            <w:tcW w:w="3069" w:type="dxa"/>
            <w:vAlign w:val="center"/>
          </w:tcPr>
          <w:p w14:paraId="566D66F7">
            <w:pPr>
              <w:spacing w:line="360" w:lineRule="auto"/>
              <w:rPr>
                <w:szCs w:val="21"/>
              </w:rPr>
            </w:pPr>
            <w:r>
              <w:rPr>
                <w:szCs w:val="21"/>
              </w:rPr>
              <w:t>姓名：</w:t>
            </w:r>
          </w:p>
        </w:tc>
        <w:tc>
          <w:tcPr>
            <w:tcW w:w="903" w:type="dxa"/>
            <w:vAlign w:val="center"/>
          </w:tcPr>
          <w:p w14:paraId="4DC97FFE">
            <w:pPr>
              <w:spacing w:line="360" w:lineRule="auto"/>
              <w:rPr>
                <w:szCs w:val="21"/>
              </w:rPr>
            </w:pPr>
          </w:p>
        </w:tc>
      </w:tr>
      <w:tr w14:paraId="4FEE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72B47AAA">
            <w:pPr>
              <w:spacing w:line="360" w:lineRule="auto"/>
              <w:jc w:val="center"/>
              <w:rPr>
                <w:rFonts w:ascii="宋体" w:hAnsi="宋体"/>
                <w:szCs w:val="21"/>
              </w:rPr>
            </w:pPr>
            <w:r>
              <w:rPr>
                <w:rFonts w:hint="eastAsia" w:ascii="宋体" w:hAnsi="宋体"/>
                <w:szCs w:val="21"/>
              </w:rPr>
              <w:t>4</w:t>
            </w:r>
          </w:p>
        </w:tc>
        <w:tc>
          <w:tcPr>
            <w:tcW w:w="2623" w:type="dxa"/>
            <w:vAlign w:val="center"/>
          </w:tcPr>
          <w:p w14:paraId="6BE2B16B">
            <w:pPr>
              <w:spacing w:line="360" w:lineRule="auto"/>
              <w:jc w:val="center"/>
              <w:rPr>
                <w:rFonts w:ascii="宋体" w:hAnsi="宋体"/>
                <w:szCs w:val="21"/>
              </w:rPr>
            </w:pPr>
            <w:r>
              <w:rPr>
                <w:rFonts w:ascii="宋体" w:hAnsi="宋体"/>
                <w:szCs w:val="21"/>
              </w:rPr>
              <w:t>工期</w:t>
            </w:r>
          </w:p>
        </w:tc>
        <w:tc>
          <w:tcPr>
            <w:tcW w:w="3069" w:type="dxa"/>
            <w:vAlign w:val="center"/>
          </w:tcPr>
          <w:p w14:paraId="38946431">
            <w:pPr>
              <w:spacing w:line="360" w:lineRule="auto"/>
              <w:rPr>
                <w:szCs w:val="21"/>
              </w:rPr>
            </w:pPr>
            <w:r>
              <w:rPr>
                <w:szCs w:val="21"/>
              </w:rPr>
              <w:t>天数：        日历天</w:t>
            </w:r>
          </w:p>
        </w:tc>
        <w:tc>
          <w:tcPr>
            <w:tcW w:w="903" w:type="dxa"/>
            <w:vAlign w:val="center"/>
          </w:tcPr>
          <w:p w14:paraId="08252E2C">
            <w:pPr>
              <w:spacing w:line="360" w:lineRule="auto"/>
              <w:ind w:firstLine="718" w:firstLineChars="342"/>
              <w:rPr>
                <w:szCs w:val="21"/>
              </w:rPr>
            </w:pPr>
          </w:p>
        </w:tc>
      </w:tr>
      <w:tr w14:paraId="147C4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0CED664A">
            <w:pPr>
              <w:spacing w:line="360" w:lineRule="auto"/>
              <w:jc w:val="center"/>
              <w:rPr>
                <w:rFonts w:ascii="宋体" w:hAnsi="宋体"/>
                <w:szCs w:val="21"/>
              </w:rPr>
            </w:pPr>
            <w:r>
              <w:rPr>
                <w:rFonts w:hint="eastAsia" w:ascii="宋体" w:hAnsi="宋体"/>
                <w:szCs w:val="21"/>
              </w:rPr>
              <w:t>5</w:t>
            </w:r>
          </w:p>
        </w:tc>
        <w:tc>
          <w:tcPr>
            <w:tcW w:w="2623" w:type="dxa"/>
            <w:vAlign w:val="center"/>
          </w:tcPr>
          <w:p w14:paraId="604B2A96">
            <w:pPr>
              <w:spacing w:line="360" w:lineRule="auto"/>
              <w:jc w:val="center"/>
              <w:rPr>
                <w:rFonts w:ascii="宋体" w:hAnsi="宋体"/>
                <w:szCs w:val="21"/>
              </w:rPr>
            </w:pPr>
            <w:r>
              <w:rPr>
                <w:rFonts w:ascii="宋体" w:hAnsi="宋体"/>
                <w:szCs w:val="21"/>
              </w:rPr>
              <w:t>缺陷责任期</w:t>
            </w:r>
          </w:p>
        </w:tc>
        <w:tc>
          <w:tcPr>
            <w:tcW w:w="3069" w:type="dxa"/>
            <w:vAlign w:val="center"/>
          </w:tcPr>
          <w:p w14:paraId="221ED4F3">
            <w:pPr>
              <w:spacing w:line="360" w:lineRule="auto"/>
              <w:jc w:val="center"/>
              <w:rPr>
                <w:szCs w:val="21"/>
              </w:rPr>
            </w:pPr>
            <w:r>
              <w:rPr>
                <w:rFonts w:ascii="宋体" w:hAnsi="宋体"/>
                <w:szCs w:val="21"/>
              </w:rPr>
              <w:t>……</w:t>
            </w:r>
          </w:p>
        </w:tc>
        <w:tc>
          <w:tcPr>
            <w:tcW w:w="903" w:type="dxa"/>
            <w:vAlign w:val="center"/>
          </w:tcPr>
          <w:p w14:paraId="6E58779A">
            <w:pPr>
              <w:spacing w:line="360" w:lineRule="auto"/>
              <w:rPr>
                <w:szCs w:val="21"/>
              </w:rPr>
            </w:pPr>
          </w:p>
        </w:tc>
      </w:tr>
      <w:tr w14:paraId="055A9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vAlign w:val="center"/>
          </w:tcPr>
          <w:p w14:paraId="69BDCEAE">
            <w:pPr>
              <w:spacing w:line="360" w:lineRule="auto"/>
              <w:jc w:val="center"/>
              <w:rPr>
                <w:rFonts w:ascii="宋体" w:hAnsi="宋体"/>
                <w:szCs w:val="21"/>
              </w:rPr>
            </w:pPr>
            <w:r>
              <w:rPr>
                <w:rFonts w:hint="eastAsia" w:ascii="宋体" w:hAnsi="宋体"/>
                <w:szCs w:val="21"/>
              </w:rPr>
              <w:t>6</w:t>
            </w:r>
          </w:p>
        </w:tc>
        <w:tc>
          <w:tcPr>
            <w:tcW w:w="2623" w:type="dxa"/>
            <w:vAlign w:val="center"/>
          </w:tcPr>
          <w:p w14:paraId="532B04FA">
            <w:pPr>
              <w:spacing w:line="360" w:lineRule="auto"/>
              <w:jc w:val="center"/>
              <w:rPr>
                <w:rFonts w:ascii="宋体" w:hAnsi="宋体"/>
                <w:szCs w:val="21"/>
              </w:rPr>
            </w:pPr>
            <w:r>
              <w:rPr>
                <w:rFonts w:ascii="宋体" w:hAnsi="宋体"/>
                <w:szCs w:val="21"/>
              </w:rPr>
              <w:t>分包</w:t>
            </w:r>
          </w:p>
        </w:tc>
        <w:tc>
          <w:tcPr>
            <w:tcW w:w="3069" w:type="dxa"/>
            <w:vAlign w:val="center"/>
          </w:tcPr>
          <w:p w14:paraId="0F6D705C">
            <w:pPr>
              <w:spacing w:line="360" w:lineRule="auto"/>
              <w:jc w:val="center"/>
              <w:rPr>
                <w:szCs w:val="21"/>
              </w:rPr>
            </w:pPr>
            <w:r>
              <w:rPr>
                <w:rFonts w:ascii="宋体" w:hAnsi="宋体"/>
                <w:szCs w:val="21"/>
              </w:rPr>
              <w:t>……</w:t>
            </w:r>
          </w:p>
        </w:tc>
        <w:tc>
          <w:tcPr>
            <w:tcW w:w="903" w:type="dxa"/>
            <w:vAlign w:val="center"/>
          </w:tcPr>
          <w:p w14:paraId="7B2238E6">
            <w:pPr>
              <w:spacing w:line="360" w:lineRule="auto"/>
              <w:rPr>
                <w:szCs w:val="21"/>
              </w:rPr>
            </w:pPr>
          </w:p>
        </w:tc>
      </w:tr>
      <w:tr w14:paraId="0C66F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45" w:type="dxa"/>
          </w:tcPr>
          <w:p w14:paraId="4666C843">
            <w:pPr>
              <w:spacing w:line="360" w:lineRule="auto"/>
              <w:jc w:val="center"/>
              <w:rPr>
                <w:rFonts w:ascii="宋体" w:hAnsi="宋体"/>
                <w:szCs w:val="21"/>
              </w:rPr>
            </w:pPr>
            <w:r>
              <w:rPr>
                <w:rFonts w:ascii="宋体" w:hAnsi="宋体"/>
                <w:szCs w:val="21"/>
              </w:rPr>
              <w:t>……</w:t>
            </w:r>
          </w:p>
        </w:tc>
        <w:tc>
          <w:tcPr>
            <w:tcW w:w="2623" w:type="dxa"/>
          </w:tcPr>
          <w:p w14:paraId="588BFF3E">
            <w:pPr>
              <w:spacing w:line="360" w:lineRule="auto"/>
              <w:jc w:val="center"/>
              <w:rPr>
                <w:rFonts w:ascii="宋体" w:hAnsi="宋体"/>
                <w:szCs w:val="21"/>
              </w:rPr>
            </w:pPr>
            <w:r>
              <w:rPr>
                <w:rFonts w:ascii="宋体" w:hAnsi="宋体"/>
                <w:szCs w:val="21"/>
              </w:rPr>
              <w:t>……</w:t>
            </w:r>
          </w:p>
        </w:tc>
        <w:tc>
          <w:tcPr>
            <w:tcW w:w="3069" w:type="dxa"/>
            <w:vAlign w:val="center"/>
          </w:tcPr>
          <w:p w14:paraId="150EE9E6">
            <w:pPr>
              <w:spacing w:line="360" w:lineRule="auto"/>
              <w:jc w:val="center"/>
              <w:rPr>
                <w:szCs w:val="21"/>
              </w:rPr>
            </w:pPr>
            <w:r>
              <w:rPr>
                <w:rFonts w:ascii="宋体" w:hAnsi="宋体"/>
                <w:szCs w:val="21"/>
              </w:rPr>
              <w:t>……</w:t>
            </w:r>
          </w:p>
        </w:tc>
        <w:tc>
          <w:tcPr>
            <w:tcW w:w="903" w:type="dxa"/>
            <w:vAlign w:val="center"/>
          </w:tcPr>
          <w:p w14:paraId="5ADB32FA">
            <w:pPr>
              <w:spacing w:line="360" w:lineRule="auto"/>
              <w:rPr>
                <w:szCs w:val="21"/>
              </w:rPr>
            </w:pPr>
          </w:p>
        </w:tc>
      </w:tr>
      <w:tr w14:paraId="012F2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645" w:type="dxa"/>
          </w:tcPr>
          <w:p w14:paraId="1D53C4BD">
            <w:pPr>
              <w:spacing w:line="360" w:lineRule="auto"/>
              <w:jc w:val="center"/>
              <w:rPr>
                <w:rFonts w:ascii="宋体" w:hAnsi="宋体"/>
                <w:szCs w:val="21"/>
              </w:rPr>
            </w:pPr>
            <w:r>
              <w:rPr>
                <w:rFonts w:ascii="宋体" w:hAnsi="宋体"/>
                <w:szCs w:val="21"/>
              </w:rPr>
              <w:t>……</w:t>
            </w:r>
          </w:p>
        </w:tc>
        <w:tc>
          <w:tcPr>
            <w:tcW w:w="2623" w:type="dxa"/>
          </w:tcPr>
          <w:p w14:paraId="16B711E5">
            <w:pPr>
              <w:spacing w:line="360" w:lineRule="auto"/>
              <w:jc w:val="center"/>
              <w:rPr>
                <w:rFonts w:ascii="宋体" w:hAnsi="宋体"/>
                <w:szCs w:val="21"/>
              </w:rPr>
            </w:pPr>
            <w:r>
              <w:rPr>
                <w:rFonts w:ascii="宋体" w:hAnsi="宋体"/>
                <w:szCs w:val="21"/>
              </w:rPr>
              <w:t>……</w:t>
            </w:r>
          </w:p>
        </w:tc>
        <w:tc>
          <w:tcPr>
            <w:tcW w:w="3069" w:type="dxa"/>
            <w:vAlign w:val="center"/>
          </w:tcPr>
          <w:p w14:paraId="7889C02A">
            <w:pPr>
              <w:spacing w:line="360" w:lineRule="auto"/>
              <w:jc w:val="center"/>
              <w:rPr>
                <w:szCs w:val="21"/>
              </w:rPr>
            </w:pPr>
            <w:r>
              <w:rPr>
                <w:rFonts w:ascii="宋体" w:hAnsi="宋体"/>
                <w:szCs w:val="21"/>
              </w:rPr>
              <w:t>……</w:t>
            </w:r>
          </w:p>
        </w:tc>
        <w:tc>
          <w:tcPr>
            <w:tcW w:w="903" w:type="dxa"/>
            <w:vAlign w:val="center"/>
          </w:tcPr>
          <w:p w14:paraId="1CB91416">
            <w:pPr>
              <w:spacing w:line="360" w:lineRule="auto"/>
              <w:rPr>
                <w:szCs w:val="21"/>
              </w:rPr>
            </w:pPr>
          </w:p>
        </w:tc>
      </w:tr>
    </w:tbl>
    <w:p w14:paraId="137B4F98">
      <w:pPr>
        <w:spacing w:line="360" w:lineRule="auto"/>
        <w:ind w:left="840" w:leftChars="400" w:firstLine="2200" w:firstLineChars="1100"/>
        <w:rPr>
          <w:rFonts w:eastAsia="黑体"/>
          <w:sz w:val="20"/>
          <w:szCs w:val="20"/>
        </w:rPr>
      </w:pPr>
    </w:p>
    <w:p w14:paraId="465629B1">
      <w:pPr>
        <w:spacing w:line="360" w:lineRule="auto"/>
        <w:rPr>
          <w:rFonts w:eastAsia="黑体"/>
          <w:sz w:val="20"/>
          <w:szCs w:val="20"/>
        </w:rPr>
      </w:pPr>
      <w:r>
        <w:rPr>
          <w:szCs w:val="21"/>
        </w:rPr>
        <w:br w:type="page"/>
      </w:r>
    </w:p>
    <w:p w14:paraId="2747A779">
      <w:pPr>
        <w:pStyle w:val="3"/>
        <w:adjustRightInd w:val="0"/>
        <w:snapToGrid w:val="0"/>
        <w:spacing w:line="360" w:lineRule="auto"/>
        <w:jc w:val="center"/>
        <w:rPr>
          <w:rFonts w:ascii="宋体" w:hAnsi="宋体"/>
          <w:sz w:val="28"/>
          <w:szCs w:val="28"/>
        </w:rPr>
      </w:pPr>
      <w:bookmarkStart w:id="492" w:name="_Toc27806_WPSOffice_Level1"/>
      <w:r>
        <w:rPr>
          <w:rFonts w:hint="eastAsia" w:ascii="宋体" w:hAnsi="宋体"/>
          <w:sz w:val="24"/>
          <w:szCs w:val="24"/>
        </w:rPr>
        <w:t>□</w:t>
      </w:r>
      <w:r>
        <w:rPr>
          <w:rFonts w:hint="eastAsia" w:ascii="宋体" w:hAnsi="宋体"/>
          <w:sz w:val="28"/>
          <w:szCs w:val="28"/>
        </w:rPr>
        <w:t>二、法定代表人身份证明</w:t>
      </w:r>
      <w:bookmarkEnd w:id="492"/>
    </w:p>
    <w:p w14:paraId="410E557D">
      <w:pPr>
        <w:spacing w:line="360" w:lineRule="auto"/>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14:paraId="36129000">
      <w:pPr>
        <w:spacing w:line="360" w:lineRule="auto"/>
        <w:rPr>
          <w:rFonts w:ascii="宋体" w:hAnsi="宋体" w:cs="宋体"/>
          <w:sz w:val="24"/>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 xml:space="preserve"> 性别：</w:t>
      </w:r>
      <w:r>
        <w:rPr>
          <w:rFonts w:hint="eastAsia" w:ascii="宋体" w:hAnsi="宋体" w:cs="宋体"/>
          <w:sz w:val="24"/>
          <w:u w:val="single"/>
        </w:rPr>
        <w:t xml:space="preserve">      </w:t>
      </w:r>
      <w:r>
        <w:rPr>
          <w:rFonts w:hint="eastAsia" w:ascii="宋体" w:hAnsi="宋体" w:cs="宋体"/>
          <w:sz w:val="24"/>
        </w:rPr>
        <w:t xml:space="preserve">  年龄：</w:t>
      </w:r>
      <w:r>
        <w:rPr>
          <w:rFonts w:hint="eastAsia" w:ascii="宋体" w:hAnsi="宋体" w:cs="宋体"/>
          <w:sz w:val="24"/>
          <w:u w:val="single"/>
        </w:rPr>
        <w:t xml:space="preserve">      </w:t>
      </w:r>
      <w:r>
        <w:rPr>
          <w:rFonts w:hint="eastAsia" w:ascii="宋体" w:hAnsi="宋体" w:cs="宋体"/>
          <w:sz w:val="24"/>
        </w:rPr>
        <w:t xml:space="preserve">  职务：</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rPr>
        <w:cr/>
      </w:r>
      <w:r>
        <w:rPr>
          <w:rFonts w:hint="eastAsia" w:ascii="宋体" w:hAnsi="宋体" w:cs="宋体"/>
          <w:sz w:val="24"/>
        </w:rPr>
        <w:t xml:space="preserve">系 </w:t>
      </w:r>
      <w:r>
        <w:rPr>
          <w:rFonts w:hint="eastAsia" w:ascii="宋体" w:hAnsi="宋体" w:cs="宋体"/>
          <w:sz w:val="24"/>
          <w:u w:val="single"/>
        </w:rPr>
        <w:t xml:space="preserve">                             </w:t>
      </w:r>
      <w:r>
        <w:rPr>
          <w:rFonts w:hint="eastAsia" w:ascii="宋体" w:hAnsi="宋体" w:cs="宋体"/>
          <w:sz w:val="24"/>
        </w:rPr>
        <w:t>（投标人名称）的法定代表人。</w:t>
      </w:r>
    </w:p>
    <w:p w14:paraId="6FEBCA1D">
      <w:pPr>
        <w:spacing w:line="360" w:lineRule="auto"/>
        <w:ind w:left="504" w:leftChars="240"/>
        <w:rPr>
          <w:rFonts w:ascii="宋体" w:hAnsi="宋体" w:cs="宋体"/>
          <w:sz w:val="24"/>
        </w:rPr>
      </w:pPr>
      <w:r>
        <w:rPr>
          <w:rFonts w:hint="eastAsia" w:ascii="宋体" w:hAnsi="宋体" w:cs="宋体"/>
          <w:sz w:val="24"/>
        </w:rPr>
        <w:t>特此证明。</w:t>
      </w:r>
    </w:p>
    <w:p w14:paraId="34555508">
      <w:pPr>
        <w:spacing w:line="360" w:lineRule="auto"/>
        <w:ind w:firstLine="482" w:firstLineChars="200"/>
        <w:rPr>
          <w:rFonts w:ascii="宋体" w:hAnsi="宋体" w:cs="宋体"/>
          <w:b/>
          <w:bCs/>
          <w:sz w:val="24"/>
        </w:rPr>
      </w:pPr>
    </w:p>
    <w:p w14:paraId="102C1F71">
      <w:pPr>
        <w:spacing w:line="360" w:lineRule="auto"/>
        <w:rPr>
          <w:rFonts w:ascii="宋体" w:hAnsi="宋体" w:cs="宋体"/>
          <w:sz w:val="24"/>
        </w:rPr>
      </w:pPr>
    </w:p>
    <w:p w14:paraId="4DE99EAC">
      <w:pPr>
        <w:spacing w:line="360" w:lineRule="auto"/>
        <w:rPr>
          <w:rFonts w:ascii="宋体" w:hAnsi="宋体" w:cs="宋体"/>
          <w:sz w:val="24"/>
        </w:rPr>
      </w:pPr>
    </w:p>
    <w:p w14:paraId="6BE7F7D8">
      <w:pPr>
        <w:spacing w:line="360" w:lineRule="auto"/>
        <w:rPr>
          <w:rFonts w:ascii="宋体" w:hAnsi="宋体" w:cs="宋体"/>
          <w:sz w:val="24"/>
        </w:rPr>
      </w:pPr>
      <w:r>
        <w:rPr>
          <w:rFonts w:hint="eastAsia" w:ascii="宋体" w:hAnsi="宋体" w:cs="宋体"/>
          <w:sz w:val="24"/>
        </w:rPr>
        <w:cr/>
      </w:r>
      <w:r>
        <w:rPr>
          <w:rFonts w:hint="eastAsia" w:ascii="宋体" w:hAnsi="宋体" w:cs="宋体"/>
          <w:bCs/>
          <w:sz w:val="24"/>
        </w:rPr>
        <w:t>附：法定代表人身份证扫描件</w:t>
      </w:r>
      <w:r>
        <w:rPr>
          <w:rFonts w:hint="eastAsia" w:ascii="宋体" w:hAnsi="宋体" w:cs="宋体"/>
          <w:b/>
          <w:sz w:val="24"/>
        </w:rPr>
        <w:cr/>
      </w:r>
    </w:p>
    <w:p w14:paraId="0E25027C">
      <w:pPr>
        <w:spacing w:line="360" w:lineRule="auto"/>
        <w:rPr>
          <w:rFonts w:ascii="宋体" w:hAnsi="宋体" w:cs="宋体"/>
          <w:sz w:val="24"/>
        </w:rPr>
      </w:pPr>
    </w:p>
    <w:p w14:paraId="49F677E6">
      <w:pPr>
        <w:spacing w:line="360" w:lineRule="auto"/>
        <w:rPr>
          <w:rFonts w:ascii="宋体" w:hAnsi="宋体" w:cs="宋体"/>
          <w:sz w:val="24"/>
        </w:rPr>
      </w:pPr>
    </w:p>
    <w:p w14:paraId="25AAF5F7">
      <w:pPr>
        <w:adjustRightInd w:val="0"/>
        <w:snapToGrid w:val="0"/>
        <w:spacing w:line="360" w:lineRule="auto"/>
        <w:jc w:val="right"/>
        <w:rPr>
          <w:rFonts w:ascii="宋体" w:hAnsi="宋体" w:cs="宋体"/>
          <w:bCs/>
          <w:sz w:val="24"/>
        </w:rPr>
      </w:pPr>
      <w:r>
        <w:rPr>
          <w:rFonts w:hint="eastAsia" w:ascii="宋体" w:hAnsi="宋体" w:cs="宋体"/>
          <w:b/>
          <w:sz w:val="24"/>
        </w:rPr>
        <w:t xml:space="preserve">                             </w:t>
      </w:r>
      <w:r>
        <w:rPr>
          <w:rFonts w:hint="eastAsia" w:ascii="宋体" w:hAnsi="宋体" w:cs="宋体"/>
          <w:bCs/>
          <w:sz w:val="24"/>
        </w:rPr>
        <w:t xml:space="preserve">投标人： </w:t>
      </w:r>
      <w:r>
        <w:rPr>
          <w:rFonts w:hint="eastAsia" w:ascii="宋体" w:hAnsi="宋体" w:cs="宋体"/>
          <w:bCs/>
          <w:sz w:val="24"/>
          <w:u w:val="single"/>
        </w:rPr>
        <w:t xml:space="preserve">                  </w:t>
      </w:r>
      <w:r>
        <w:rPr>
          <w:rFonts w:hint="eastAsia" w:ascii="宋体" w:hAnsi="宋体" w:cs="宋体"/>
          <w:bCs/>
          <w:sz w:val="24"/>
        </w:rPr>
        <w:t>（盖单位章）</w:t>
      </w:r>
      <w:r>
        <w:rPr>
          <w:rFonts w:hint="eastAsia" w:ascii="宋体" w:hAnsi="宋体"/>
          <w:bCs/>
          <w:sz w:val="24"/>
        </w:rPr>
        <w:t xml:space="preserve">                                 </w:t>
      </w:r>
    </w:p>
    <w:p w14:paraId="3FF92D6D">
      <w:pPr>
        <w:spacing w:line="360" w:lineRule="auto"/>
        <w:ind w:firstLine="482" w:firstLineChars="200"/>
        <w:jc w:val="center"/>
        <w:rPr>
          <w:rFonts w:ascii="宋体" w:hAnsi="宋体" w:cs="宋体"/>
          <w:sz w:val="24"/>
        </w:rPr>
      </w:pPr>
      <w:r>
        <w:rPr>
          <w:rFonts w:hint="eastAsia" w:ascii="宋体" w:hAnsi="宋体" w:cs="宋体"/>
          <w:b/>
          <w:sz w:val="24"/>
        </w:rPr>
        <w:t xml:space="preserve">                           </w:t>
      </w:r>
      <w:r>
        <w:rPr>
          <w:rFonts w:hint="eastAsia" w:ascii="宋体" w:hAnsi="宋体" w:cs="宋体"/>
          <w:b/>
          <w:sz w:val="24"/>
          <w:u w:val="single"/>
        </w:rPr>
        <w:t xml:space="preserve">   </w:t>
      </w:r>
      <w:r>
        <w:rPr>
          <w:rFonts w:hint="eastAsia" w:ascii="宋体" w:hAnsi="宋体" w:cs="宋体"/>
          <w:sz w:val="24"/>
        </w:rPr>
        <w:t>年</w:t>
      </w:r>
      <w:r>
        <w:rPr>
          <w:rFonts w:hint="eastAsia" w:ascii="宋体" w:hAnsi="宋体" w:cs="宋体"/>
          <w:b/>
          <w:sz w:val="24"/>
          <w:u w:val="single"/>
        </w:rPr>
        <w:t xml:space="preserve">   </w:t>
      </w:r>
      <w:r>
        <w:rPr>
          <w:rFonts w:hint="eastAsia" w:ascii="宋体" w:hAnsi="宋体" w:cs="宋体"/>
          <w:sz w:val="24"/>
        </w:rPr>
        <w:t>月</w:t>
      </w:r>
      <w:r>
        <w:rPr>
          <w:rFonts w:hint="eastAsia" w:ascii="宋体" w:hAnsi="宋体" w:cs="宋体"/>
          <w:b/>
          <w:sz w:val="24"/>
          <w:u w:val="single"/>
        </w:rPr>
        <w:t xml:space="preserve">   </w:t>
      </w:r>
      <w:r>
        <w:rPr>
          <w:rFonts w:hint="eastAsia" w:ascii="宋体" w:hAnsi="宋体" w:cs="宋体"/>
          <w:sz w:val="24"/>
        </w:rPr>
        <w:t>日</w:t>
      </w:r>
    </w:p>
    <w:p w14:paraId="5CBD002A">
      <w:pPr>
        <w:spacing w:line="360" w:lineRule="auto"/>
        <w:ind w:firstLine="480" w:firstLineChars="200"/>
        <w:rPr>
          <w:rFonts w:ascii="宋体" w:hAnsi="宋体" w:cs="宋体"/>
          <w:bCs/>
          <w:sz w:val="24"/>
        </w:rPr>
      </w:pPr>
    </w:p>
    <w:p w14:paraId="38E76368">
      <w:pPr>
        <w:spacing w:line="360" w:lineRule="auto"/>
        <w:ind w:firstLine="480" w:firstLineChars="200"/>
        <w:rPr>
          <w:rFonts w:ascii="宋体" w:hAnsi="宋体" w:cs="宋体"/>
          <w:bCs/>
          <w:sz w:val="24"/>
        </w:rPr>
      </w:pPr>
      <w:r>
        <w:rPr>
          <w:rFonts w:hint="eastAsia" w:ascii="宋体" w:hAnsi="宋体" w:cs="宋体"/>
          <w:bCs/>
          <w:sz w:val="24"/>
        </w:rPr>
        <w:t>注：法定代表人亲自投标而不委托代理人投标适用。</w:t>
      </w:r>
    </w:p>
    <w:p w14:paraId="1F8EFEF4">
      <w:pPr>
        <w:pStyle w:val="3"/>
        <w:adjustRightInd w:val="0"/>
        <w:snapToGrid w:val="0"/>
        <w:spacing w:line="360" w:lineRule="auto"/>
        <w:jc w:val="center"/>
        <w:rPr>
          <w:rFonts w:ascii="宋体" w:hAnsi="宋体"/>
          <w:sz w:val="28"/>
          <w:szCs w:val="28"/>
        </w:rPr>
      </w:pPr>
      <w:r>
        <w:rPr>
          <w:rFonts w:eastAsia="黑体"/>
          <w:sz w:val="20"/>
          <w:szCs w:val="20"/>
        </w:rPr>
        <w:br w:type="page"/>
      </w:r>
      <w:bookmarkStart w:id="493" w:name="_Toc7805_WPSOffice_Level1"/>
      <w:r>
        <w:rPr>
          <w:rFonts w:hint="eastAsia" w:ascii="宋体" w:hAnsi="宋体"/>
          <w:sz w:val="24"/>
          <w:szCs w:val="24"/>
        </w:rPr>
        <w:t>□</w:t>
      </w:r>
      <w:r>
        <w:rPr>
          <w:rFonts w:hint="eastAsia" w:ascii="宋体" w:hAnsi="宋体"/>
          <w:sz w:val="28"/>
          <w:szCs w:val="28"/>
        </w:rPr>
        <w:t>二、授权委托书</w:t>
      </w:r>
      <w:bookmarkEnd w:id="493"/>
    </w:p>
    <w:p w14:paraId="6B8486F6">
      <w:pPr>
        <w:pStyle w:val="9"/>
        <w:spacing w:line="360" w:lineRule="auto"/>
        <w:rPr>
          <w:rFonts w:ascii="宋体" w:hAnsi="宋体" w:cs="宋体"/>
          <w:sz w:val="24"/>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 xml:space="preserve">（姓名）系 </w:t>
      </w:r>
      <w:r>
        <w:rPr>
          <w:rFonts w:hint="eastAsia" w:ascii="宋体" w:hAnsi="宋体" w:cs="宋体"/>
          <w:sz w:val="24"/>
          <w:u w:val="single"/>
        </w:rPr>
        <w:t xml:space="preserve">              </w:t>
      </w:r>
      <w:r>
        <w:rPr>
          <w:rFonts w:hint="eastAsia" w:ascii="宋体" w:hAnsi="宋体" w:cs="宋体"/>
          <w:sz w:val="24"/>
        </w:rPr>
        <w:t xml:space="preserve">（投标人全称）的法定代表人，现授权委托 </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（项目名称）设计施工总承包</w:t>
      </w:r>
      <w:r>
        <w:rPr>
          <w:rFonts w:hint="eastAsia" w:ascii="宋体" w:hAnsi="宋体" w:cs="宋体"/>
          <w:sz w:val="24"/>
          <w:u w:val="single"/>
        </w:rPr>
        <w:t xml:space="preserve">    </w:t>
      </w:r>
      <w:r>
        <w:rPr>
          <w:rFonts w:hint="eastAsia" w:ascii="宋体" w:hAnsi="宋体" w:cs="宋体"/>
          <w:sz w:val="24"/>
        </w:rPr>
        <w:t>标段投标文件、签订合同和处理有关事宜（向有关行政监督部门投诉另行授权），其法律后果由我方承担。</w:t>
      </w:r>
    </w:p>
    <w:p w14:paraId="7657CFAD">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r>
        <w:rPr>
          <w:rFonts w:hint="eastAsia" w:ascii="宋体" w:hAnsi="宋体"/>
        </w:rPr>
        <w:t>委托</w:t>
      </w:r>
      <w:r>
        <w:rPr>
          <w:rFonts w:ascii="宋体" w:hAnsi="宋体"/>
        </w:rPr>
        <w:t>期限：</w:t>
      </w:r>
      <w:r>
        <w:rPr>
          <w:rFonts w:hint="eastAsia" w:ascii="宋体" w:hAnsi="宋体"/>
        </w:rPr>
        <w:t>自本授权委托书签署之日起至“投标有效期”结束为止</w:t>
      </w:r>
      <w:r>
        <w:rPr>
          <w:rFonts w:ascii="宋体" w:hAnsi="宋体"/>
        </w:rPr>
        <w:t>。</w:t>
      </w:r>
    </w:p>
    <w:p w14:paraId="2FD8D92D">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r>
        <w:rPr>
          <w:rFonts w:ascii="宋体" w:hAnsi="宋体"/>
        </w:rPr>
        <w:t>代理人无转委托权。</w:t>
      </w:r>
    </w:p>
    <w:p w14:paraId="38294093">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p>
    <w:p w14:paraId="74422C78">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p>
    <w:p w14:paraId="0F7C7F2A">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p>
    <w:p w14:paraId="2CF3DB97">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r>
        <w:rPr>
          <w:rFonts w:hint="eastAsia" w:ascii="宋体" w:hAnsi="宋体"/>
        </w:rPr>
        <w:t>附：（1）法定代表人身份证扫描件、委托代理人身份证扫描件</w:t>
      </w:r>
    </w:p>
    <w:p w14:paraId="38FC20EC">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r>
        <w:rPr>
          <w:rFonts w:hint="eastAsia" w:ascii="宋体" w:hAnsi="宋体"/>
        </w:rPr>
        <w:t xml:space="preserve">   （2）投标人为委托代理人缴纳的社保缴费证明（提供最近 6 个月连续缴费证明）扫描件</w:t>
      </w:r>
    </w:p>
    <w:p w14:paraId="3595A1E8">
      <w:pPr>
        <w:pStyle w:val="47"/>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rPr>
      </w:pPr>
    </w:p>
    <w:p w14:paraId="7C941E31">
      <w:pPr>
        <w:spacing w:line="360" w:lineRule="auto"/>
        <w:ind w:firstLine="5400" w:firstLineChars="2250"/>
        <w:rPr>
          <w:rFonts w:ascii="宋体" w:hAnsi="宋体" w:cs="宋体"/>
          <w:sz w:val="24"/>
        </w:rPr>
      </w:pPr>
    </w:p>
    <w:p w14:paraId="22999A14">
      <w:pPr>
        <w:spacing w:line="360" w:lineRule="auto"/>
        <w:ind w:firstLine="3600" w:firstLineChars="1500"/>
        <w:rPr>
          <w:rFonts w:ascii="宋体" w:hAnsi="宋体"/>
          <w:sz w:val="24"/>
        </w:rPr>
      </w:pPr>
      <w:r>
        <w:rPr>
          <w:rFonts w:hint="eastAsia" w:ascii="宋体" w:hAnsi="宋体" w:cs="宋体"/>
          <w:sz w:val="24"/>
        </w:rPr>
        <w:t>投  标  人：</w:t>
      </w:r>
      <w:r>
        <w:rPr>
          <w:rFonts w:ascii="宋体" w:hAnsi="宋体" w:cs="宋体"/>
          <w:sz w:val="24"/>
          <w:u w:val="single"/>
        </w:rPr>
        <w:t xml:space="preserve">    </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（盖单位章）</w:t>
      </w:r>
    </w:p>
    <w:p w14:paraId="48A5BBBE">
      <w:pPr>
        <w:spacing w:line="360" w:lineRule="auto"/>
        <w:ind w:firstLine="3600" w:firstLineChars="1500"/>
        <w:rPr>
          <w:rFonts w:ascii="宋体" w:hAnsi="宋体" w:cs="宋体"/>
          <w:sz w:val="24"/>
        </w:rPr>
      </w:pPr>
      <w:r>
        <w:rPr>
          <w:rFonts w:hint="eastAsia" w:ascii="宋体" w:hAnsi="宋体" w:cs="宋体"/>
          <w:sz w:val="24"/>
        </w:rPr>
        <w:t>法定代表人：</w:t>
      </w:r>
      <w:r>
        <w:rPr>
          <w:rFonts w:ascii="宋体" w:hAnsi="宋体" w:cs="宋体"/>
          <w:sz w:val="24"/>
          <w:u w:val="single"/>
        </w:rPr>
        <w:t xml:space="preserve">     </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rPr>
        <w:t>（签    字）</w:t>
      </w:r>
    </w:p>
    <w:p w14:paraId="4BFD8A53">
      <w:pPr>
        <w:spacing w:line="360" w:lineRule="auto"/>
        <w:ind w:firstLine="3600" w:firstLineChars="1500"/>
        <w:rPr>
          <w:rFonts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rPr>
        <w:t xml:space="preserve">        </w:t>
      </w:r>
    </w:p>
    <w:p w14:paraId="4AC3CF76">
      <w:pPr>
        <w:spacing w:line="360" w:lineRule="auto"/>
        <w:ind w:firstLine="3600" w:firstLineChars="1500"/>
        <w:rPr>
          <w:rFonts w:ascii="宋体" w:hAnsi="宋体" w:cs="宋体"/>
          <w:sz w:val="24"/>
        </w:rPr>
      </w:pPr>
      <w:r>
        <w:rPr>
          <w:rFonts w:hint="eastAsia" w:ascii="宋体" w:hAnsi="宋体" w:cs="宋体"/>
          <w:sz w:val="24"/>
        </w:rPr>
        <w:t>委托代理人：</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sz w:val="24"/>
        </w:rPr>
        <w:t xml:space="preserve">（签    字）               </w:t>
      </w:r>
    </w:p>
    <w:p w14:paraId="2EF095F4">
      <w:pPr>
        <w:spacing w:line="360" w:lineRule="auto"/>
        <w:ind w:firstLine="3600" w:firstLineChars="1500"/>
        <w:rPr>
          <w:rFonts w:ascii="宋体" w:hAnsi="宋体" w:cs="宋体"/>
          <w:sz w:val="24"/>
        </w:rPr>
      </w:pPr>
      <w:r>
        <w:rPr>
          <w:rFonts w:hint="eastAsia" w:ascii="宋体" w:hAnsi="宋体" w:cs="宋体"/>
          <w:sz w:val="24"/>
        </w:rPr>
        <w:t>身份证号码：</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rPr>
        <w:t xml:space="preserve">        </w:t>
      </w:r>
    </w:p>
    <w:p w14:paraId="333D1F9E">
      <w:pPr>
        <w:pStyle w:val="47"/>
        <w:tabs>
          <w:tab w:val="left" w:pos="0"/>
          <w:tab w:val="clear" w:pos="1843"/>
        </w:tabs>
        <w:autoSpaceDE w:val="0"/>
        <w:autoSpaceDN w:val="0"/>
        <w:adjustRightInd/>
        <w:spacing w:before="0" w:after="0" w:line="360" w:lineRule="auto"/>
        <w:ind w:left="485" w:right="0" w:rightChars="0" w:hanging="484" w:hangingChars="202"/>
        <w:jc w:val="center"/>
        <w:textAlignment w:val="bottom"/>
        <w:rPr>
          <w:rFonts w:ascii="宋体" w:hAnsi="宋体"/>
        </w:rPr>
      </w:pPr>
      <w:r>
        <w:rPr>
          <w:rFonts w:hint="eastAsia" w:ascii="宋体" w:hAnsi="宋体" w:cs="宋体"/>
        </w:rPr>
        <w:t xml:space="preserve">                                      </w:t>
      </w:r>
      <w:r>
        <w:rPr>
          <w:rFonts w:ascii="宋体" w:hAnsi="宋体" w:cs="宋体"/>
        </w:rPr>
        <w:t xml:space="preserve"> </w:t>
      </w:r>
      <w:r>
        <w:rPr>
          <w:rFonts w:ascii="宋体" w:hAnsi="宋体" w:cs="宋体"/>
          <w:u w:val="single"/>
        </w:rPr>
        <w:t xml:space="preserve">     </w:t>
      </w:r>
      <w:r>
        <w:rPr>
          <w:rFonts w:hint="eastAsia" w:ascii="宋体" w:hAnsi="宋体" w:cs="宋体"/>
        </w:rPr>
        <w:t>年</w:t>
      </w:r>
      <w:r>
        <w:rPr>
          <w:rFonts w:ascii="宋体" w:hAnsi="宋体" w:cs="宋体"/>
          <w:u w:val="single"/>
        </w:rPr>
        <w:t xml:space="preserve">    </w:t>
      </w:r>
      <w:r>
        <w:rPr>
          <w:rFonts w:hint="eastAsia" w:ascii="宋体" w:hAnsi="宋体" w:cs="宋体"/>
        </w:rPr>
        <w:t>月</w:t>
      </w:r>
      <w:r>
        <w:rPr>
          <w:rFonts w:ascii="宋体" w:hAnsi="宋体" w:cs="宋体"/>
          <w:u w:val="single"/>
        </w:rPr>
        <w:t xml:space="preserve">    </w:t>
      </w:r>
      <w:r>
        <w:rPr>
          <w:rFonts w:hint="eastAsia" w:ascii="宋体" w:hAnsi="宋体" w:cs="宋体"/>
        </w:rPr>
        <w:t>日</w:t>
      </w:r>
    </w:p>
    <w:p w14:paraId="5F14E73B">
      <w:pPr>
        <w:spacing w:line="360" w:lineRule="auto"/>
        <w:rPr>
          <w:rFonts w:ascii="宋体" w:hAnsi="宋体"/>
          <w:sz w:val="24"/>
        </w:rPr>
      </w:pPr>
      <w:r>
        <w:rPr>
          <w:rFonts w:ascii="宋体" w:hAnsi="宋体"/>
          <w:sz w:val="24"/>
        </w:rPr>
        <w:t>注：</w:t>
      </w:r>
      <w:r>
        <w:rPr>
          <w:rFonts w:hint="eastAsia" w:ascii="宋体" w:hAnsi="宋体"/>
          <w:sz w:val="24"/>
        </w:rPr>
        <w:t>（1）法定代表人不亲自投标而委托代理人投标适用。</w:t>
      </w:r>
    </w:p>
    <w:p w14:paraId="1929AEC7">
      <w:pPr>
        <w:spacing w:line="360" w:lineRule="auto"/>
        <w:ind w:firstLine="424" w:firstLineChars="177"/>
        <w:rPr>
          <w:rFonts w:ascii="宋体" w:hAnsi="宋体"/>
          <w:sz w:val="24"/>
        </w:rPr>
      </w:pPr>
      <w:r>
        <w:rPr>
          <w:rFonts w:hint="eastAsia" w:ascii="宋体" w:hAnsi="宋体"/>
          <w:sz w:val="24"/>
        </w:rPr>
        <w:t>（2）法定代表人委托他人投标的，委托代理人应是投标人本单位（联合体投标为牵头人）的人员。</w:t>
      </w:r>
    </w:p>
    <w:p w14:paraId="1EEC94CD">
      <w:pPr>
        <w:spacing w:line="360" w:lineRule="auto"/>
        <w:ind w:firstLine="480" w:firstLineChars="200"/>
        <w:rPr>
          <w:rFonts w:ascii="宋体" w:hAnsi="宋体"/>
          <w:sz w:val="24"/>
        </w:rPr>
      </w:pPr>
      <w:r>
        <w:rPr>
          <w:rFonts w:hint="eastAsia" w:ascii="宋体" w:hAnsi="宋体"/>
          <w:sz w:val="24"/>
        </w:rPr>
        <w:t>（3）最近6个月连续缴费的社保证明是指从招标文件开始下载时间的上一个月或上上个月起算，往前推6个月的连续、不间断的缴费证明</w:t>
      </w:r>
      <w:r>
        <w:rPr>
          <w:rFonts w:hint="eastAsia"/>
        </w:rPr>
        <w:t>，</w:t>
      </w:r>
      <w:r>
        <w:rPr>
          <w:rFonts w:hint="eastAsia" w:ascii="宋体" w:hAnsi="宋体"/>
          <w:sz w:val="24"/>
        </w:rPr>
        <w:t>企业设立不足6个月的可少于6个月。</w:t>
      </w:r>
    </w:p>
    <w:p w14:paraId="193F96D1">
      <w:pPr>
        <w:spacing w:line="360" w:lineRule="auto"/>
      </w:pPr>
    </w:p>
    <w:p w14:paraId="1F469A76">
      <w:pPr>
        <w:pStyle w:val="4"/>
        <w:spacing w:line="360" w:lineRule="auto"/>
        <w:jc w:val="center"/>
        <w:rPr>
          <w:rFonts w:ascii="宋体" w:hAnsi="宋体" w:eastAsia="宋体"/>
          <w:bCs w:val="0"/>
          <w:kern w:val="44"/>
          <w:sz w:val="28"/>
          <w:szCs w:val="28"/>
        </w:rPr>
      </w:pPr>
      <w:bookmarkStart w:id="494" w:name="_Toc247514285"/>
      <w:bookmarkStart w:id="495" w:name="_Toc152042582"/>
      <w:bookmarkStart w:id="496" w:name="_Toc247527833"/>
      <w:bookmarkStart w:id="497" w:name="_Toc152045793"/>
      <w:bookmarkStart w:id="498" w:name="_Toc300835215"/>
      <w:r>
        <w:rPr>
          <w:rFonts w:hint="eastAsia" w:ascii="宋体" w:hAnsi="宋体" w:eastAsia="宋体"/>
          <w:bCs w:val="0"/>
          <w:kern w:val="44"/>
          <w:sz w:val="28"/>
          <w:szCs w:val="28"/>
        </w:rPr>
        <w:t>三、联合体协议书</w:t>
      </w:r>
      <w:bookmarkEnd w:id="494"/>
      <w:bookmarkEnd w:id="495"/>
      <w:bookmarkEnd w:id="496"/>
      <w:bookmarkEnd w:id="497"/>
      <w:bookmarkEnd w:id="498"/>
    </w:p>
    <w:p w14:paraId="357F9424">
      <w:pPr>
        <w:tabs>
          <w:tab w:val="left" w:pos="684"/>
        </w:tabs>
        <w:spacing w:line="360" w:lineRule="auto"/>
        <w:ind w:right="120" w:firstLine="480" w:firstLineChars="200"/>
        <w:rPr>
          <w:rFonts w:ascii="宋体" w:hAnsi="宋体"/>
          <w:sz w:val="24"/>
        </w:rPr>
      </w:pPr>
      <w:r>
        <w:rPr>
          <w:rFonts w:ascii="宋体" w:hAnsi="宋体" w:cs="宋体"/>
          <w:sz w:val="24"/>
          <w:u w:val="single"/>
        </w:rPr>
        <w:t xml:space="preserve">             </w:t>
      </w:r>
      <w:r>
        <w:rPr>
          <w:rFonts w:hint="eastAsia" w:ascii="宋体" w:hAnsi="宋体"/>
          <w:sz w:val="24"/>
        </w:rPr>
        <w:t>（所有成员单位名称）自愿组成</w:t>
      </w:r>
      <w:r>
        <w:rPr>
          <w:rFonts w:ascii="宋体" w:hAnsi="宋体" w:cs="宋体"/>
          <w:sz w:val="24"/>
          <w:u w:val="single"/>
        </w:rPr>
        <w:t xml:space="preserve">        </w:t>
      </w:r>
      <w:r>
        <w:rPr>
          <w:rFonts w:hint="eastAsia" w:ascii="宋体" w:hAnsi="宋体"/>
          <w:sz w:val="24"/>
        </w:rPr>
        <w:t>（联合体名称）联合体，共同参加</w:t>
      </w:r>
      <w:r>
        <w:rPr>
          <w:rFonts w:ascii="宋体" w:hAnsi="宋体" w:cs="宋体"/>
          <w:sz w:val="24"/>
          <w:u w:val="single"/>
        </w:rPr>
        <w:t xml:space="preserve">        </w:t>
      </w:r>
      <w:r>
        <w:rPr>
          <w:rFonts w:hint="eastAsia" w:ascii="宋体" w:hAnsi="宋体"/>
          <w:sz w:val="24"/>
        </w:rPr>
        <w:t>（项目名称）设计施工总承包</w:t>
      </w:r>
      <w:r>
        <w:rPr>
          <w:rFonts w:ascii="宋体" w:hAnsi="宋体" w:cs="宋体"/>
          <w:sz w:val="24"/>
          <w:u w:val="single"/>
        </w:rPr>
        <w:t xml:space="preserve">     </w:t>
      </w:r>
      <w:r>
        <w:rPr>
          <w:rFonts w:hint="eastAsia" w:ascii="宋体" w:hAnsi="宋体" w:cs="宋体"/>
          <w:sz w:val="24"/>
        </w:rPr>
        <w:t>标段</w:t>
      </w:r>
      <w:r>
        <w:rPr>
          <w:rFonts w:hint="eastAsia" w:ascii="宋体" w:hAnsi="宋体"/>
          <w:sz w:val="24"/>
        </w:rPr>
        <w:t>投标。现就联合体投标事宜订立如下协议。</w:t>
      </w:r>
    </w:p>
    <w:p w14:paraId="49627D81">
      <w:pPr>
        <w:tabs>
          <w:tab w:val="left" w:pos="684"/>
        </w:tabs>
        <w:spacing w:line="360" w:lineRule="auto"/>
        <w:ind w:right="120" w:firstLine="398" w:firstLineChars="166"/>
        <w:rPr>
          <w:rFonts w:ascii="宋体" w:hAnsi="宋体"/>
          <w:sz w:val="24"/>
        </w:rPr>
      </w:pPr>
      <w:r>
        <w:rPr>
          <w:rFonts w:hint="eastAsia" w:ascii="宋体" w:hAnsi="宋体"/>
          <w:sz w:val="24"/>
        </w:rPr>
        <w:t>1</w:t>
      </w:r>
      <w:r>
        <w:rPr>
          <w:rFonts w:ascii="宋体" w:hAnsi="宋体"/>
          <w:sz w:val="24"/>
        </w:rPr>
        <w:t>.</w:t>
      </w:r>
      <w:r>
        <w:rPr>
          <w:rFonts w:ascii="宋体" w:hAnsi="宋体" w:cs="宋体"/>
          <w:sz w:val="24"/>
          <w:u w:val="single"/>
        </w:rPr>
        <w:t xml:space="preserve">             </w:t>
      </w:r>
      <w:r>
        <w:rPr>
          <w:rFonts w:hint="eastAsia" w:ascii="宋体" w:hAnsi="宋体"/>
          <w:sz w:val="24"/>
        </w:rPr>
        <w:t>（某成员单位名称）为</w:t>
      </w:r>
      <w:r>
        <w:rPr>
          <w:rFonts w:ascii="宋体" w:hAnsi="宋体" w:cs="宋体"/>
          <w:sz w:val="24"/>
          <w:u w:val="single"/>
        </w:rPr>
        <w:t xml:space="preserve">             </w:t>
      </w:r>
      <w:r>
        <w:rPr>
          <w:rFonts w:hint="eastAsia" w:ascii="宋体" w:hAnsi="宋体"/>
          <w:sz w:val="24"/>
        </w:rPr>
        <w:t>（联合体名称）牵头人。</w:t>
      </w:r>
    </w:p>
    <w:p w14:paraId="4518A944">
      <w:pPr>
        <w:tabs>
          <w:tab w:val="left" w:pos="684"/>
        </w:tabs>
        <w:spacing w:line="360" w:lineRule="auto"/>
        <w:ind w:right="120" w:firstLine="398" w:firstLineChars="166"/>
        <w:rPr>
          <w:rFonts w:ascii="宋体" w:hAnsi="宋体"/>
          <w:sz w:val="24"/>
        </w:rPr>
      </w:pPr>
      <w:r>
        <w:rPr>
          <w:rFonts w:hint="eastAsia" w:ascii="宋体" w:hAnsi="宋体"/>
          <w:sz w:val="24"/>
        </w:rPr>
        <w:t>2.</w:t>
      </w:r>
      <w:r>
        <w:rPr>
          <w:rFonts w:ascii="宋体" w:hAnsi="宋体"/>
          <w:sz w:val="24"/>
        </w:rPr>
        <w:t>联合体各成员授权牵头人代表联合体参加投标活动，签署文件，提交和接收相关的资料、信息及指示，进行合同谈判活动，负责合同实施阶段的组织和协调工作，以及处理与本招标项目有关的一切事宜。</w:t>
      </w:r>
    </w:p>
    <w:p w14:paraId="039F1F84">
      <w:pPr>
        <w:tabs>
          <w:tab w:val="left" w:pos="684"/>
        </w:tabs>
        <w:spacing w:line="360" w:lineRule="auto"/>
        <w:ind w:firstLine="398" w:firstLineChars="166"/>
        <w:rPr>
          <w:rFonts w:ascii="宋体" w:hAnsi="宋体"/>
          <w:sz w:val="24"/>
        </w:rPr>
      </w:pPr>
      <w:r>
        <w:rPr>
          <w:rFonts w:hint="eastAsia" w:ascii="宋体" w:hAnsi="宋体"/>
          <w:sz w:val="24"/>
        </w:rPr>
        <w:t>3.</w:t>
      </w:r>
      <w:r>
        <w:rPr>
          <w:rFonts w:ascii="宋体" w:hAnsi="宋体"/>
          <w:sz w:val="24"/>
        </w:rPr>
        <w:t>联合体牵头人在本项目中签署的一切文件和处理的一切事宜，联合体各成员均予以承认。联合体各成员将严格按照招标文件、投标文件和合同的要求全面履行义务，并向招标人承担连带责任。</w:t>
      </w:r>
    </w:p>
    <w:p w14:paraId="59AF33D9">
      <w:pPr>
        <w:tabs>
          <w:tab w:val="left" w:pos="8620"/>
        </w:tabs>
        <w:spacing w:line="360" w:lineRule="auto"/>
        <w:ind w:firstLine="398" w:firstLineChars="166"/>
        <w:rPr>
          <w:rFonts w:ascii="宋体" w:hAnsi="宋体"/>
          <w:sz w:val="24"/>
        </w:rPr>
      </w:pPr>
      <w:r>
        <w:rPr>
          <w:rFonts w:ascii="宋体" w:hAnsi="宋体"/>
          <w:sz w:val="24"/>
        </w:rPr>
        <w:t>4. 联合体各成员单位内部的职责分工如下：</w:t>
      </w:r>
      <w:r>
        <w:rPr>
          <w:rFonts w:hint="eastAsia" w:ascii="宋体" w:hAnsi="宋体"/>
          <w:sz w:val="24"/>
          <w:u w:val="single"/>
        </w:rPr>
        <w:t xml:space="preserve"> </w:t>
      </w:r>
      <w:r>
        <w:rPr>
          <w:rFonts w:ascii="宋体" w:hAnsi="宋体"/>
          <w:sz w:val="24"/>
          <w:u w:val="single"/>
        </w:rPr>
        <w:t xml:space="preserve">                 </w:t>
      </w:r>
      <w:r>
        <w:rPr>
          <w:rFonts w:ascii="宋体" w:hAnsi="宋体"/>
          <w:sz w:val="24"/>
        </w:rPr>
        <w:t>。</w:t>
      </w:r>
    </w:p>
    <w:p w14:paraId="7ED12E31">
      <w:pPr>
        <w:tabs>
          <w:tab w:val="left" w:pos="684"/>
        </w:tabs>
        <w:spacing w:line="360" w:lineRule="auto"/>
        <w:ind w:right="220" w:firstLine="398" w:firstLineChars="166"/>
        <w:rPr>
          <w:rFonts w:ascii="宋体" w:hAnsi="宋体"/>
          <w:sz w:val="24"/>
        </w:rPr>
      </w:pPr>
      <w:r>
        <w:rPr>
          <w:rFonts w:hint="eastAsia" w:ascii="宋体" w:hAnsi="宋体"/>
          <w:sz w:val="24"/>
        </w:rPr>
        <w:t>5.</w:t>
      </w:r>
      <w:r>
        <w:rPr>
          <w:rFonts w:ascii="宋体" w:hAnsi="宋体"/>
          <w:sz w:val="24"/>
        </w:rPr>
        <w:t>本协议书自所有成员单位法定代表人或其委托代理人签字或盖单位章之日起生效，合同履行完毕后自动失效。</w:t>
      </w:r>
    </w:p>
    <w:p w14:paraId="65A5F00A">
      <w:pPr>
        <w:tabs>
          <w:tab w:val="left" w:pos="680"/>
        </w:tabs>
        <w:spacing w:line="360" w:lineRule="auto"/>
        <w:ind w:firstLine="398" w:firstLineChars="166"/>
        <w:rPr>
          <w:rFonts w:ascii="宋体" w:hAnsi="宋体"/>
          <w:sz w:val="24"/>
        </w:rPr>
      </w:pPr>
      <w:r>
        <w:rPr>
          <w:rFonts w:hint="eastAsia" w:ascii="宋体" w:hAnsi="宋体"/>
          <w:sz w:val="24"/>
        </w:rPr>
        <w:t>6.</w:t>
      </w:r>
      <w:r>
        <w:rPr>
          <w:rFonts w:ascii="宋体" w:hAnsi="宋体"/>
          <w:sz w:val="24"/>
        </w:rPr>
        <w:t>本协议书一式</w:t>
      </w:r>
      <w:r>
        <w:rPr>
          <w:rFonts w:ascii="宋体" w:hAnsi="宋体"/>
          <w:sz w:val="24"/>
          <w:u w:val="single"/>
        </w:rPr>
        <w:t xml:space="preserve">     </w:t>
      </w:r>
      <w:r>
        <w:rPr>
          <w:rFonts w:ascii="宋体" w:hAnsi="宋体"/>
          <w:sz w:val="24"/>
        </w:rPr>
        <w:t>份，联合体成员和招标人各执一份。</w:t>
      </w:r>
    </w:p>
    <w:p w14:paraId="7E84CAE5">
      <w:pPr>
        <w:tabs>
          <w:tab w:val="left" w:pos="680"/>
        </w:tabs>
        <w:spacing w:line="360" w:lineRule="auto"/>
        <w:ind w:firstLine="398" w:firstLineChars="166"/>
        <w:rPr>
          <w:rFonts w:ascii="宋体" w:hAnsi="宋体"/>
          <w:sz w:val="24"/>
        </w:rPr>
      </w:pPr>
      <w:r>
        <w:rPr>
          <w:rFonts w:hint="eastAsia" w:ascii="宋体" w:hAnsi="宋体"/>
          <w:sz w:val="24"/>
        </w:rPr>
        <w:t>注：本协议书由法定代表人签字的，应附法定代表人身份证明扫描件；由委托代理人签字的，应附授权委托书扫描件。</w:t>
      </w:r>
    </w:p>
    <w:p w14:paraId="1CF3D6A5">
      <w:pPr>
        <w:tabs>
          <w:tab w:val="left" w:pos="680"/>
        </w:tabs>
        <w:spacing w:line="360" w:lineRule="auto"/>
        <w:ind w:left="680"/>
        <w:rPr>
          <w:rFonts w:ascii="宋体" w:hAnsi="宋体"/>
          <w:sz w:val="24"/>
        </w:rPr>
      </w:pPr>
    </w:p>
    <w:p w14:paraId="03DCA5E6">
      <w:pPr>
        <w:topLinePunct/>
        <w:spacing w:line="360" w:lineRule="auto"/>
        <w:ind w:right="105"/>
        <w:jc w:val="right"/>
        <w:rPr>
          <w:rFonts w:ascii="宋体" w:hAnsi="宋体"/>
          <w:sz w:val="24"/>
        </w:rPr>
      </w:pPr>
      <w:r>
        <w:rPr>
          <w:rFonts w:hint="eastAsia" w:ascii="宋体" w:hAnsi="宋体"/>
          <w:sz w:val="24"/>
        </w:rPr>
        <w:t>联合体牵头人名称：</w:t>
      </w:r>
      <w:r>
        <w:rPr>
          <w:rFonts w:hint="eastAsia" w:ascii="宋体" w:hAnsi="宋体"/>
          <w:sz w:val="24"/>
          <w:u w:val="single"/>
        </w:rPr>
        <w:t xml:space="preserve">                </w:t>
      </w:r>
      <w:r>
        <w:rPr>
          <w:rFonts w:hint="eastAsia" w:ascii="宋体" w:hAnsi="宋体"/>
          <w:sz w:val="24"/>
        </w:rPr>
        <w:t>（盖单位章）</w:t>
      </w:r>
    </w:p>
    <w:p w14:paraId="41A89B92">
      <w:pPr>
        <w:topLinePunct/>
        <w:spacing w:line="360" w:lineRule="auto"/>
        <w:ind w:right="105"/>
        <w:jc w:val="right"/>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ascii="宋体" w:hAnsi="宋体"/>
          <w:sz w:val="24"/>
        </w:rPr>
        <w:t>（签</w:t>
      </w:r>
      <w:r>
        <w:rPr>
          <w:rFonts w:hint="eastAsia" w:ascii="宋体" w:hAnsi="宋体"/>
          <w:sz w:val="24"/>
        </w:rPr>
        <w:t xml:space="preserve">    </w:t>
      </w:r>
      <w:r>
        <w:rPr>
          <w:rFonts w:ascii="宋体" w:hAnsi="宋体"/>
          <w:sz w:val="24"/>
        </w:rPr>
        <w:t>字）</w:t>
      </w:r>
    </w:p>
    <w:p w14:paraId="3BBEEBDF">
      <w:pPr>
        <w:topLinePunct/>
        <w:spacing w:line="360" w:lineRule="auto"/>
        <w:ind w:right="105"/>
        <w:jc w:val="right"/>
        <w:rPr>
          <w:rFonts w:ascii="宋体" w:hAnsi="宋体"/>
          <w:sz w:val="24"/>
        </w:rPr>
      </w:pPr>
      <w:r>
        <w:rPr>
          <w:rFonts w:hint="eastAsia" w:ascii="宋体" w:hAnsi="宋体"/>
          <w:sz w:val="24"/>
        </w:rPr>
        <w:t>联合体其他成员名称：</w:t>
      </w:r>
      <w:r>
        <w:rPr>
          <w:rFonts w:hint="eastAsia" w:ascii="宋体" w:hAnsi="宋体"/>
          <w:sz w:val="24"/>
          <w:u w:val="single"/>
        </w:rPr>
        <w:t xml:space="preserve">              </w:t>
      </w:r>
      <w:r>
        <w:rPr>
          <w:rFonts w:hint="eastAsia" w:ascii="宋体" w:hAnsi="宋体"/>
          <w:sz w:val="24"/>
        </w:rPr>
        <w:t>（盖单位章）</w:t>
      </w:r>
    </w:p>
    <w:p w14:paraId="54A5EA6B">
      <w:pPr>
        <w:topLinePunct/>
        <w:spacing w:line="360" w:lineRule="auto"/>
        <w:ind w:right="105"/>
        <w:jc w:val="right"/>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ascii="宋体" w:hAnsi="宋体"/>
          <w:sz w:val="24"/>
        </w:rPr>
        <w:t>（签</w:t>
      </w:r>
      <w:r>
        <w:rPr>
          <w:rFonts w:hint="eastAsia" w:ascii="宋体" w:hAnsi="宋体"/>
          <w:sz w:val="24"/>
        </w:rPr>
        <w:t xml:space="preserve">    </w:t>
      </w:r>
      <w:r>
        <w:rPr>
          <w:rFonts w:ascii="宋体" w:hAnsi="宋体"/>
          <w:sz w:val="24"/>
        </w:rPr>
        <w:t>字）</w:t>
      </w:r>
    </w:p>
    <w:p w14:paraId="7687537C">
      <w:pPr>
        <w:topLinePunct/>
        <w:spacing w:line="360" w:lineRule="auto"/>
        <w:ind w:right="105"/>
        <w:jc w:val="right"/>
        <w:rPr>
          <w:rFonts w:ascii="宋体" w:hAnsi="宋体"/>
          <w:sz w:val="24"/>
        </w:rPr>
      </w:pPr>
      <w:r>
        <w:rPr>
          <w:rFonts w:hint="eastAsia" w:ascii="宋体" w:hAnsi="宋体"/>
          <w:sz w:val="24"/>
        </w:rPr>
        <w:t>联合体其他成员名称：</w:t>
      </w:r>
      <w:r>
        <w:rPr>
          <w:rFonts w:hint="eastAsia" w:ascii="宋体" w:hAnsi="宋体"/>
          <w:sz w:val="24"/>
          <w:u w:val="single"/>
        </w:rPr>
        <w:t xml:space="preserve">              </w:t>
      </w:r>
      <w:r>
        <w:rPr>
          <w:rFonts w:hint="eastAsia" w:ascii="宋体" w:hAnsi="宋体"/>
          <w:sz w:val="24"/>
        </w:rPr>
        <w:t>（盖单位章）</w:t>
      </w:r>
    </w:p>
    <w:p w14:paraId="38FB7F14">
      <w:pPr>
        <w:topLinePunct/>
        <w:spacing w:line="360" w:lineRule="auto"/>
        <w:ind w:right="105"/>
        <w:jc w:val="right"/>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ascii="宋体" w:hAnsi="宋体"/>
          <w:sz w:val="24"/>
        </w:rPr>
        <w:t>（签</w:t>
      </w:r>
      <w:r>
        <w:rPr>
          <w:rFonts w:hint="eastAsia" w:ascii="宋体" w:hAnsi="宋体"/>
          <w:sz w:val="24"/>
        </w:rPr>
        <w:t xml:space="preserve">    </w:t>
      </w:r>
      <w:r>
        <w:rPr>
          <w:rFonts w:ascii="宋体" w:hAnsi="宋体"/>
          <w:sz w:val="24"/>
        </w:rPr>
        <w:t>字）</w:t>
      </w:r>
    </w:p>
    <w:p w14:paraId="3B082804">
      <w:pPr>
        <w:topLinePunct/>
        <w:spacing w:line="360" w:lineRule="auto"/>
        <w:ind w:right="105"/>
        <w:rPr>
          <w:rFonts w:ascii="宋体" w:hAnsi="宋体"/>
          <w:sz w:val="24"/>
        </w:rPr>
      </w:pPr>
      <w:r>
        <w:rPr>
          <w:rFonts w:hint="eastAsia" w:ascii="宋体" w:hAnsi="宋体"/>
          <w:sz w:val="24"/>
        </w:rPr>
        <w:t xml:space="preserve"> </w:t>
      </w:r>
      <w:r>
        <w:rPr>
          <w:rFonts w:ascii="宋体" w:hAnsi="宋体"/>
          <w:sz w:val="24"/>
        </w:rPr>
        <w:t xml:space="preserve">                   ……</w:t>
      </w:r>
    </w:p>
    <w:p w14:paraId="03AA7CE1">
      <w:pPr>
        <w:spacing w:line="360" w:lineRule="auto"/>
        <w:ind w:left="2879" w:right="105"/>
        <w:jc w:val="center"/>
        <w:rPr>
          <w:rFonts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B069D8C">
      <w:pPr>
        <w:spacing w:line="360" w:lineRule="auto"/>
      </w:pPr>
      <w:r>
        <w:rPr>
          <w:rFonts w:hint="eastAsia" w:ascii="宋体" w:hAnsi="宋体"/>
          <w:sz w:val="24"/>
        </w:rPr>
        <w:t>注：本协议书为联合体投标时适用，非联合体投标时无需填写。</w:t>
      </w:r>
    </w:p>
    <w:p w14:paraId="45A27A21">
      <w:pPr>
        <w:pStyle w:val="4"/>
        <w:spacing w:line="360" w:lineRule="auto"/>
        <w:jc w:val="center"/>
        <w:rPr>
          <w:szCs w:val="21"/>
        </w:rPr>
      </w:pPr>
      <w:bookmarkStart w:id="499" w:name="_Toc144974862"/>
      <w:bookmarkStart w:id="500" w:name="_Toc247527834"/>
      <w:bookmarkStart w:id="501" w:name="_Toc152045794"/>
      <w:bookmarkStart w:id="502" w:name="_Toc300835216"/>
      <w:bookmarkStart w:id="503" w:name="_Toc247514286"/>
      <w:bookmarkStart w:id="504" w:name="_Toc152042583"/>
      <w:r>
        <w:rPr>
          <w:rFonts w:hint="eastAsia" w:ascii="宋体" w:hAnsi="宋体" w:eastAsia="宋体"/>
          <w:bCs w:val="0"/>
          <w:kern w:val="44"/>
          <w:sz w:val="28"/>
          <w:szCs w:val="28"/>
        </w:rPr>
        <w:br w:type="page"/>
      </w:r>
      <w:r>
        <w:rPr>
          <w:rFonts w:hint="eastAsia" w:ascii="宋体" w:hAnsi="宋体" w:eastAsia="宋体"/>
          <w:bCs w:val="0"/>
          <w:kern w:val="44"/>
          <w:sz w:val="28"/>
          <w:szCs w:val="28"/>
        </w:rPr>
        <w:t>四、投标保证金</w:t>
      </w:r>
      <w:bookmarkEnd w:id="499"/>
      <w:bookmarkEnd w:id="500"/>
      <w:bookmarkEnd w:id="501"/>
      <w:bookmarkEnd w:id="502"/>
      <w:bookmarkEnd w:id="503"/>
      <w:bookmarkEnd w:id="504"/>
    </w:p>
    <w:p w14:paraId="654484F3">
      <w:pPr>
        <w:spacing w:line="360" w:lineRule="auto"/>
        <w:rPr>
          <w:rFonts w:ascii="宋体" w:hAnsi="宋体"/>
          <w:sz w:val="24"/>
        </w:rPr>
      </w:pPr>
      <w:r>
        <w:rPr>
          <w:rFonts w:hint="eastAsia" w:ascii="宋体" w:hAnsi="宋体"/>
          <w:sz w:val="24"/>
        </w:rPr>
        <w:t>_________________________（招标人名称）：</w:t>
      </w:r>
    </w:p>
    <w:p w14:paraId="1DAB0797">
      <w:pPr>
        <w:spacing w:line="360" w:lineRule="auto"/>
        <w:ind w:firstLine="480" w:firstLineChars="200"/>
        <w:rPr>
          <w:rFonts w:ascii="宋体" w:hAnsi="宋体"/>
          <w:sz w:val="24"/>
        </w:rPr>
      </w:pPr>
      <w:r>
        <w:rPr>
          <w:rFonts w:hint="eastAsia" w:ascii="宋体" w:hAnsi="宋体"/>
          <w:sz w:val="24"/>
        </w:rPr>
        <w:t>本投标人自愿参加_____________________（项目名称）______标段的投标，并按招标文件要求交纳投标保证金，金额为人民币（大写）_______（¥_______元）。</w:t>
      </w:r>
    </w:p>
    <w:p w14:paraId="02DE67BB">
      <w:pPr>
        <w:spacing w:line="360" w:lineRule="auto"/>
        <w:ind w:firstLine="480" w:firstLineChars="200"/>
        <w:rPr>
          <w:rFonts w:ascii="宋体" w:hAnsi="宋体"/>
          <w:sz w:val="24"/>
        </w:rPr>
      </w:pPr>
      <w:r>
        <w:rPr>
          <w:rFonts w:hint="eastAsia" w:ascii="宋体" w:hAnsi="宋体"/>
          <w:sz w:val="24"/>
        </w:rPr>
        <w:t>本投标人承诺所交纳投标保证金是从本公司基本账户以转账方式交纳的，若有虚假，由此引起的一切责任均由我公司承担。</w:t>
      </w:r>
    </w:p>
    <w:p w14:paraId="5C6D8FD5">
      <w:pPr>
        <w:spacing w:line="360" w:lineRule="auto"/>
        <w:ind w:firstLine="480" w:firstLineChars="200"/>
        <w:rPr>
          <w:rFonts w:ascii="宋体" w:hAnsi="宋体"/>
          <w:sz w:val="24"/>
        </w:rPr>
      </w:pPr>
      <w:r>
        <w:rPr>
          <w:rFonts w:hint="eastAsia" w:ascii="宋体" w:hAnsi="宋体"/>
          <w:sz w:val="24"/>
        </w:rPr>
        <w:t>附：1.投标保证金基本账户转入雅安市政务服务和公共资源交易服务中心保证金专户银行凭证复印件及保证金缴纳成功回执单。（注意：当投标保证金按程序缴纳成功后，即可通过雅安市公共资源交易系统打印保证金缴纳成功回执单。）</w:t>
      </w:r>
    </w:p>
    <w:p w14:paraId="3581091B">
      <w:pPr>
        <w:spacing w:line="360" w:lineRule="auto"/>
        <w:ind w:firstLine="960" w:firstLineChars="400"/>
        <w:rPr>
          <w:rFonts w:ascii="宋体" w:hAnsi="宋体"/>
          <w:sz w:val="24"/>
        </w:rPr>
      </w:pPr>
      <w:r>
        <w:rPr>
          <w:rFonts w:hint="eastAsia" w:ascii="宋体" w:hAnsi="宋体"/>
          <w:sz w:val="24"/>
        </w:rPr>
        <w:t>2.人民银行颁发的基本存款帐户开户许可证复印件。</w:t>
      </w:r>
    </w:p>
    <w:p w14:paraId="7124C9B5">
      <w:pPr>
        <w:spacing w:line="360" w:lineRule="auto"/>
        <w:ind w:firstLine="960" w:firstLineChars="400"/>
        <w:rPr>
          <w:rFonts w:ascii="宋体" w:hAnsi="宋体"/>
          <w:sz w:val="24"/>
        </w:rPr>
      </w:pPr>
    </w:p>
    <w:p w14:paraId="409DE7AD">
      <w:pPr>
        <w:spacing w:line="360" w:lineRule="auto"/>
        <w:rPr>
          <w:rFonts w:ascii="宋体" w:hAnsi="宋体"/>
          <w:sz w:val="24"/>
        </w:rPr>
      </w:pPr>
    </w:p>
    <w:p w14:paraId="4A54C13A">
      <w:pPr>
        <w:spacing w:line="360" w:lineRule="auto"/>
        <w:rPr>
          <w:rFonts w:hint="eastAsia" w:ascii="宋体" w:hAnsi="宋体"/>
          <w:sz w:val="24"/>
        </w:rPr>
      </w:pPr>
      <w:r>
        <w:rPr>
          <w:rFonts w:hint="eastAsia" w:ascii="宋体" w:hAnsi="宋体"/>
          <w:sz w:val="24"/>
        </w:rPr>
        <w:t>注：1.空白处须据实填写；</w:t>
      </w:r>
    </w:p>
    <w:p w14:paraId="19623F46">
      <w:pPr>
        <w:spacing w:line="360" w:lineRule="auto"/>
        <w:rPr>
          <w:rFonts w:ascii="宋体" w:hAnsi="宋体"/>
          <w:sz w:val="24"/>
        </w:rPr>
      </w:pPr>
      <w:r>
        <w:rPr>
          <w:rFonts w:hint="eastAsia" w:ascii="宋体" w:hAnsi="宋体"/>
          <w:sz w:val="24"/>
        </w:rPr>
        <w:t>2.若采用转账方式递交投标保证金的，须提供附第1、2项资料。若采用电子保险合同（电子保险单）或电子银行保函或电子担保保函方式，则无须提供上述第1、2项资料,以开标时系统中的《投标保证金缴纳情况汇总表》为准。</w:t>
      </w:r>
    </w:p>
    <w:p w14:paraId="14667C50">
      <w:pPr>
        <w:spacing w:line="360" w:lineRule="auto"/>
        <w:rPr>
          <w:rFonts w:ascii="宋体" w:hAnsi="宋体"/>
          <w:sz w:val="24"/>
        </w:rPr>
      </w:pPr>
    </w:p>
    <w:p w14:paraId="1F907063">
      <w:pPr>
        <w:spacing w:line="360" w:lineRule="auto"/>
        <w:ind w:firstLine="3360" w:firstLineChars="1400"/>
        <w:rPr>
          <w:rFonts w:ascii="宋体" w:hAnsi="宋体"/>
          <w:sz w:val="24"/>
        </w:rPr>
      </w:pPr>
      <w:r>
        <w:rPr>
          <w:rFonts w:hint="eastAsia" w:ascii="宋体" w:hAnsi="宋体"/>
          <w:sz w:val="24"/>
        </w:rPr>
        <w:t>投  标  人：___________（盖单位章）</w:t>
      </w:r>
    </w:p>
    <w:p w14:paraId="5256F78A">
      <w:pPr>
        <w:spacing w:line="360" w:lineRule="auto"/>
        <w:ind w:firstLine="3360" w:firstLineChars="1400"/>
        <w:rPr>
          <w:rFonts w:ascii="宋体" w:hAnsi="宋体"/>
          <w:sz w:val="24"/>
        </w:rPr>
      </w:pPr>
      <w:r>
        <w:rPr>
          <w:rFonts w:hint="eastAsia" w:ascii="宋体" w:hAnsi="宋体"/>
          <w:sz w:val="24"/>
        </w:rPr>
        <w:t>法定代表人或其委托代理人：____________（签字）</w:t>
      </w:r>
    </w:p>
    <w:p w14:paraId="1AE1F412">
      <w:pPr>
        <w:spacing w:line="360" w:lineRule="auto"/>
        <w:ind w:firstLine="6000" w:firstLineChars="2500"/>
        <w:rPr>
          <w:b/>
          <w:bCs/>
        </w:rPr>
      </w:pPr>
      <w:r>
        <w:rPr>
          <w:rFonts w:hint="eastAsia" w:ascii="宋体" w:hAnsi="宋体"/>
          <w:sz w:val="24"/>
        </w:rPr>
        <w:t>______年___月___日</w:t>
      </w:r>
      <w:bookmarkStart w:id="505" w:name="_Toc296602998"/>
    </w:p>
    <w:bookmarkEnd w:id="505"/>
    <w:p w14:paraId="4103CD82">
      <w:pPr>
        <w:pStyle w:val="4"/>
        <w:spacing w:line="360" w:lineRule="auto"/>
        <w:jc w:val="center"/>
        <w:rPr>
          <w:rFonts w:ascii="宋体" w:hAnsi="宋体" w:eastAsia="宋体"/>
          <w:bCs w:val="0"/>
          <w:kern w:val="44"/>
          <w:sz w:val="28"/>
          <w:szCs w:val="28"/>
        </w:rPr>
      </w:pPr>
      <w:bookmarkStart w:id="506" w:name="_Toc152045795"/>
      <w:bookmarkStart w:id="507" w:name="_Toc300835218"/>
      <w:bookmarkStart w:id="508" w:name="_Toc247514287"/>
      <w:bookmarkStart w:id="509" w:name="_Toc144974863"/>
      <w:bookmarkStart w:id="510" w:name="_Toc152042584"/>
      <w:bookmarkStart w:id="511" w:name="_Toc247527835"/>
    </w:p>
    <w:p w14:paraId="53D3C930">
      <w:pPr>
        <w:pStyle w:val="4"/>
        <w:spacing w:line="360" w:lineRule="auto"/>
        <w:jc w:val="center"/>
        <w:rPr>
          <w:rFonts w:ascii="宋体" w:hAnsi="宋体" w:eastAsia="宋体"/>
          <w:bCs w:val="0"/>
          <w:kern w:val="44"/>
          <w:sz w:val="28"/>
          <w:szCs w:val="28"/>
        </w:rPr>
      </w:pPr>
    </w:p>
    <w:p w14:paraId="3F522642">
      <w:pPr>
        <w:pStyle w:val="4"/>
        <w:spacing w:line="360" w:lineRule="auto"/>
        <w:jc w:val="center"/>
        <w:rPr>
          <w:rFonts w:ascii="宋体" w:hAnsi="宋体" w:eastAsia="宋体"/>
          <w:bCs w:val="0"/>
          <w:kern w:val="44"/>
          <w:sz w:val="28"/>
          <w:szCs w:val="28"/>
        </w:rPr>
      </w:pPr>
    </w:p>
    <w:p w14:paraId="53B9E4A9">
      <w:pPr>
        <w:pStyle w:val="4"/>
        <w:spacing w:line="360" w:lineRule="auto"/>
        <w:jc w:val="center"/>
        <w:rPr>
          <w:rFonts w:ascii="宋体" w:hAnsi="宋体" w:eastAsia="宋体"/>
          <w:bCs w:val="0"/>
          <w:kern w:val="44"/>
          <w:sz w:val="28"/>
          <w:szCs w:val="28"/>
        </w:rPr>
      </w:pPr>
      <w:r>
        <w:rPr>
          <w:rFonts w:hint="eastAsia" w:ascii="宋体" w:hAnsi="宋体" w:eastAsia="宋体"/>
          <w:bCs w:val="0"/>
          <w:kern w:val="44"/>
          <w:sz w:val="28"/>
          <w:szCs w:val="28"/>
        </w:rPr>
        <w:t>五、价格清单</w:t>
      </w:r>
      <w:bookmarkEnd w:id="506"/>
      <w:bookmarkEnd w:id="507"/>
      <w:bookmarkEnd w:id="508"/>
      <w:bookmarkEnd w:id="509"/>
      <w:bookmarkEnd w:id="510"/>
      <w:bookmarkEnd w:id="511"/>
    </w:p>
    <w:p w14:paraId="1E6A95DC">
      <w:pPr>
        <w:spacing w:line="360" w:lineRule="auto"/>
        <w:rPr>
          <w:rFonts w:hint="eastAsia" w:ascii="宋体" w:hAnsi="宋体"/>
          <w:sz w:val="24"/>
          <w:szCs w:val="21"/>
        </w:rPr>
        <w:sectPr>
          <w:pgSz w:w="11906" w:h="16838"/>
          <w:pgMar w:top="1417" w:right="1417" w:bottom="1417" w:left="1417" w:header="851" w:footer="850" w:gutter="0"/>
          <w:cols w:space="720" w:num="1"/>
          <w:docGrid w:type="lines" w:linePitch="312" w:charSpace="0"/>
        </w:sectPr>
      </w:pPr>
      <w:r>
        <w:rPr>
          <w:rFonts w:hint="eastAsia" w:ascii="宋体" w:hAnsi="宋体"/>
          <w:sz w:val="24"/>
        </w:rPr>
        <w:t>注：投标人应按照招标文件的要求和《四川省住房和城乡建设厅关于四川省房屋建筑和市政基础设施项目工程总承包合同计价的指导意见》的规定提交价格清单。</w:t>
      </w:r>
    </w:p>
    <w:p w14:paraId="71FFC1FE">
      <w:pPr>
        <w:pStyle w:val="4"/>
        <w:spacing w:line="360" w:lineRule="auto"/>
        <w:jc w:val="center"/>
        <w:rPr>
          <w:rFonts w:ascii="宋体" w:hAnsi="宋体" w:eastAsia="宋体"/>
          <w:bCs w:val="0"/>
          <w:kern w:val="44"/>
          <w:sz w:val="28"/>
          <w:szCs w:val="28"/>
        </w:rPr>
      </w:pPr>
      <w:bookmarkStart w:id="512" w:name="_Toc247527836"/>
      <w:bookmarkStart w:id="513" w:name="_Toc152045796"/>
      <w:bookmarkStart w:id="514" w:name="_Toc300835221"/>
      <w:bookmarkStart w:id="515" w:name="_Toc247514288"/>
      <w:bookmarkStart w:id="516" w:name="_Toc144974864"/>
      <w:bookmarkStart w:id="517" w:name="_Toc152042585"/>
      <w:r>
        <w:rPr>
          <w:rFonts w:hint="eastAsia" w:ascii="宋体" w:hAnsi="宋体" w:eastAsia="宋体"/>
          <w:bCs w:val="0"/>
          <w:kern w:val="44"/>
          <w:sz w:val="28"/>
          <w:szCs w:val="28"/>
        </w:rPr>
        <w:t>六、承包人建议书</w:t>
      </w:r>
      <w:bookmarkEnd w:id="512"/>
      <w:bookmarkEnd w:id="513"/>
      <w:bookmarkEnd w:id="514"/>
      <w:bookmarkEnd w:id="515"/>
      <w:bookmarkEnd w:id="516"/>
      <w:bookmarkEnd w:id="517"/>
    </w:p>
    <w:p w14:paraId="35DE3E45">
      <w:pPr>
        <w:spacing w:line="360" w:lineRule="auto"/>
        <w:rPr>
          <w:rFonts w:ascii="宋体" w:hAnsi="宋体" w:cs="宋体"/>
          <w:szCs w:val="21"/>
        </w:rPr>
      </w:pPr>
      <w:r>
        <w:rPr>
          <w:rFonts w:hint="eastAsia" w:ascii="宋体" w:hAnsi="宋体" w:cs="宋体"/>
          <w:szCs w:val="21"/>
        </w:rPr>
        <w:t>（一）图纸</w:t>
      </w:r>
    </w:p>
    <w:p w14:paraId="240A7EC0">
      <w:pPr>
        <w:spacing w:line="360" w:lineRule="auto"/>
        <w:rPr>
          <w:rFonts w:ascii="宋体" w:hAnsi="宋体" w:cs="宋体"/>
          <w:szCs w:val="21"/>
        </w:rPr>
      </w:pPr>
      <w:r>
        <w:rPr>
          <w:rFonts w:hint="eastAsia" w:ascii="宋体" w:hAnsi="宋体" w:cs="宋体"/>
          <w:szCs w:val="21"/>
        </w:rPr>
        <w:t>（二）工程详细说明</w:t>
      </w:r>
    </w:p>
    <w:p w14:paraId="7EF2C928">
      <w:pPr>
        <w:spacing w:line="360" w:lineRule="auto"/>
        <w:rPr>
          <w:rFonts w:ascii="宋体" w:hAnsi="宋体" w:cs="宋体"/>
          <w:szCs w:val="21"/>
        </w:rPr>
      </w:pPr>
      <w:r>
        <w:rPr>
          <w:rFonts w:hint="eastAsia" w:ascii="宋体" w:hAnsi="宋体" w:cs="宋体"/>
          <w:szCs w:val="21"/>
        </w:rPr>
        <w:t>（三）设备方案</w:t>
      </w:r>
    </w:p>
    <w:p w14:paraId="61B826A9">
      <w:pPr>
        <w:spacing w:line="360" w:lineRule="auto"/>
        <w:ind w:firstLine="420" w:firstLineChars="200"/>
        <w:rPr>
          <w:rFonts w:ascii="宋体" w:hAnsi="宋体" w:cs="宋体"/>
        </w:rPr>
      </w:pPr>
      <w:r>
        <w:rPr>
          <w:rFonts w:hint="eastAsia" w:ascii="宋体" w:hAnsi="宋体" w:cs="宋体"/>
        </w:rPr>
        <w:t>1．生产设备。</w:t>
      </w:r>
    </w:p>
    <w:p w14:paraId="08972061">
      <w:pPr>
        <w:spacing w:line="360" w:lineRule="auto"/>
        <w:ind w:firstLine="420" w:firstLineChars="200"/>
        <w:rPr>
          <w:rFonts w:ascii="宋体" w:hAnsi="宋体" w:cs="宋体"/>
        </w:rPr>
      </w:pPr>
      <w:r>
        <w:rPr>
          <w:rFonts w:hint="eastAsia" w:ascii="宋体" w:hAnsi="宋体" w:cs="宋体"/>
        </w:rPr>
        <w:t>2．必备的备品备件。</w:t>
      </w:r>
    </w:p>
    <w:p w14:paraId="029DBBDA">
      <w:pPr>
        <w:spacing w:line="360" w:lineRule="auto"/>
        <w:ind w:firstLine="420" w:firstLineChars="200"/>
        <w:rPr>
          <w:rFonts w:ascii="宋体" w:hAnsi="宋体" w:cs="宋体"/>
        </w:rPr>
      </w:pPr>
      <w:r>
        <w:rPr>
          <w:rFonts w:hint="eastAsia" w:ascii="宋体" w:hAnsi="宋体" w:cs="宋体"/>
        </w:rPr>
        <w:t>3. 备选的备品备件。</w:t>
      </w:r>
    </w:p>
    <w:p w14:paraId="7D16FF38">
      <w:pPr>
        <w:spacing w:line="360" w:lineRule="auto"/>
        <w:rPr>
          <w:rFonts w:ascii="宋体" w:hAnsi="宋体" w:cs="宋体"/>
          <w:szCs w:val="21"/>
        </w:rPr>
      </w:pPr>
      <w:r>
        <w:rPr>
          <w:rFonts w:hint="eastAsia" w:ascii="宋体" w:hAnsi="宋体" w:cs="宋体"/>
          <w:szCs w:val="21"/>
        </w:rPr>
        <w:t>（四）分包方案</w:t>
      </w:r>
    </w:p>
    <w:p w14:paraId="7652ECCD">
      <w:pPr>
        <w:spacing w:line="360" w:lineRule="auto"/>
        <w:rPr>
          <w:rFonts w:ascii="宋体" w:hAnsi="宋体" w:cs="宋体"/>
          <w:szCs w:val="21"/>
        </w:rPr>
      </w:pPr>
      <w:r>
        <w:rPr>
          <w:rFonts w:hint="eastAsia" w:ascii="宋体" w:hAnsi="宋体" w:cs="宋体"/>
          <w:szCs w:val="21"/>
        </w:rPr>
        <w:t>（五）对发包人要求错误的说明</w:t>
      </w:r>
    </w:p>
    <w:p w14:paraId="3D307D6F">
      <w:pPr>
        <w:spacing w:line="360" w:lineRule="auto"/>
        <w:rPr>
          <w:rFonts w:ascii="宋体" w:hAnsi="宋体" w:cs="宋体"/>
          <w:szCs w:val="21"/>
        </w:rPr>
      </w:pPr>
      <w:r>
        <w:rPr>
          <w:rFonts w:hint="eastAsia" w:ascii="宋体" w:hAnsi="宋体" w:cs="宋体"/>
          <w:szCs w:val="21"/>
        </w:rPr>
        <w:t>（六）其他</w:t>
      </w:r>
    </w:p>
    <w:p w14:paraId="61058549">
      <w:pPr>
        <w:spacing w:line="360" w:lineRule="auto"/>
      </w:pPr>
    </w:p>
    <w:p w14:paraId="3DCB687F">
      <w:pPr>
        <w:spacing w:line="360" w:lineRule="auto"/>
        <w:jc w:val="center"/>
      </w:pPr>
      <w:r>
        <w:rPr>
          <w:rFonts w:hint="eastAsia"/>
        </w:rPr>
        <w:t>说明：发包人认为承包人实施计划中的有关内容应列入承包人建议书的，应在本页载明。</w:t>
      </w:r>
      <w:r>
        <w:br w:type="page"/>
      </w:r>
    </w:p>
    <w:p w14:paraId="7D0C53A2">
      <w:pPr>
        <w:pStyle w:val="4"/>
        <w:spacing w:line="360" w:lineRule="auto"/>
        <w:jc w:val="center"/>
        <w:rPr>
          <w:rFonts w:ascii="宋体" w:hAnsi="宋体" w:eastAsia="宋体"/>
          <w:bCs w:val="0"/>
          <w:kern w:val="44"/>
          <w:sz w:val="28"/>
          <w:szCs w:val="28"/>
        </w:rPr>
      </w:pPr>
      <w:bookmarkStart w:id="518" w:name="_Toc300835222"/>
      <w:r>
        <w:rPr>
          <w:rFonts w:hint="eastAsia" w:ascii="宋体" w:hAnsi="宋体" w:eastAsia="宋体"/>
          <w:bCs w:val="0"/>
          <w:kern w:val="44"/>
          <w:sz w:val="28"/>
          <w:szCs w:val="28"/>
        </w:rPr>
        <w:t>七、承包人实施计划</w:t>
      </w:r>
      <w:bookmarkEnd w:id="518"/>
    </w:p>
    <w:p w14:paraId="7F7F27D5">
      <w:pPr>
        <w:spacing w:line="360" w:lineRule="auto"/>
        <w:rPr>
          <w:rFonts w:ascii="宋体" w:hAnsi="宋体" w:cs="宋体"/>
          <w:szCs w:val="21"/>
        </w:rPr>
      </w:pPr>
      <w:r>
        <w:rPr>
          <w:rFonts w:hint="eastAsia" w:ascii="宋体" w:hAnsi="宋体" w:cs="宋体"/>
          <w:szCs w:val="21"/>
        </w:rPr>
        <w:t>（一）概述</w:t>
      </w:r>
    </w:p>
    <w:p w14:paraId="0340B5CB">
      <w:pPr>
        <w:spacing w:line="360" w:lineRule="auto"/>
        <w:ind w:firstLine="420" w:firstLineChars="200"/>
        <w:rPr>
          <w:rFonts w:ascii="宋体" w:hAnsi="宋体" w:cs="宋体"/>
        </w:rPr>
      </w:pPr>
      <w:r>
        <w:rPr>
          <w:rFonts w:hint="eastAsia" w:ascii="宋体" w:hAnsi="宋体" w:cs="宋体"/>
        </w:rPr>
        <w:t>1. 项目简要介绍。</w:t>
      </w:r>
    </w:p>
    <w:p w14:paraId="6C875E56">
      <w:pPr>
        <w:spacing w:line="360" w:lineRule="auto"/>
        <w:ind w:firstLine="420" w:firstLineChars="200"/>
        <w:rPr>
          <w:rFonts w:ascii="宋体" w:hAnsi="宋体" w:cs="宋体"/>
        </w:rPr>
      </w:pPr>
      <w:r>
        <w:rPr>
          <w:rFonts w:hint="eastAsia" w:ascii="宋体" w:hAnsi="宋体" w:cs="宋体"/>
        </w:rPr>
        <w:t>2. 项目范围。</w:t>
      </w:r>
    </w:p>
    <w:p w14:paraId="46A8C87A">
      <w:pPr>
        <w:spacing w:line="360" w:lineRule="auto"/>
        <w:ind w:firstLine="420" w:firstLineChars="200"/>
        <w:rPr>
          <w:rFonts w:ascii="宋体" w:hAnsi="宋体" w:cs="宋体"/>
        </w:rPr>
      </w:pPr>
      <w:r>
        <w:rPr>
          <w:rFonts w:hint="eastAsia" w:ascii="宋体" w:hAnsi="宋体" w:cs="宋体"/>
        </w:rPr>
        <w:t>3. 项目特点。</w:t>
      </w:r>
    </w:p>
    <w:p w14:paraId="5B0902CE">
      <w:pPr>
        <w:spacing w:line="360" w:lineRule="auto"/>
        <w:rPr>
          <w:rFonts w:ascii="宋体" w:hAnsi="宋体" w:cs="宋体"/>
          <w:szCs w:val="21"/>
        </w:rPr>
      </w:pPr>
      <w:r>
        <w:rPr>
          <w:rFonts w:hint="eastAsia" w:ascii="宋体" w:hAnsi="宋体" w:cs="宋体"/>
          <w:szCs w:val="21"/>
        </w:rPr>
        <w:t>（二）总体实施方案</w:t>
      </w:r>
    </w:p>
    <w:p w14:paraId="5081C819">
      <w:pPr>
        <w:spacing w:line="360" w:lineRule="auto"/>
        <w:ind w:firstLine="420" w:firstLineChars="200"/>
        <w:rPr>
          <w:rFonts w:ascii="宋体" w:hAnsi="宋体" w:cs="宋体"/>
        </w:rPr>
      </w:pPr>
      <w:r>
        <w:rPr>
          <w:rFonts w:hint="eastAsia" w:ascii="宋体" w:hAnsi="宋体" w:cs="宋体"/>
        </w:rPr>
        <w:t>1. 项目目标（质量、工期、造价）。</w:t>
      </w:r>
    </w:p>
    <w:p w14:paraId="0C182632">
      <w:pPr>
        <w:spacing w:line="360" w:lineRule="auto"/>
        <w:ind w:firstLine="420" w:firstLineChars="200"/>
        <w:rPr>
          <w:rFonts w:ascii="宋体" w:hAnsi="宋体" w:cs="宋体"/>
        </w:rPr>
      </w:pPr>
      <w:r>
        <w:rPr>
          <w:rFonts w:hint="eastAsia" w:ascii="宋体" w:hAnsi="宋体" w:cs="宋体"/>
        </w:rPr>
        <w:t>2. 项目实施组织形式。</w:t>
      </w:r>
    </w:p>
    <w:p w14:paraId="664239A5">
      <w:pPr>
        <w:spacing w:line="360" w:lineRule="auto"/>
        <w:ind w:firstLine="420" w:firstLineChars="200"/>
        <w:rPr>
          <w:rFonts w:ascii="宋体" w:hAnsi="宋体" w:cs="宋体"/>
        </w:rPr>
      </w:pPr>
      <w:r>
        <w:rPr>
          <w:rFonts w:hint="eastAsia" w:ascii="宋体" w:hAnsi="宋体" w:cs="宋体"/>
        </w:rPr>
        <w:t>3. 项目阶段划分。</w:t>
      </w:r>
    </w:p>
    <w:p w14:paraId="6CEB83AC">
      <w:pPr>
        <w:spacing w:line="360" w:lineRule="auto"/>
        <w:ind w:firstLine="420" w:firstLineChars="200"/>
        <w:rPr>
          <w:rFonts w:ascii="宋体" w:hAnsi="宋体" w:cs="宋体"/>
        </w:rPr>
      </w:pPr>
      <w:r>
        <w:rPr>
          <w:rFonts w:hint="eastAsia" w:ascii="宋体" w:hAnsi="宋体" w:cs="宋体"/>
        </w:rPr>
        <w:t>4. 项目工作分解结构。</w:t>
      </w:r>
    </w:p>
    <w:p w14:paraId="37157E3E">
      <w:pPr>
        <w:spacing w:line="360" w:lineRule="auto"/>
        <w:ind w:firstLine="420" w:firstLineChars="200"/>
        <w:rPr>
          <w:rFonts w:ascii="宋体" w:hAnsi="宋体" w:cs="宋体"/>
        </w:rPr>
      </w:pPr>
      <w:r>
        <w:rPr>
          <w:rFonts w:hint="eastAsia" w:ascii="宋体" w:hAnsi="宋体" w:cs="宋体"/>
        </w:rPr>
        <w:t>5. 对项目各阶段工作及文件的要求。</w:t>
      </w:r>
    </w:p>
    <w:p w14:paraId="017A280C">
      <w:pPr>
        <w:spacing w:line="360" w:lineRule="auto"/>
        <w:ind w:firstLine="420" w:firstLineChars="200"/>
        <w:rPr>
          <w:rFonts w:ascii="宋体" w:hAnsi="宋体" w:cs="宋体"/>
        </w:rPr>
      </w:pPr>
      <w:r>
        <w:rPr>
          <w:rFonts w:hint="eastAsia" w:ascii="宋体" w:hAnsi="宋体" w:cs="宋体"/>
        </w:rPr>
        <w:t>6. 项目分包和采购计划。</w:t>
      </w:r>
    </w:p>
    <w:p w14:paraId="3A228501">
      <w:pPr>
        <w:spacing w:line="360" w:lineRule="auto"/>
        <w:ind w:firstLine="420" w:firstLineChars="200"/>
        <w:rPr>
          <w:rFonts w:ascii="宋体" w:hAnsi="宋体" w:cs="宋体"/>
        </w:rPr>
      </w:pPr>
      <w:r>
        <w:rPr>
          <w:rFonts w:hint="eastAsia" w:ascii="宋体" w:hAnsi="宋体" w:cs="宋体"/>
        </w:rPr>
        <w:t>7. 项目沟通与协调程序。</w:t>
      </w:r>
    </w:p>
    <w:p w14:paraId="0396BC2D">
      <w:pPr>
        <w:spacing w:line="360" w:lineRule="auto"/>
        <w:rPr>
          <w:rFonts w:ascii="宋体" w:hAnsi="宋体" w:cs="宋体"/>
          <w:szCs w:val="21"/>
        </w:rPr>
      </w:pPr>
      <w:r>
        <w:rPr>
          <w:rFonts w:hint="eastAsia" w:ascii="宋体" w:hAnsi="宋体" w:cs="宋体"/>
          <w:szCs w:val="21"/>
        </w:rPr>
        <w:t>（三）项目实施要点</w:t>
      </w:r>
    </w:p>
    <w:p w14:paraId="0AA2ED76">
      <w:pPr>
        <w:spacing w:line="360" w:lineRule="auto"/>
        <w:ind w:firstLine="420" w:firstLineChars="200"/>
        <w:rPr>
          <w:rFonts w:ascii="宋体" w:hAnsi="宋体" w:cs="宋体"/>
        </w:rPr>
      </w:pPr>
      <w:r>
        <w:rPr>
          <w:rFonts w:hint="eastAsia" w:ascii="宋体" w:hAnsi="宋体" w:cs="宋体"/>
        </w:rPr>
        <w:t>1. 设计实施要点。</w:t>
      </w:r>
    </w:p>
    <w:p w14:paraId="02EC139C">
      <w:pPr>
        <w:spacing w:line="360" w:lineRule="auto"/>
        <w:ind w:firstLine="420" w:firstLineChars="200"/>
        <w:rPr>
          <w:rFonts w:ascii="宋体" w:hAnsi="宋体" w:cs="宋体"/>
        </w:rPr>
      </w:pPr>
      <w:r>
        <w:rPr>
          <w:rFonts w:hint="eastAsia" w:ascii="宋体" w:hAnsi="宋体" w:cs="宋体"/>
        </w:rPr>
        <w:t>2. 采购实施要点。</w:t>
      </w:r>
    </w:p>
    <w:p w14:paraId="66579769">
      <w:pPr>
        <w:spacing w:line="360" w:lineRule="auto"/>
        <w:ind w:firstLine="420" w:firstLineChars="200"/>
        <w:rPr>
          <w:rFonts w:ascii="宋体" w:hAnsi="宋体" w:cs="宋体"/>
        </w:rPr>
      </w:pPr>
      <w:r>
        <w:rPr>
          <w:rFonts w:hint="eastAsia" w:ascii="宋体" w:hAnsi="宋体" w:cs="宋体"/>
        </w:rPr>
        <w:t>3. 施工实施要点。</w:t>
      </w:r>
    </w:p>
    <w:p w14:paraId="668742BC">
      <w:pPr>
        <w:spacing w:line="360" w:lineRule="auto"/>
        <w:ind w:firstLine="420" w:firstLineChars="200"/>
        <w:rPr>
          <w:rFonts w:ascii="宋体" w:hAnsi="宋体" w:cs="宋体"/>
        </w:rPr>
      </w:pPr>
      <w:r>
        <w:rPr>
          <w:rFonts w:hint="eastAsia" w:ascii="宋体" w:hAnsi="宋体" w:cs="宋体"/>
        </w:rPr>
        <w:t>4. 试运行实施要点。</w:t>
      </w:r>
    </w:p>
    <w:p w14:paraId="7275A9C4">
      <w:pPr>
        <w:spacing w:line="360" w:lineRule="auto"/>
        <w:rPr>
          <w:rFonts w:ascii="宋体" w:hAnsi="宋体" w:cs="宋体"/>
          <w:szCs w:val="21"/>
        </w:rPr>
      </w:pPr>
      <w:r>
        <w:rPr>
          <w:rFonts w:hint="eastAsia" w:ascii="宋体" w:hAnsi="宋体" w:cs="宋体"/>
          <w:szCs w:val="21"/>
        </w:rPr>
        <w:t>（四）项目管理要点</w:t>
      </w:r>
    </w:p>
    <w:p w14:paraId="59881FF3">
      <w:pPr>
        <w:spacing w:line="360" w:lineRule="auto"/>
        <w:ind w:firstLine="420" w:firstLineChars="200"/>
        <w:rPr>
          <w:rFonts w:ascii="宋体" w:hAnsi="宋体" w:cs="宋体"/>
        </w:rPr>
      </w:pPr>
      <w:r>
        <w:rPr>
          <w:rFonts w:hint="eastAsia" w:ascii="宋体" w:hAnsi="宋体" w:cs="宋体"/>
        </w:rPr>
        <w:t>1. 合同管理要点。</w:t>
      </w:r>
    </w:p>
    <w:p w14:paraId="12335A33">
      <w:pPr>
        <w:spacing w:line="360" w:lineRule="auto"/>
        <w:ind w:firstLine="420" w:firstLineChars="200"/>
        <w:rPr>
          <w:rFonts w:ascii="宋体" w:hAnsi="宋体" w:cs="宋体"/>
        </w:rPr>
      </w:pPr>
      <w:r>
        <w:rPr>
          <w:rFonts w:hint="eastAsia" w:ascii="宋体" w:hAnsi="宋体" w:cs="宋体"/>
        </w:rPr>
        <w:t>2. 资源管理要点。</w:t>
      </w:r>
    </w:p>
    <w:p w14:paraId="23F65DF5">
      <w:pPr>
        <w:spacing w:line="360" w:lineRule="auto"/>
        <w:ind w:firstLine="420" w:firstLineChars="200"/>
        <w:rPr>
          <w:rFonts w:ascii="宋体" w:hAnsi="宋体" w:cs="宋体"/>
        </w:rPr>
      </w:pPr>
      <w:r>
        <w:rPr>
          <w:rFonts w:hint="eastAsia" w:ascii="宋体" w:hAnsi="宋体" w:cs="宋体"/>
        </w:rPr>
        <w:t>3. 质量控制要点。</w:t>
      </w:r>
    </w:p>
    <w:p w14:paraId="4AAECAF9">
      <w:pPr>
        <w:spacing w:line="360" w:lineRule="auto"/>
        <w:ind w:firstLine="420" w:firstLineChars="200"/>
        <w:rPr>
          <w:rFonts w:ascii="宋体" w:hAnsi="宋体" w:cs="宋体"/>
        </w:rPr>
      </w:pPr>
      <w:r>
        <w:rPr>
          <w:rFonts w:hint="eastAsia" w:ascii="宋体" w:hAnsi="宋体" w:cs="宋体"/>
        </w:rPr>
        <w:t>4. 进度控制要点。</w:t>
      </w:r>
    </w:p>
    <w:p w14:paraId="5CC588AB">
      <w:pPr>
        <w:spacing w:line="360" w:lineRule="auto"/>
        <w:ind w:firstLine="420" w:firstLineChars="200"/>
        <w:rPr>
          <w:rFonts w:ascii="宋体" w:hAnsi="宋体" w:cs="宋体"/>
        </w:rPr>
      </w:pPr>
      <w:r>
        <w:rPr>
          <w:rFonts w:hint="eastAsia" w:ascii="宋体" w:hAnsi="宋体" w:cs="宋体"/>
        </w:rPr>
        <w:t>5. 费用估算及控制要点。</w:t>
      </w:r>
    </w:p>
    <w:p w14:paraId="70878E10">
      <w:pPr>
        <w:spacing w:line="360" w:lineRule="auto"/>
        <w:ind w:firstLine="420" w:firstLineChars="200"/>
        <w:rPr>
          <w:rFonts w:ascii="宋体" w:hAnsi="宋体" w:cs="宋体"/>
        </w:rPr>
      </w:pPr>
      <w:r>
        <w:rPr>
          <w:rFonts w:hint="eastAsia" w:ascii="宋体" w:hAnsi="宋体" w:cs="宋体"/>
        </w:rPr>
        <w:t>6. 安全管理要点。</w:t>
      </w:r>
    </w:p>
    <w:p w14:paraId="0B21F0DD">
      <w:pPr>
        <w:spacing w:line="360" w:lineRule="auto"/>
        <w:ind w:firstLine="420" w:firstLineChars="200"/>
        <w:rPr>
          <w:rFonts w:ascii="宋体" w:hAnsi="宋体" w:cs="宋体"/>
        </w:rPr>
      </w:pPr>
      <w:r>
        <w:rPr>
          <w:rFonts w:hint="eastAsia" w:ascii="宋体" w:hAnsi="宋体" w:cs="宋体"/>
        </w:rPr>
        <w:t>7. 职业健康管理要点。</w:t>
      </w:r>
    </w:p>
    <w:p w14:paraId="0B5A64DE">
      <w:pPr>
        <w:spacing w:line="360" w:lineRule="auto"/>
        <w:ind w:firstLine="420" w:firstLineChars="200"/>
        <w:rPr>
          <w:rFonts w:ascii="宋体" w:hAnsi="宋体" w:cs="宋体"/>
        </w:rPr>
      </w:pPr>
      <w:r>
        <w:rPr>
          <w:rFonts w:hint="eastAsia" w:ascii="宋体" w:hAnsi="宋体" w:cs="宋体"/>
        </w:rPr>
        <w:t>8．环境管理要点。</w:t>
      </w:r>
    </w:p>
    <w:p w14:paraId="59BD34EC">
      <w:pPr>
        <w:spacing w:line="360" w:lineRule="auto"/>
        <w:ind w:firstLine="420" w:firstLineChars="200"/>
        <w:rPr>
          <w:rFonts w:ascii="宋体" w:hAnsi="宋体" w:cs="宋体"/>
        </w:rPr>
      </w:pPr>
      <w:r>
        <w:rPr>
          <w:rFonts w:hint="eastAsia" w:ascii="宋体" w:hAnsi="宋体" w:cs="宋体"/>
        </w:rPr>
        <w:t>9. 沟通和协调管理要点。</w:t>
      </w:r>
    </w:p>
    <w:p w14:paraId="3B6A5E42">
      <w:pPr>
        <w:spacing w:line="360" w:lineRule="auto"/>
        <w:ind w:firstLine="420" w:firstLineChars="200"/>
        <w:rPr>
          <w:rFonts w:ascii="宋体" w:hAnsi="宋体" w:cs="宋体"/>
        </w:rPr>
      </w:pPr>
      <w:r>
        <w:rPr>
          <w:rFonts w:hint="eastAsia" w:ascii="宋体" w:hAnsi="宋体" w:cs="宋体"/>
        </w:rPr>
        <w:t>10. 财务管理要点。</w:t>
      </w:r>
    </w:p>
    <w:p w14:paraId="702DE55A">
      <w:pPr>
        <w:spacing w:line="360" w:lineRule="auto"/>
        <w:ind w:firstLine="420" w:firstLineChars="200"/>
        <w:rPr>
          <w:rFonts w:ascii="宋体" w:hAnsi="宋体" w:cs="宋体"/>
        </w:rPr>
      </w:pPr>
      <w:r>
        <w:rPr>
          <w:rFonts w:hint="eastAsia" w:ascii="宋体" w:hAnsi="宋体" w:cs="宋体"/>
        </w:rPr>
        <w:t>11. 风险管理要点。</w:t>
      </w:r>
    </w:p>
    <w:p w14:paraId="6D011153">
      <w:pPr>
        <w:spacing w:line="360" w:lineRule="auto"/>
        <w:ind w:firstLine="420" w:firstLineChars="200"/>
        <w:rPr>
          <w:rFonts w:ascii="宋体" w:hAnsi="宋体" w:cs="宋体"/>
        </w:rPr>
      </w:pPr>
      <w:r>
        <w:rPr>
          <w:rFonts w:hint="eastAsia" w:ascii="宋体" w:hAnsi="宋体" w:cs="宋体"/>
        </w:rPr>
        <w:t>12. 文件及信息管理要点。</w:t>
      </w:r>
    </w:p>
    <w:p w14:paraId="53C35F19">
      <w:pPr>
        <w:spacing w:line="360" w:lineRule="auto"/>
        <w:ind w:firstLine="420" w:firstLineChars="200"/>
        <w:rPr>
          <w:rFonts w:ascii="宋体" w:hAnsi="宋体" w:cs="宋体"/>
        </w:rPr>
      </w:pPr>
      <w:r>
        <w:rPr>
          <w:rFonts w:hint="eastAsia" w:ascii="宋体" w:hAnsi="宋体" w:cs="宋体"/>
        </w:rPr>
        <w:t>13. 报告制度。</w:t>
      </w:r>
    </w:p>
    <w:p w14:paraId="1C1B04D6">
      <w:pPr>
        <w:spacing w:line="360" w:lineRule="auto"/>
        <w:rPr>
          <w:rFonts w:ascii="宋体" w:hAnsi="宋体" w:cs="宋体"/>
        </w:rPr>
      </w:pPr>
    </w:p>
    <w:p w14:paraId="251E3C68">
      <w:pPr>
        <w:spacing w:line="360" w:lineRule="auto"/>
        <w:rPr>
          <w:rFonts w:ascii="宋体" w:hAnsi="宋体" w:cs="宋体"/>
        </w:rPr>
      </w:pPr>
      <w:r>
        <w:rPr>
          <w:rFonts w:hint="eastAsia" w:ascii="宋体" w:hAnsi="宋体" w:cs="宋体"/>
        </w:rPr>
        <w:t>说明：发包人认为上述内容应列入承包人建议书的，应在“投标文件格式”中“承包人建议书”中载明。</w:t>
      </w:r>
    </w:p>
    <w:p w14:paraId="28518CBD">
      <w:pPr>
        <w:spacing w:line="360" w:lineRule="auto"/>
      </w:pPr>
    </w:p>
    <w:p w14:paraId="01ABCCA3"/>
    <w:p w14:paraId="2C7310C2"/>
    <w:p w14:paraId="319A0A90"/>
    <w:p w14:paraId="2CAA6C6A"/>
    <w:p w14:paraId="3984C3BD"/>
    <w:p w14:paraId="4988E0CB"/>
    <w:p w14:paraId="462B6576"/>
    <w:p w14:paraId="7C64CB93"/>
    <w:p w14:paraId="5DE42720"/>
    <w:p w14:paraId="663EC709"/>
    <w:p w14:paraId="4165875C"/>
    <w:p w14:paraId="07A9E484"/>
    <w:p w14:paraId="28AB1B13"/>
    <w:p w14:paraId="0FC5692C"/>
    <w:p w14:paraId="5A994253">
      <w:bookmarkStart w:id="519" w:name="_Toc300835223"/>
    </w:p>
    <w:p w14:paraId="6C360A05"/>
    <w:p w14:paraId="3474D61C">
      <w:pPr>
        <w:pStyle w:val="4"/>
        <w:spacing w:line="360" w:lineRule="auto"/>
        <w:jc w:val="center"/>
        <w:rPr>
          <w:rFonts w:ascii="宋体" w:hAnsi="宋体" w:eastAsia="宋体" w:cs="宋体"/>
          <w:bCs w:val="0"/>
          <w:kern w:val="0"/>
          <w:sz w:val="24"/>
          <w:szCs w:val="24"/>
        </w:rPr>
      </w:pPr>
      <w:r>
        <w:rPr>
          <w:rFonts w:hint="eastAsia" w:ascii="宋体" w:hAnsi="宋体" w:eastAsia="宋体"/>
          <w:bCs w:val="0"/>
          <w:kern w:val="44"/>
          <w:sz w:val="28"/>
          <w:szCs w:val="28"/>
        </w:rPr>
        <w:br w:type="page"/>
      </w:r>
      <w:r>
        <w:rPr>
          <w:rFonts w:hint="eastAsia" w:ascii="宋体" w:hAnsi="宋体" w:eastAsia="宋体"/>
          <w:bCs w:val="0"/>
          <w:kern w:val="44"/>
          <w:sz w:val="28"/>
          <w:szCs w:val="28"/>
        </w:rPr>
        <w:t>八、</w:t>
      </w:r>
      <w:bookmarkStart w:id="520" w:name="_Toc152045807"/>
      <w:bookmarkStart w:id="521" w:name="_Toc247514299"/>
      <w:bookmarkStart w:id="522" w:name="_Toc247527847"/>
      <w:bookmarkStart w:id="523" w:name="_Toc152042596"/>
      <w:bookmarkStart w:id="524" w:name="_Toc144974875"/>
      <w:r>
        <w:rPr>
          <w:rFonts w:hint="eastAsia" w:ascii="宋体" w:hAnsi="宋体" w:eastAsia="宋体"/>
          <w:bCs w:val="0"/>
          <w:kern w:val="44"/>
          <w:sz w:val="28"/>
          <w:szCs w:val="28"/>
        </w:rPr>
        <w:t>资格审查资料</w:t>
      </w:r>
      <w:bookmarkEnd w:id="519"/>
      <w:bookmarkEnd w:id="520"/>
      <w:bookmarkEnd w:id="521"/>
      <w:bookmarkEnd w:id="522"/>
      <w:bookmarkEnd w:id="523"/>
      <w:bookmarkEnd w:id="524"/>
      <w:bookmarkStart w:id="525" w:name="_Toc152042597"/>
      <w:bookmarkStart w:id="526" w:name="_Toc247514300"/>
      <w:bookmarkStart w:id="527" w:name="_Toc247527848"/>
      <w:bookmarkStart w:id="528" w:name="_Toc144974876"/>
      <w:bookmarkStart w:id="529" w:name="_Toc300835224"/>
      <w:bookmarkStart w:id="530" w:name="_Toc152045808"/>
    </w:p>
    <w:p w14:paraId="74D3F0CB">
      <w:pPr>
        <w:widowControl/>
        <w:topLinePunct/>
        <w:spacing w:line="360" w:lineRule="auto"/>
        <w:jc w:val="left"/>
        <w:rPr>
          <w:rFonts w:ascii="宋体" w:hAnsi="宋体" w:cs="宋体"/>
          <w:kern w:val="0"/>
          <w:sz w:val="24"/>
        </w:rPr>
      </w:pPr>
    </w:p>
    <w:p w14:paraId="0926E732">
      <w:pPr>
        <w:widowControl/>
        <w:topLinePunct/>
        <w:spacing w:line="360" w:lineRule="auto"/>
        <w:jc w:val="left"/>
        <w:rPr>
          <w:rFonts w:ascii="宋体" w:hAnsi="宋体" w:cs="宋体"/>
          <w:kern w:val="0"/>
          <w:sz w:val="24"/>
        </w:rPr>
      </w:pPr>
    </w:p>
    <w:p w14:paraId="54FBBF20">
      <w:pPr>
        <w:widowControl/>
        <w:topLinePunct/>
        <w:spacing w:line="360" w:lineRule="auto"/>
        <w:jc w:val="left"/>
        <w:rPr>
          <w:rFonts w:ascii="宋体" w:hAnsi="宋体" w:cs="宋体"/>
          <w:kern w:val="0"/>
          <w:sz w:val="24"/>
        </w:rPr>
      </w:pPr>
    </w:p>
    <w:p w14:paraId="1D1AF524">
      <w:pPr>
        <w:widowControl/>
        <w:topLinePunct/>
        <w:spacing w:line="360" w:lineRule="auto"/>
        <w:jc w:val="left"/>
        <w:rPr>
          <w:rFonts w:ascii="宋体" w:hAnsi="宋体" w:cs="宋体"/>
          <w:kern w:val="0"/>
          <w:sz w:val="24"/>
        </w:rPr>
      </w:pPr>
    </w:p>
    <w:p w14:paraId="353BD94A">
      <w:pPr>
        <w:widowControl/>
        <w:topLinePunct/>
        <w:spacing w:line="360" w:lineRule="auto"/>
        <w:jc w:val="left"/>
        <w:rPr>
          <w:rFonts w:ascii="宋体" w:hAnsi="宋体" w:cs="宋体"/>
          <w:kern w:val="0"/>
          <w:sz w:val="24"/>
        </w:rPr>
      </w:pPr>
    </w:p>
    <w:p w14:paraId="7AB04182">
      <w:pPr>
        <w:widowControl/>
        <w:topLinePunct/>
        <w:spacing w:line="360" w:lineRule="auto"/>
        <w:jc w:val="left"/>
        <w:rPr>
          <w:rFonts w:ascii="宋体" w:hAnsi="宋体" w:cs="宋体"/>
          <w:kern w:val="0"/>
          <w:sz w:val="24"/>
        </w:rPr>
      </w:pPr>
    </w:p>
    <w:p w14:paraId="226A4F0C">
      <w:pPr>
        <w:widowControl/>
        <w:topLinePunct/>
        <w:spacing w:line="360" w:lineRule="auto"/>
        <w:jc w:val="left"/>
        <w:rPr>
          <w:rFonts w:ascii="宋体" w:hAnsi="宋体" w:cs="宋体"/>
          <w:kern w:val="0"/>
          <w:sz w:val="24"/>
        </w:rPr>
      </w:pPr>
    </w:p>
    <w:p w14:paraId="7DD81910">
      <w:pPr>
        <w:widowControl/>
        <w:topLinePunct/>
        <w:spacing w:line="360" w:lineRule="auto"/>
        <w:jc w:val="left"/>
        <w:rPr>
          <w:rFonts w:ascii="宋体" w:hAnsi="宋体" w:cs="宋体"/>
          <w:kern w:val="0"/>
          <w:sz w:val="24"/>
        </w:rPr>
      </w:pPr>
    </w:p>
    <w:p w14:paraId="755B1500">
      <w:pPr>
        <w:widowControl/>
        <w:topLinePunct/>
        <w:spacing w:line="360" w:lineRule="auto"/>
        <w:jc w:val="left"/>
        <w:rPr>
          <w:rFonts w:ascii="宋体" w:hAnsi="宋体" w:cs="宋体"/>
          <w:kern w:val="0"/>
          <w:sz w:val="24"/>
        </w:rPr>
      </w:pPr>
    </w:p>
    <w:p w14:paraId="6EB0D872">
      <w:pPr>
        <w:widowControl/>
        <w:topLinePunct/>
        <w:spacing w:line="360" w:lineRule="auto"/>
        <w:jc w:val="left"/>
        <w:rPr>
          <w:rFonts w:ascii="宋体" w:hAnsi="宋体" w:cs="宋体"/>
          <w:kern w:val="0"/>
          <w:sz w:val="24"/>
        </w:rPr>
      </w:pPr>
    </w:p>
    <w:p w14:paraId="44680B04">
      <w:pPr>
        <w:widowControl/>
        <w:topLinePunct/>
        <w:spacing w:line="360" w:lineRule="auto"/>
        <w:jc w:val="left"/>
        <w:rPr>
          <w:rFonts w:ascii="宋体" w:hAnsi="宋体" w:cs="宋体"/>
          <w:kern w:val="0"/>
          <w:sz w:val="24"/>
        </w:rPr>
      </w:pPr>
    </w:p>
    <w:p w14:paraId="7B762410">
      <w:pPr>
        <w:widowControl/>
        <w:topLinePunct/>
        <w:spacing w:line="360" w:lineRule="auto"/>
        <w:jc w:val="left"/>
        <w:rPr>
          <w:rFonts w:ascii="宋体" w:hAnsi="宋体" w:cs="宋体"/>
          <w:kern w:val="0"/>
          <w:sz w:val="24"/>
        </w:rPr>
      </w:pPr>
    </w:p>
    <w:p w14:paraId="25C6B911">
      <w:pPr>
        <w:widowControl/>
        <w:topLinePunct/>
        <w:spacing w:line="360" w:lineRule="auto"/>
        <w:jc w:val="left"/>
        <w:rPr>
          <w:rFonts w:ascii="宋体" w:hAnsi="宋体" w:cs="宋体"/>
          <w:kern w:val="0"/>
          <w:sz w:val="24"/>
        </w:rPr>
      </w:pPr>
    </w:p>
    <w:p w14:paraId="226A5E51">
      <w:pPr>
        <w:widowControl/>
        <w:topLinePunct/>
        <w:spacing w:line="360" w:lineRule="auto"/>
        <w:jc w:val="left"/>
        <w:rPr>
          <w:rFonts w:ascii="宋体" w:hAnsi="宋体" w:cs="宋体"/>
          <w:kern w:val="0"/>
          <w:sz w:val="24"/>
        </w:rPr>
      </w:pPr>
    </w:p>
    <w:p w14:paraId="3F118C8C">
      <w:pPr>
        <w:widowControl/>
        <w:topLinePunct/>
        <w:spacing w:line="360" w:lineRule="auto"/>
        <w:jc w:val="left"/>
        <w:rPr>
          <w:rFonts w:ascii="宋体" w:hAnsi="宋体" w:cs="宋体"/>
          <w:kern w:val="0"/>
          <w:sz w:val="24"/>
        </w:rPr>
      </w:pPr>
    </w:p>
    <w:p w14:paraId="1E0F23F7">
      <w:pPr>
        <w:widowControl/>
        <w:topLinePunct/>
        <w:spacing w:line="360" w:lineRule="auto"/>
        <w:jc w:val="left"/>
        <w:rPr>
          <w:rFonts w:ascii="宋体" w:hAnsi="宋体" w:cs="宋体"/>
          <w:kern w:val="0"/>
          <w:sz w:val="24"/>
        </w:rPr>
      </w:pPr>
    </w:p>
    <w:p w14:paraId="692CA6DA">
      <w:pPr>
        <w:widowControl/>
        <w:topLinePunct/>
        <w:spacing w:line="360" w:lineRule="auto"/>
        <w:jc w:val="left"/>
        <w:rPr>
          <w:rFonts w:ascii="宋体" w:hAnsi="宋体" w:cs="宋体"/>
          <w:kern w:val="0"/>
          <w:sz w:val="24"/>
        </w:rPr>
      </w:pPr>
    </w:p>
    <w:p w14:paraId="48C0F318">
      <w:pPr>
        <w:widowControl/>
        <w:topLinePunct/>
        <w:spacing w:line="360" w:lineRule="auto"/>
        <w:jc w:val="left"/>
        <w:rPr>
          <w:rFonts w:ascii="宋体" w:hAnsi="宋体" w:cs="宋体"/>
          <w:kern w:val="0"/>
          <w:sz w:val="24"/>
        </w:rPr>
      </w:pPr>
    </w:p>
    <w:p w14:paraId="7EAFA8F6">
      <w:pPr>
        <w:widowControl/>
        <w:topLinePunct/>
        <w:spacing w:line="360" w:lineRule="auto"/>
        <w:jc w:val="left"/>
        <w:rPr>
          <w:rFonts w:ascii="宋体" w:hAnsi="宋体" w:cs="宋体"/>
          <w:kern w:val="0"/>
          <w:sz w:val="24"/>
        </w:rPr>
      </w:pPr>
    </w:p>
    <w:p w14:paraId="7B909FB1">
      <w:pPr>
        <w:widowControl/>
        <w:topLinePunct/>
        <w:spacing w:line="360" w:lineRule="auto"/>
        <w:jc w:val="left"/>
        <w:rPr>
          <w:rFonts w:ascii="宋体" w:hAnsi="宋体" w:cs="宋体"/>
          <w:kern w:val="0"/>
          <w:sz w:val="24"/>
        </w:rPr>
      </w:pPr>
    </w:p>
    <w:p w14:paraId="1D02603C">
      <w:pPr>
        <w:widowControl/>
        <w:topLinePunct/>
        <w:spacing w:line="360" w:lineRule="auto"/>
        <w:jc w:val="left"/>
        <w:rPr>
          <w:rFonts w:ascii="宋体" w:hAnsi="宋体" w:cs="宋体"/>
          <w:kern w:val="0"/>
          <w:sz w:val="24"/>
        </w:rPr>
      </w:pPr>
    </w:p>
    <w:p w14:paraId="18051956">
      <w:pPr>
        <w:widowControl/>
        <w:topLinePunct/>
        <w:spacing w:line="360" w:lineRule="auto"/>
        <w:jc w:val="left"/>
        <w:rPr>
          <w:rFonts w:ascii="宋体" w:hAnsi="宋体" w:cs="宋体"/>
          <w:kern w:val="0"/>
          <w:sz w:val="24"/>
        </w:rPr>
      </w:pPr>
    </w:p>
    <w:p w14:paraId="3C34B894">
      <w:pPr>
        <w:widowControl/>
        <w:topLinePunct/>
        <w:spacing w:line="360" w:lineRule="auto"/>
        <w:jc w:val="left"/>
        <w:rPr>
          <w:rFonts w:ascii="宋体" w:hAnsi="宋体" w:cs="宋体"/>
          <w:kern w:val="0"/>
          <w:sz w:val="24"/>
        </w:rPr>
      </w:pPr>
    </w:p>
    <w:p w14:paraId="4C55ECFB">
      <w:pPr>
        <w:widowControl/>
        <w:topLinePunct/>
        <w:spacing w:line="360" w:lineRule="auto"/>
        <w:jc w:val="center"/>
        <w:rPr>
          <w:rStyle w:val="32"/>
        </w:rPr>
      </w:pPr>
      <w:r>
        <w:rPr>
          <w:rFonts w:hint="eastAsia" w:ascii="宋体" w:hAnsi="宋体" w:cs="宋体"/>
          <w:kern w:val="0"/>
          <w:sz w:val="24"/>
        </w:rPr>
        <w:t>注：新成立企业不满足招标人年度要求的，投标人只提供成立后相应年度的资料。</w:t>
      </w:r>
      <w:r>
        <w:rPr>
          <w:rFonts w:hint="eastAsia" w:ascii="宋体" w:hAnsi="宋体" w:cs="宋体"/>
          <w:kern w:val="0"/>
          <w:sz w:val="24"/>
        </w:rPr>
        <w:br w:type="page"/>
      </w:r>
      <w:r>
        <w:rPr>
          <w:rStyle w:val="32"/>
          <w:rFonts w:hint="eastAsia"/>
        </w:rPr>
        <w:t>（一）投标人基本情况表</w:t>
      </w:r>
      <w:bookmarkEnd w:id="525"/>
      <w:bookmarkEnd w:id="526"/>
      <w:bookmarkEnd w:id="527"/>
      <w:bookmarkEnd w:id="528"/>
      <w:bookmarkEnd w:id="529"/>
      <w:bookmarkEnd w:id="530"/>
    </w:p>
    <w:tbl>
      <w:tblPr>
        <w:tblStyle w:val="2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63945A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728" w:type="dxa"/>
            <w:tcBorders>
              <w:top w:val="single" w:color="auto" w:sz="4" w:space="0"/>
              <w:left w:val="single" w:color="auto" w:sz="4" w:space="0"/>
              <w:bottom w:val="single" w:color="auto" w:sz="4" w:space="0"/>
              <w:right w:val="single" w:color="auto" w:sz="4" w:space="0"/>
            </w:tcBorders>
            <w:vAlign w:val="center"/>
          </w:tcPr>
          <w:p w14:paraId="74269ACC">
            <w:pPr>
              <w:topLinePunct/>
              <w:spacing w:line="360" w:lineRule="auto"/>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14:paraId="76499A73">
            <w:pPr>
              <w:topLinePunct/>
              <w:spacing w:line="360" w:lineRule="auto"/>
              <w:jc w:val="center"/>
              <w:rPr>
                <w:szCs w:val="21"/>
              </w:rPr>
            </w:pPr>
          </w:p>
        </w:tc>
      </w:tr>
      <w:tr w14:paraId="21B8B5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1728" w:type="dxa"/>
            <w:tcBorders>
              <w:top w:val="single" w:color="auto" w:sz="4" w:space="0"/>
              <w:left w:val="single" w:color="auto" w:sz="4" w:space="0"/>
              <w:bottom w:val="single" w:color="auto" w:sz="4" w:space="0"/>
              <w:right w:val="single" w:color="auto" w:sz="4" w:space="0"/>
            </w:tcBorders>
            <w:vAlign w:val="center"/>
          </w:tcPr>
          <w:p w14:paraId="7C046C8F">
            <w:pPr>
              <w:topLinePunct/>
              <w:spacing w:line="360" w:lineRule="auto"/>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14:paraId="08E008CC">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6F85FB33">
            <w:pPr>
              <w:topLinePunct/>
              <w:spacing w:line="360" w:lineRule="auto"/>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1275B053">
            <w:pPr>
              <w:topLinePunct/>
              <w:spacing w:line="360" w:lineRule="auto"/>
              <w:jc w:val="center"/>
              <w:rPr>
                <w:szCs w:val="21"/>
              </w:rPr>
            </w:pPr>
          </w:p>
        </w:tc>
      </w:tr>
      <w:tr w14:paraId="00EFF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14:paraId="42C20FF1">
            <w:pPr>
              <w:topLinePunct/>
              <w:spacing w:line="360" w:lineRule="auto"/>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14:paraId="2C7CF0CF">
            <w:pPr>
              <w:topLinePunct/>
              <w:spacing w:line="360" w:lineRule="auto"/>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14:paraId="0672BCD9">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093A1389">
            <w:pPr>
              <w:topLinePunct/>
              <w:spacing w:line="360" w:lineRule="auto"/>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1454185F">
            <w:pPr>
              <w:topLinePunct/>
              <w:spacing w:line="360" w:lineRule="auto"/>
              <w:jc w:val="center"/>
              <w:rPr>
                <w:szCs w:val="21"/>
              </w:rPr>
            </w:pPr>
          </w:p>
        </w:tc>
      </w:tr>
      <w:tr w14:paraId="17088E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14:paraId="356156C6">
            <w:pPr>
              <w:topLinePunct/>
              <w:spacing w:line="360" w:lineRule="auto"/>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14:paraId="417BF1C0">
            <w:pPr>
              <w:topLinePunct/>
              <w:spacing w:line="360" w:lineRule="auto"/>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14:paraId="4BC5820D">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369B7558">
            <w:pPr>
              <w:topLinePunct/>
              <w:spacing w:line="360" w:lineRule="auto"/>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5CEC22E9">
            <w:pPr>
              <w:topLinePunct/>
              <w:spacing w:line="360" w:lineRule="auto"/>
              <w:jc w:val="center"/>
              <w:rPr>
                <w:szCs w:val="21"/>
              </w:rPr>
            </w:pPr>
          </w:p>
        </w:tc>
      </w:tr>
      <w:tr w14:paraId="5316C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1728" w:type="dxa"/>
            <w:tcBorders>
              <w:top w:val="single" w:color="auto" w:sz="4" w:space="0"/>
              <w:left w:val="single" w:color="auto" w:sz="4" w:space="0"/>
              <w:bottom w:val="single" w:color="auto" w:sz="4" w:space="0"/>
              <w:right w:val="single" w:color="auto" w:sz="4" w:space="0"/>
            </w:tcBorders>
            <w:vAlign w:val="center"/>
          </w:tcPr>
          <w:p w14:paraId="4C4F93D7">
            <w:pPr>
              <w:topLinePunct/>
              <w:spacing w:line="360" w:lineRule="auto"/>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14:paraId="5ABFF6DA">
            <w:pPr>
              <w:topLinePunct/>
              <w:spacing w:line="360" w:lineRule="auto"/>
              <w:jc w:val="center"/>
              <w:rPr>
                <w:szCs w:val="21"/>
              </w:rPr>
            </w:pPr>
          </w:p>
        </w:tc>
      </w:tr>
      <w:tr w14:paraId="23C3DD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8" w:type="dxa"/>
            <w:tcBorders>
              <w:top w:val="single" w:color="auto" w:sz="4" w:space="0"/>
              <w:left w:val="single" w:color="auto" w:sz="4" w:space="0"/>
              <w:bottom w:val="single" w:color="auto" w:sz="4" w:space="0"/>
              <w:right w:val="single" w:color="auto" w:sz="4" w:space="0"/>
            </w:tcBorders>
            <w:vAlign w:val="center"/>
          </w:tcPr>
          <w:p w14:paraId="187E1E66">
            <w:pPr>
              <w:topLinePunct/>
              <w:spacing w:line="360" w:lineRule="auto"/>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14:paraId="6F984F96">
            <w:pPr>
              <w:topLinePunct/>
              <w:spacing w:line="360" w:lineRule="auto"/>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14:paraId="35D4E7D5">
            <w:pPr>
              <w:topLinePunct/>
              <w:spacing w:line="360" w:lineRule="auto"/>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04E3761">
            <w:pPr>
              <w:topLinePunct/>
              <w:spacing w:line="360" w:lineRule="auto"/>
              <w:jc w:val="center"/>
              <w:rPr>
                <w:szCs w:val="21"/>
              </w:rPr>
            </w:pPr>
            <w:r>
              <w:rPr>
                <w:rFonts w:hint="eastAsia"/>
                <w:szCs w:val="21"/>
              </w:rPr>
              <w:t>专业</w:t>
            </w: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14:paraId="297081A3">
            <w:pPr>
              <w:topLinePunct/>
              <w:spacing w:line="360" w:lineRule="auto"/>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14:paraId="1033D816">
            <w:pPr>
              <w:topLinePunct/>
              <w:spacing w:line="360" w:lineRule="auto"/>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7BC16AFA">
            <w:pPr>
              <w:topLinePunct/>
              <w:spacing w:line="360" w:lineRule="auto"/>
              <w:jc w:val="center"/>
              <w:rPr>
                <w:szCs w:val="21"/>
              </w:rPr>
            </w:pPr>
          </w:p>
        </w:tc>
      </w:tr>
      <w:tr w14:paraId="0FAFD3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728" w:type="dxa"/>
            <w:tcBorders>
              <w:top w:val="single" w:color="auto" w:sz="4" w:space="0"/>
              <w:left w:val="single" w:color="auto" w:sz="4" w:space="0"/>
              <w:bottom w:val="single" w:color="auto" w:sz="4" w:space="0"/>
              <w:right w:val="single" w:color="auto" w:sz="4" w:space="0"/>
            </w:tcBorders>
            <w:vAlign w:val="center"/>
          </w:tcPr>
          <w:p w14:paraId="05561164">
            <w:pPr>
              <w:topLinePunct/>
              <w:spacing w:line="360" w:lineRule="auto"/>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14:paraId="067D8A37">
            <w:pPr>
              <w:topLinePunct/>
              <w:spacing w:line="360" w:lineRule="auto"/>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14:paraId="2D34ECE7">
            <w:pPr>
              <w:topLinePunct/>
              <w:spacing w:line="360" w:lineRule="auto"/>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0AF40B63">
            <w:pPr>
              <w:topLinePunct/>
              <w:spacing w:line="360" w:lineRule="auto"/>
              <w:jc w:val="center"/>
              <w:rPr>
                <w:szCs w:val="21"/>
              </w:rPr>
            </w:pPr>
            <w:r>
              <w:rPr>
                <w:rFonts w:hint="eastAsia"/>
                <w:szCs w:val="21"/>
              </w:rPr>
              <w:t>专业</w:t>
            </w: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14:paraId="56B4D1E1">
            <w:pPr>
              <w:topLinePunct/>
              <w:spacing w:line="360" w:lineRule="auto"/>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14:paraId="541CC587">
            <w:pPr>
              <w:topLinePunct/>
              <w:spacing w:line="360" w:lineRule="auto"/>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39B110F9">
            <w:pPr>
              <w:topLinePunct/>
              <w:spacing w:line="360" w:lineRule="auto"/>
              <w:jc w:val="center"/>
              <w:rPr>
                <w:szCs w:val="21"/>
              </w:rPr>
            </w:pPr>
          </w:p>
        </w:tc>
      </w:tr>
      <w:tr w14:paraId="601C76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1728" w:type="dxa"/>
            <w:tcBorders>
              <w:top w:val="single" w:color="auto" w:sz="4" w:space="0"/>
              <w:left w:val="single" w:color="auto" w:sz="4" w:space="0"/>
              <w:bottom w:val="single" w:color="auto" w:sz="4" w:space="0"/>
              <w:right w:val="single" w:color="auto" w:sz="4" w:space="0"/>
            </w:tcBorders>
            <w:vAlign w:val="center"/>
          </w:tcPr>
          <w:p w14:paraId="26F0ABD5">
            <w:pPr>
              <w:topLinePunct/>
              <w:spacing w:line="360" w:lineRule="auto"/>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17C80A6F">
            <w:pPr>
              <w:topLinePunct/>
              <w:spacing w:line="360" w:lineRule="auto"/>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14:paraId="53E84CF0">
            <w:pPr>
              <w:topLinePunct/>
              <w:spacing w:line="360" w:lineRule="auto"/>
              <w:ind w:firstLine="105" w:firstLineChars="50"/>
              <w:jc w:val="center"/>
              <w:rPr>
                <w:szCs w:val="21"/>
              </w:rPr>
            </w:pPr>
            <w:r>
              <w:rPr>
                <w:szCs w:val="21"/>
              </w:rPr>
              <w:t>员工总人数：</w:t>
            </w:r>
          </w:p>
        </w:tc>
      </w:tr>
      <w:tr w14:paraId="533179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14:paraId="3CC83215">
            <w:pPr>
              <w:topLinePunct/>
              <w:spacing w:line="360" w:lineRule="auto"/>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088E8B5C">
            <w:pPr>
              <w:topLinePunct/>
              <w:spacing w:line="360" w:lineRule="auto"/>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14:paraId="48DB03ED">
            <w:pPr>
              <w:topLinePunct/>
              <w:spacing w:line="360" w:lineRule="auto"/>
              <w:jc w:val="center"/>
              <w:rPr>
                <w:szCs w:val="21"/>
              </w:rPr>
            </w:pPr>
            <w:r>
              <w:rPr>
                <w:szCs w:val="21"/>
              </w:rPr>
              <w:t>其中</w:t>
            </w:r>
          </w:p>
        </w:tc>
        <w:tc>
          <w:tcPr>
            <w:tcW w:w="2299" w:type="dxa"/>
            <w:gridSpan w:val="4"/>
            <w:vMerge w:val="restart"/>
            <w:tcBorders>
              <w:top w:val="single" w:color="auto" w:sz="4" w:space="0"/>
              <w:left w:val="single" w:color="auto" w:sz="4" w:space="0"/>
              <w:right w:val="single" w:color="auto" w:sz="4" w:space="0"/>
            </w:tcBorders>
            <w:vAlign w:val="center"/>
          </w:tcPr>
          <w:p w14:paraId="73BDDFEA">
            <w:pPr>
              <w:topLinePunct/>
              <w:spacing w:line="360" w:lineRule="auto"/>
              <w:jc w:val="center"/>
              <w:rPr>
                <w:szCs w:val="21"/>
              </w:rPr>
            </w:pPr>
            <w:r>
              <w:rPr>
                <w:szCs w:val="21"/>
              </w:rPr>
              <w:t>高级</w:t>
            </w:r>
            <w:r>
              <w:rPr>
                <w:rFonts w:hint="eastAsia"/>
                <w:szCs w:val="21"/>
              </w:rPr>
              <w:t>专业</w:t>
            </w:r>
            <w:r>
              <w:rPr>
                <w:szCs w:val="21"/>
              </w:rPr>
              <w:t>技术职称</w:t>
            </w:r>
          </w:p>
          <w:p w14:paraId="1311E6CA">
            <w:pPr>
              <w:topLinePunct/>
              <w:spacing w:line="360" w:lineRule="auto"/>
              <w:jc w:val="center"/>
              <w:rPr>
                <w:szCs w:val="21"/>
              </w:rPr>
            </w:pPr>
            <w:r>
              <w:rPr>
                <w:szCs w:val="21"/>
              </w:rPr>
              <w:t>人员</w:t>
            </w:r>
          </w:p>
        </w:tc>
        <w:tc>
          <w:tcPr>
            <w:tcW w:w="1852" w:type="dxa"/>
            <w:gridSpan w:val="2"/>
            <w:vMerge w:val="restart"/>
            <w:tcBorders>
              <w:top w:val="single" w:color="auto" w:sz="4" w:space="0"/>
              <w:left w:val="single" w:color="auto" w:sz="4" w:space="0"/>
              <w:right w:val="single" w:color="auto" w:sz="4" w:space="0"/>
            </w:tcBorders>
            <w:vAlign w:val="center"/>
          </w:tcPr>
          <w:p w14:paraId="03382C50">
            <w:pPr>
              <w:topLinePunct/>
              <w:spacing w:line="360" w:lineRule="auto"/>
              <w:jc w:val="center"/>
              <w:rPr>
                <w:szCs w:val="21"/>
              </w:rPr>
            </w:pPr>
          </w:p>
        </w:tc>
      </w:tr>
      <w:tr w14:paraId="4FD79C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3" w:hRule="atLeast"/>
        </w:trPr>
        <w:tc>
          <w:tcPr>
            <w:tcW w:w="1728" w:type="dxa"/>
            <w:tcBorders>
              <w:top w:val="single" w:color="auto" w:sz="4" w:space="0"/>
              <w:left w:val="single" w:color="auto" w:sz="4" w:space="0"/>
              <w:bottom w:val="single" w:color="auto" w:sz="4" w:space="0"/>
              <w:right w:val="single" w:color="auto" w:sz="4" w:space="0"/>
            </w:tcBorders>
            <w:vAlign w:val="center"/>
          </w:tcPr>
          <w:p w14:paraId="0F76A6FA">
            <w:pPr>
              <w:topLinePunct/>
              <w:spacing w:line="360" w:lineRule="auto"/>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684C0094">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79983A6A">
            <w:pPr>
              <w:topLinePunct/>
              <w:spacing w:line="360" w:lineRule="auto"/>
              <w:jc w:val="center"/>
              <w:rPr>
                <w:szCs w:val="21"/>
              </w:rPr>
            </w:pPr>
          </w:p>
        </w:tc>
        <w:tc>
          <w:tcPr>
            <w:tcW w:w="2299" w:type="dxa"/>
            <w:gridSpan w:val="4"/>
            <w:vMerge w:val="continue"/>
            <w:tcBorders>
              <w:left w:val="single" w:color="auto" w:sz="4" w:space="0"/>
              <w:bottom w:val="single" w:color="auto" w:sz="4" w:space="0"/>
              <w:right w:val="single" w:color="auto" w:sz="4" w:space="0"/>
            </w:tcBorders>
            <w:vAlign w:val="center"/>
          </w:tcPr>
          <w:p w14:paraId="4C29F880">
            <w:pPr>
              <w:topLinePunct/>
              <w:spacing w:line="360" w:lineRule="auto"/>
              <w:jc w:val="center"/>
              <w:rPr>
                <w:szCs w:val="21"/>
              </w:rPr>
            </w:pPr>
          </w:p>
        </w:tc>
        <w:tc>
          <w:tcPr>
            <w:tcW w:w="1852" w:type="dxa"/>
            <w:gridSpan w:val="2"/>
            <w:vMerge w:val="continue"/>
            <w:tcBorders>
              <w:left w:val="single" w:color="auto" w:sz="4" w:space="0"/>
              <w:bottom w:val="single" w:color="auto" w:sz="4" w:space="0"/>
              <w:right w:val="single" w:color="auto" w:sz="4" w:space="0"/>
            </w:tcBorders>
            <w:vAlign w:val="center"/>
          </w:tcPr>
          <w:p w14:paraId="43183F20">
            <w:pPr>
              <w:topLinePunct/>
              <w:spacing w:line="360" w:lineRule="auto"/>
              <w:jc w:val="center"/>
              <w:rPr>
                <w:szCs w:val="21"/>
              </w:rPr>
            </w:pPr>
          </w:p>
        </w:tc>
      </w:tr>
      <w:tr w14:paraId="536B8D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3" w:hRule="atLeast"/>
        </w:trPr>
        <w:tc>
          <w:tcPr>
            <w:tcW w:w="1728" w:type="dxa"/>
            <w:tcBorders>
              <w:top w:val="single" w:color="auto" w:sz="4" w:space="0"/>
              <w:left w:val="single" w:color="auto" w:sz="4" w:space="0"/>
              <w:bottom w:val="single" w:color="auto" w:sz="4" w:space="0"/>
              <w:right w:val="single" w:color="auto" w:sz="4" w:space="0"/>
            </w:tcBorders>
            <w:vAlign w:val="center"/>
          </w:tcPr>
          <w:p w14:paraId="36406E72">
            <w:pPr>
              <w:topLinePunct/>
              <w:spacing w:line="360" w:lineRule="auto"/>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16DAFBF5">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1FA65954">
            <w:pPr>
              <w:topLinePunct/>
              <w:spacing w:line="360" w:lineRule="auto"/>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14:paraId="5CB3B973">
            <w:pPr>
              <w:topLinePunct/>
              <w:spacing w:line="360" w:lineRule="auto"/>
              <w:jc w:val="center"/>
              <w:rPr>
                <w:szCs w:val="21"/>
              </w:rPr>
            </w:pPr>
            <w:r>
              <w:rPr>
                <w:szCs w:val="21"/>
              </w:rPr>
              <w:t>中级</w:t>
            </w:r>
            <w:r>
              <w:rPr>
                <w:rFonts w:hint="eastAsia"/>
                <w:szCs w:val="21"/>
              </w:rPr>
              <w:t>专业</w:t>
            </w:r>
            <w:r>
              <w:rPr>
                <w:szCs w:val="21"/>
              </w:rPr>
              <w:t>技术职称</w:t>
            </w:r>
          </w:p>
          <w:p w14:paraId="67B8D77F">
            <w:pPr>
              <w:topLinePunct/>
              <w:spacing w:line="360" w:lineRule="auto"/>
              <w:jc w:val="center"/>
              <w:rPr>
                <w:szCs w:val="21"/>
              </w:rPr>
            </w:pPr>
            <w:r>
              <w:rPr>
                <w:szCs w:val="21"/>
              </w:rPr>
              <w:t>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1168E9D5">
            <w:pPr>
              <w:topLinePunct/>
              <w:spacing w:line="360" w:lineRule="auto"/>
              <w:jc w:val="center"/>
              <w:rPr>
                <w:szCs w:val="21"/>
              </w:rPr>
            </w:pPr>
          </w:p>
        </w:tc>
      </w:tr>
      <w:tr w14:paraId="2B5B9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21" w:hRule="atLeast"/>
        </w:trPr>
        <w:tc>
          <w:tcPr>
            <w:tcW w:w="1728" w:type="dxa"/>
            <w:tcBorders>
              <w:top w:val="single" w:color="auto" w:sz="4" w:space="0"/>
              <w:left w:val="single" w:color="auto" w:sz="4" w:space="0"/>
              <w:bottom w:val="single" w:color="auto" w:sz="4" w:space="0"/>
              <w:right w:val="single" w:color="auto" w:sz="4" w:space="0"/>
            </w:tcBorders>
            <w:vAlign w:val="center"/>
          </w:tcPr>
          <w:p w14:paraId="1000CFC9">
            <w:pPr>
              <w:topLinePunct/>
              <w:spacing w:line="360" w:lineRule="auto"/>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66318AE5">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51469484">
            <w:pPr>
              <w:topLinePunct/>
              <w:spacing w:line="360" w:lineRule="auto"/>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14:paraId="4CCA6B5D">
            <w:pPr>
              <w:topLinePunct/>
              <w:spacing w:line="360" w:lineRule="auto"/>
              <w:jc w:val="center"/>
              <w:rPr>
                <w:szCs w:val="21"/>
              </w:rPr>
            </w:pPr>
            <w:r>
              <w:rPr>
                <w:szCs w:val="21"/>
              </w:rPr>
              <w:t>初级</w:t>
            </w:r>
            <w:r>
              <w:rPr>
                <w:rFonts w:hint="eastAsia"/>
                <w:szCs w:val="21"/>
              </w:rPr>
              <w:t>专业</w:t>
            </w:r>
            <w:r>
              <w:rPr>
                <w:szCs w:val="21"/>
              </w:rPr>
              <w:t>技术职称</w:t>
            </w:r>
          </w:p>
          <w:p w14:paraId="1384911F">
            <w:pPr>
              <w:topLinePunct/>
              <w:spacing w:line="360" w:lineRule="auto"/>
              <w:jc w:val="center"/>
              <w:rPr>
                <w:szCs w:val="21"/>
              </w:rPr>
            </w:pPr>
            <w:r>
              <w:rPr>
                <w:szCs w:val="21"/>
              </w:rPr>
              <w:t>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6F8D414B">
            <w:pPr>
              <w:topLinePunct/>
              <w:spacing w:line="360" w:lineRule="auto"/>
              <w:jc w:val="center"/>
              <w:rPr>
                <w:szCs w:val="21"/>
              </w:rPr>
            </w:pPr>
          </w:p>
        </w:tc>
      </w:tr>
      <w:tr w14:paraId="217B43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trPr>
        <w:tc>
          <w:tcPr>
            <w:tcW w:w="1728" w:type="dxa"/>
            <w:tcBorders>
              <w:top w:val="single" w:color="auto" w:sz="4" w:space="0"/>
              <w:left w:val="single" w:color="auto" w:sz="4" w:space="0"/>
              <w:bottom w:val="single" w:color="auto" w:sz="4" w:space="0"/>
              <w:right w:val="single" w:color="auto" w:sz="4" w:space="0"/>
            </w:tcBorders>
            <w:vAlign w:val="center"/>
          </w:tcPr>
          <w:p w14:paraId="4FD2A039">
            <w:pPr>
              <w:topLinePunct/>
              <w:spacing w:line="360" w:lineRule="auto"/>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14:paraId="35CDE138">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34CCF7DD">
            <w:pPr>
              <w:topLinePunct/>
              <w:spacing w:line="360" w:lineRule="auto"/>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14:paraId="7735D585">
            <w:pPr>
              <w:topLinePunct/>
              <w:spacing w:line="360" w:lineRule="auto"/>
              <w:jc w:val="center"/>
            </w:pPr>
            <w:r>
              <w:rPr>
                <w:szCs w:val="21"/>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222BC64B">
            <w:pPr>
              <w:topLinePunct/>
              <w:spacing w:line="360" w:lineRule="auto"/>
              <w:jc w:val="center"/>
              <w:rPr>
                <w:szCs w:val="21"/>
              </w:rPr>
            </w:pPr>
          </w:p>
        </w:tc>
      </w:tr>
      <w:tr w14:paraId="2D4716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8" w:type="dxa"/>
            <w:tcBorders>
              <w:top w:val="single" w:color="auto" w:sz="4" w:space="0"/>
              <w:left w:val="single" w:color="auto" w:sz="4" w:space="0"/>
              <w:right w:val="single" w:color="auto" w:sz="4" w:space="0"/>
            </w:tcBorders>
            <w:vAlign w:val="center"/>
          </w:tcPr>
          <w:p w14:paraId="1D2D3E5D">
            <w:pPr>
              <w:topLinePunct/>
              <w:spacing w:line="360" w:lineRule="auto"/>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14:paraId="45E349AE">
            <w:pPr>
              <w:topLinePunct/>
              <w:spacing w:line="360" w:lineRule="auto"/>
              <w:rPr>
                <w:szCs w:val="21"/>
              </w:rPr>
            </w:pPr>
          </w:p>
        </w:tc>
      </w:tr>
      <w:tr w14:paraId="6FFD98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8" w:type="dxa"/>
            <w:tcBorders>
              <w:top w:val="single" w:color="auto" w:sz="4" w:space="0"/>
              <w:left w:val="single" w:color="auto" w:sz="4" w:space="0"/>
              <w:right w:val="single" w:color="auto" w:sz="4" w:space="0"/>
            </w:tcBorders>
            <w:vAlign w:val="center"/>
          </w:tcPr>
          <w:p w14:paraId="325EDF52">
            <w:pPr>
              <w:topLinePunct/>
              <w:spacing w:line="360" w:lineRule="auto"/>
              <w:jc w:val="center"/>
              <w:rPr>
                <w:szCs w:val="21"/>
              </w:rPr>
            </w:pPr>
            <w:r>
              <w:rPr>
                <w:rFonts w:hint="eastAsia"/>
                <w:szCs w:val="21"/>
              </w:rPr>
              <w:t>与投标人法定代表人为同一人的单位</w:t>
            </w:r>
          </w:p>
        </w:tc>
        <w:tc>
          <w:tcPr>
            <w:tcW w:w="6840" w:type="dxa"/>
            <w:gridSpan w:val="9"/>
            <w:tcBorders>
              <w:top w:val="single" w:color="auto" w:sz="4" w:space="0"/>
              <w:left w:val="single" w:color="auto" w:sz="4" w:space="0"/>
              <w:right w:val="single" w:color="auto" w:sz="4" w:space="0"/>
            </w:tcBorders>
            <w:vAlign w:val="center"/>
          </w:tcPr>
          <w:p w14:paraId="12A160B6">
            <w:pPr>
              <w:topLinePunct/>
              <w:spacing w:line="360" w:lineRule="auto"/>
              <w:rPr>
                <w:szCs w:val="21"/>
              </w:rPr>
            </w:pPr>
          </w:p>
        </w:tc>
      </w:tr>
      <w:tr w14:paraId="5A1070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8" w:type="dxa"/>
            <w:tcBorders>
              <w:top w:val="single" w:color="auto" w:sz="4" w:space="0"/>
              <w:left w:val="single" w:color="auto" w:sz="4" w:space="0"/>
              <w:right w:val="single" w:color="auto" w:sz="4" w:space="0"/>
            </w:tcBorders>
            <w:vAlign w:val="center"/>
          </w:tcPr>
          <w:p w14:paraId="613D1248">
            <w:pPr>
              <w:topLinePunct/>
              <w:spacing w:line="360" w:lineRule="auto"/>
              <w:jc w:val="center"/>
              <w:rPr>
                <w:szCs w:val="21"/>
              </w:rPr>
            </w:pPr>
            <w:r>
              <w:rPr>
                <w:rFonts w:hint="eastAsia"/>
                <w:szCs w:val="21"/>
              </w:rPr>
              <w:t>与投标人存在控股关系的单位</w:t>
            </w:r>
          </w:p>
        </w:tc>
        <w:tc>
          <w:tcPr>
            <w:tcW w:w="6840" w:type="dxa"/>
            <w:gridSpan w:val="9"/>
            <w:tcBorders>
              <w:top w:val="single" w:color="auto" w:sz="4" w:space="0"/>
              <w:left w:val="single" w:color="auto" w:sz="4" w:space="0"/>
              <w:right w:val="single" w:color="auto" w:sz="4" w:space="0"/>
            </w:tcBorders>
            <w:vAlign w:val="center"/>
          </w:tcPr>
          <w:p w14:paraId="46C85D41">
            <w:pPr>
              <w:topLinePunct/>
              <w:spacing w:line="360" w:lineRule="auto"/>
              <w:rPr>
                <w:szCs w:val="21"/>
              </w:rPr>
            </w:pPr>
          </w:p>
        </w:tc>
      </w:tr>
      <w:tr w14:paraId="772CA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8" w:type="dxa"/>
            <w:tcBorders>
              <w:top w:val="single" w:color="auto" w:sz="4" w:space="0"/>
              <w:left w:val="single" w:color="auto" w:sz="4" w:space="0"/>
              <w:right w:val="single" w:color="auto" w:sz="4" w:space="0"/>
            </w:tcBorders>
            <w:vAlign w:val="center"/>
          </w:tcPr>
          <w:p w14:paraId="066068BB">
            <w:pPr>
              <w:topLinePunct/>
              <w:spacing w:line="360" w:lineRule="auto"/>
              <w:jc w:val="center"/>
              <w:rPr>
                <w:szCs w:val="21"/>
              </w:rPr>
            </w:pPr>
            <w:r>
              <w:rPr>
                <w:rFonts w:hint="eastAsia"/>
                <w:szCs w:val="21"/>
              </w:rPr>
              <w:t>与投标人存在管理关系的单位</w:t>
            </w:r>
          </w:p>
        </w:tc>
        <w:tc>
          <w:tcPr>
            <w:tcW w:w="6840" w:type="dxa"/>
            <w:gridSpan w:val="9"/>
            <w:tcBorders>
              <w:top w:val="single" w:color="auto" w:sz="4" w:space="0"/>
              <w:left w:val="single" w:color="auto" w:sz="4" w:space="0"/>
              <w:right w:val="single" w:color="auto" w:sz="4" w:space="0"/>
            </w:tcBorders>
            <w:vAlign w:val="center"/>
          </w:tcPr>
          <w:p w14:paraId="0AEE322A">
            <w:pPr>
              <w:topLinePunct/>
              <w:spacing w:line="360" w:lineRule="auto"/>
              <w:rPr>
                <w:szCs w:val="21"/>
              </w:rPr>
            </w:pPr>
          </w:p>
        </w:tc>
      </w:tr>
      <w:tr w14:paraId="4F43D8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28" w:type="dxa"/>
            <w:tcBorders>
              <w:top w:val="single" w:color="auto" w:sz="4" w:space="0"/>
              <w:left w:val="single" w:color="auto" w:sz="4" w:space="0"/>
              <w:bottom w:val="single" w:color="auto" w:sz="4" w:space="0"/>
              <w:right w:val="single" w:color="auto" w:sz="4" w:space="0"/>
            </w:tcBorders>
            <w:vAlign w:val="center"/>
          </w:tcPr>
          <w:p w14:paraId="2501EFB7">
            <w:pPr>
              <w:topLinePunct/>
              <w:spacing w:line="360" w:lineRule="auto"/>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14:paraId="3AAB5420">
            <w:pPr>
              <w:topLinePunct/>
              <w:spacing w:line="360" w:lineRule="auto"/>
              <w:rPr>
                <w:szCs w:val="21"/>
              </w:rPr>
            </w:pPr>
          </w:p>
        </w:tc>
      </w:tr>
    </w:tbl>
    <w:p w14:paraId="3C6EC084">
      <w:pPr>
        <w:topLinePunct/>
        <w:spacing w:line="360" w:lineRule="auto"/>
        <w:rPr>
          <w:rFonts w:ascii="宋体" w:hAnsi="宋体" w:cs="宋体"/>
          <w:kern w:val="0"/>
          <w:sz w:val="24"/>
        </w:rPr>
      </w:pPr>
      <w:r>
        <w:rPr>
          <w:rFonts w:hint="eastAsia" w:ascii="宋体" w:hAnsi="宋体" w:cs="宋体"/>
          <w:kern w:val="0"/>
          <w:sz w:val="24"/>
        </w:rPr>
        <w:t>注：投标人应根据投标人须知第 3.5.1 项的要求在本表后附相关证明材料扫描件。</w:t>
      </w:r>
    </w:p>
    <w:p w14:paraId="1B5FAA13">
      <w:pPr>
        <w:widowControl/>
        <w:topLinePunct/>
        <w:spacing w:line="360" w:lineRule="auto"/>
        <w:rPr>
          <w:rStyle w:val="32"/>
        </w:rPr>
      </w:pPr>
      <w:bookmarkStart w:id="531" w:name="_Toc17730_WPSOffice_Level1"/>
      <w:r>
        <w:rPr>
          <w:rFonts w:hint="eastAsia" w:ascii="宋体" w:hAnsi="宋体" w:cs="宋体"/>
          <w:b/>
        </w:rPr>
        <w:br w:type="page"/>
      </w:r>
      <w:bookmarkEnd w:id="531"/>
      <w:r>
        <w:rPr>
          <w:rFonts w:hint="eastAsia" w:ascii="宋体" w:hAnsi="宋体" w:cs="宋体"/>
          <w:b/>
        </w:rPr>
        <w:t xml:space="preserve">               </w:t>
      </w:r>
      <w:r>
        <w:rPr>
          <w:rStyle w:val="32"/>
          <w:rFonts w:hint="eastAsia"/>
        </w:rPr>
        <w:t>（一）投标人基本情况表（成员单位）</w:t>
      </w:r>
    </w:p>
    <w:tbl>
      <w:tblPr>
        <w:tblStyle w:val="2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9"/>
        <w:gridCol w:w="914"/>
        <w:gridCol w:w="734"/>
        <w:gridCol w:w="840"/>
        <w:gridCol w:w="662"/>
        <w:gridCol w:w="69"/>
        <w:gridCol w:w="1078"/>
        <w:gridCol w:w="421"/>
        <w:gridCol w:w="929"/>
        <w:gridCol w:w="992"/>
      </w:tblGrid>
      <w:tr w14:paraId="41209F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929" w:type="dxa"/>
            <w:tcBorders>
              <w:top w:val="single" w:color="auto" w:sz="4" w:space="0"/>
              <w:left w:val="single" w:color="auto" w:sz="4" w:space="0"/>
              <w:bottom w:val="single" w:color="auto" w:sz="4" w:space="0"/>
              <w:right w:val="single" w:color="auto" w:sz="4" w:space="0"/>
            </w:tcBorders>
            <w:vAlign w:val="center"/>
          </w:tcPr>
          <w:p w14:paraId="414D651C">
            <w:pPr>
              <w:topLinePunct/>
              <w:spacing w:line="360" w:lineRule="auto"/>
              <w:jc w:val="center"/>
              <w:rPr>
                <w:szCs w:val="21"/>
              </w:rPr>
            </w:pPr>
            <w:r>
              <w:rPr>
                <w:rFonts w:hint="eastAsia"/>
                <w:szCs w:val="21"/>
              </w:rPr>
              <w:t>联合体成员</w:t>
            </w:r>
            <w:r>
              <w:rPr>
                <w:szCs w:val="21"/>
              </w:rPr>
              <w:t>名称</w:t>
            </w:r>
          </w:p>
        </w:tc>
        <w:tc>
          <w:tcPr>
            <w:tcW w:w="6639" w:type="dxa"/>
            <w:gridSpan w:val="9"/>
            <w:tcBorders>
              <w:top w:val="single" w:color="auto" w:sz="4" w:space="0"/>
              <w:left w:val="single" w:color="auto" w:sz="4" w:space="0"/>
              <w:bottom w:val="single" w:color="auto" w:sz="4" w:space="0"/>
              <w:right w:val="single" w:color="auto" w:sz="4" w:space="0"/>
            </w:tcBorders>
            <w:vAlign w:val="center"/>
          </w:tcPr>
          <w:p w14:paraId="71D22CAF">
            <w:pPr>
              <w:topLinePunct/>
              <w:spacing w:line="360" w:lineRule="auto"/>
              <w:jc w:val="center"/>
              <w:rPr>
                <w:szCs w:val="21"/>
              </w:rPr>
            </w:pPr>
          </w:p>
        </w:tc>
      </w:tr>
      <w:tr w14:paraId="41C098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1929" w:type="dxa"/>
            <w:tcBorders>
              <w:top w:val="single" w:color="auto" w:sz="4" w:space="0"/>
              <w:left w:val="single" w:color="auto" w:sz="4" w:space="0"/>
              <w:bottom w:val="single" w:color="auto" w:sz="4" w:space="0"/>
              <w:right w:val="single" w:color="auto" w:sz="4" w:space="0"/>
            </w:tcBorders>
            <w:vAlign w:val="center"/>
          </w:tcPr>
          <w:p w14:paraId="69D0B42B">
            <w:pPr>
              <w:topLinePunct/>
              <w:spacing w:line="360" w:lineRule="auto"/>
              <w:jc w:val="center"/>
              <w:rPr>
                <w:szCs w:val="21"/>
              </w:rPr>
            </w:pPr>
            <w:r>
              <w:rPr>
                <w:szCs w:val="21"/>
              </w:rPr>
              <w:t>注册地址</w:t>
            </w:r>
          </w:p>
        </w:tc>
        <w:tc>
          <w:tcPr>
            <w:tcW w:w="3219" w:type="dxa"/>
            <w:gridSpan w:val="5"/>
            <w:tcBorders>
              <w:top w:val="single" w:color="auto" w:sz="4" w:space="0"/>
              <w:left w:val="single" w:color="auto" w:sz="4" w:space="0"/>
              <w:bottom w:val="single" w:color="auto" w:sz="4" w:space="0"/>
              <w:right w:val="single" w:color="auto" w:sz="4" w:space="0"/>
            </w:tcBorders>
            <w:vAlign w:val="center"/>
          </w:tcPr>
          <w:p w14:paraId="0C0DF961">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621BF561">
            <w:pPr>
              <w:topLinePunct/>
              <w:spacing w:line="360" w:lineRule="auto"/>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0778E88A">
            <w:pPr>
              <w:topLinePunct/>
              <w:spacing w:line="360" w:lineRule="auto"/>
              <w:jc w:val="center"/>
              <w:rPr>
                <w:szCs w:val="21"/>
              </w:rPr>
            </w:pPr>
          </w:p>
        </w:tc>
      </w:tr>
      <w:tr w14:paraId="17BFEB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929" w:type="dxa"/>
            <w:vMerge w:val="restart"/>
            <w:tcBorders>
              <w:top w:val="single" w:color="auto" w:sz="4" w:space="0"/>
              <w:left w:val="single" w:color="auto" w:sz="4" w:space="0"/>
              <w:bottom w:val="single" w:color="auto" w:sz="4" w:space="0"/>
              <w:right w:val="single" w:color="auto" w:sz="4" w:space="0"/>
            </w:tcBorders>
            <w:vAlign w:val="center"/>
          </w:tcPr>
          <w:p w14:paraId="45127143">
            <w:pPr>
              <w:topLinePunct/>
              <w:spacing w:line="360" w:lineRule="auto"/>
              <w:jc w:val="center"/>
              <w:rPr>
                <w:szCs w:val="21"/>
              </w:rPr>
            </w:pPr>
            <w:r>
              <w:rPr>
                <w:szCs w:val="21"/>
              </w:rPr>
              <w:t>联系方式</w:t>
            </w:r>
          </w:p>
        </w:tc>
        <w:tc>
          <w:tcPr>
            <w:tcW w:w="914" w:type="dxa"/>
            <w:tcBorders>
              <w:top w:val="single" w:color="auto" w:sz="4" w:space="0"/>
              <w:left w:val="single" w:color="auto" w:sz="4" w:space="0"/>
              <w:bottom w:val="single" w:color="auto" w:sz="4" w:space="0"/>
              <w:right w:val="single" w:color="auto" w:sz="4" w:space="0"/>
            </w:tcBorders>
            <w:vAlign w:val="center"/>
          </w:tcPr>
          <w:p w14:paraId="07D1739E">
            <w:pPr>
              <w:topLinePunct/>
              <w:spacing w:line="360" w:lineRule="auto"/>
              <w:jc w:val="center"/>
              <w:rPr>
                <w:szCs w:val="21"/>
              </w:rPr>
            </w:pPr>
            <w:r>
              <w:rPr>
                <w:szCs w:val="21"/>
              </w:rPr>
              <w:t>联系人</w:t>
            </w:r>
          </w:p>
        </w:tc>
        <w:tc>
          <w:tcPr>
            <w:tcW w:w="2305" w:type="dxa"/>
            <w:gridSpan w:val="4"/>
            <w:tcBorders>
              <w:top w:val="single" w:color="auto" w:sz="4" w:space="0"/>
              <w:left w:val="single" w:color="auto" w:sz="4" w:space="0"/>
              <w:bottom w:val="single" w:color="auto" w:sz="4" w:space="0"/>
              <w:right w:val="single" w:color="auto" w:sz="4" w:space="0"/>
            </w:tcBorders>
            <w:vAlign w:val="center"/>
          </w:tcPr>
          <w:p w14:paraId="35CE59AC">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0E32CB08">
            <w:pPr>
              <w:topLinePunct/>
              <w:spacing w:line="360" w:lineRule="auto"/>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5A813B2C">
            <w:pPr>
              <w:topLinePunct/>
              <w:spacing w:line="360" w:lineRule="auto"/>
              <w:jc w:val="center"/>
              <w:rPr>
                <w:szCs w:val="21"/>
              </w:rPr>
            </w:pPr>
          </w:p>
        </w:tc>
      </w:tr>
      <w:tr w14:paraId="363228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929" w:type="dxa"/>
            <w:vMerge w:val="continue"/>
            <w:tcBorders>
              <w:top w:val="single" w:color="auto" w:sz="4" w:space="0"/>
              <w:left w:val="single" w:color="auto" w:sz="4" w:space="0"/>
              <w:bottom w:val="single" w:color="auto" w:sz="4" w:space="0"/>
              <w:right w:val="single" w:color="auto" w:sz="4" w:space="0"/>
            </w:tcBorders>
            <w:vAlign w:val="center"/>
          </w:tcPr>
          <w:p w14:paraId="125F1688">
            <w:pPr>
              <w:topLinePunct/>
              <w:spacing w:line="360" w:lineRule="auto"/>
              <w:jc w:val="center"/>
              <w:rPr>
                <w:szCs w:val="21"/>
              </w:rPr>
            </w:pPr>
          </w:p>
        </w:tc>
        <w:tc>
          <w:tcPr>
            <w:tcW w:w="914" w:type="dxa"/>
            <w:tcBorders>
              <w:top w:val="single" w:color="auto" w:sz="4" w:space="0"/>
              <w:left w:val="single" w:color="auto" w:sz="4" w:space="0"/>
              <w:bottom w:val="single" w:color="auto" w:sz="4" w:space="0"/>
              <w:right w:val="single" w:color="auto" w:sz="4" w:space="0"/>
            </w:tcBorders>
            <w:vAlign w:val="center"/>
          </w:tcPr>
          <w:p w14:paraId="503AEB0D">
            <w:pPr>
              <w:topLinePunct/>
              <w:spacing w:line="360" w:lineRule="auto"/>
              <w:jc w:val="center"/>
              <w:rPr>
                <w:szCs w:val="21"/>
              </w:rPr>
            </w:pPr>
            <w:r>
              <w:rPr>
                <w:szCs w:val="21"/>
              </w:rPr>
              <w:t>传  真</w:t>
            </w:r>
          </w:p>
        </w:tc>
        <w:tc>
          <w:tcPr>
            <w:tcW w:w="2305" w:type="dxa"/>
            <w:gridSpan w:val="4"/>
            <w:tcBorders>
              <w:top w:val="single" w:color="auto" w:sz="4" w:space="0"/>
              <w:left w:val="single" w:color="auto" w:sz="4" w:space="0"/>
              <w:bottom w:val="single" w:color="auto" w:sz="4" w:space="0"/>
              <w:right w:val="single" w:color="auto" w:sz="4" w:space="0"/>
            </w:tcBorders>
            <w:vAlign w:val="center"/>
          </w:tcPr>
          <w:p w14:paraId="07E5ED81">
            <w:pPr>
              <w:topLinePunct/>
              <w:spacing w:line="360" w:lineRule="auto"/>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14:paraId="115F9952">
            <w:pPr>
              <w:topLinePunct/>
              <w:spacing w:line="360" w:lineRule="auto"/>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14:paraId="136AB111">
            <w:pPr>
              <w:topLinePunct/>
              <w:spacing w:line="360" w:lineRule="auto"/>
              <w:jc w:val="center"/>
              <w:rPr>
                <w:szCs w:val="21"/>
              </w:rPr>
            </w:pPr>
          </w:p>
        </w:tc>
      </w:tr>
      <w:tr w14:paraId="0D533C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1929" w:type="dxa"/>
            <w:tcBorders>
              <w:top w:val="single" w:color="auto" w:sz="4" w:space="0"/>
              <w:left w:val="single" w:color="auto" w:sz="4" w:space="0"/>
              <w:bottom w:val="single" w:color="auto" w:sz="4" w:space="0"/>
              <w:right w:val="single" w:color="auto" w:sz="4" w:space="0"/>
            </w:tcBorders>
            <w:vAlign w:val="center"/>
          </w:tcPr>
          <w:p w14:paraId="0DF52276">
            <w:pPr>
              <w:topLinePunct/>
              <w:spacing w:line="360" w:lineRule="auto"/>
              <w:jc w:val="center"/>
              <w:rPr>
                <w:szCs w:val="21"/>
              </w:rPr>
            </w:pPr>
            <w:r>
              <w:rPr>
                <w:szCs w:val="21"/>
              </w:rPr>
              <w:t>组织结构</w:t>
            </w:r>
          </w:p>
        </w:tc>
        <w:tc>
          <w:tcPr>
            <w:tcW w:w="6639" w:type="dxa"/>
            <w:gridSpan w:val="9"/>
            <w:tcBorders>
              <w:top w:val="single" w:color="auto" w:sz="4" w:space="0"/>
              <w:left w:val="single" w:color="auto" w:sz="4" w:space="0"/>
              <w:bottom w:val="single" w:color="auto" w:sz="4" w:space="0"/>
              <w:right w:val="single" w:color="auto" w:sz="4" w:space="0"/>
            </w:tcBorders>
            <w:vAlign w:val="center"/>
          </w:tcPr>
          <w:p w14:paraId="42A5B74B">
            <w:pPr>
              <w:topLinePunct/>
              <w:spacing w:line="360" w:lineRule="auto"/>
              <w:jc w:val="center"/>
              <w:rPr>
                <w:szCs w:val="21"/>
              </w:rPr>
            </w:pPr>
          </w:p>
        </w:tc>
      </w:tr>
      <w:tr w14:paraId="695B95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929" w:type="dxa"/>
            <w:tcBorders>
              <w:top w:val="single" w:color="auto" w:sz="4" w:space="0"/>
              <w:left w:val="single" w:color="auto" w:sz="4" w:space="0"/>
              <w:bottom w:val="single" w:color="auto" w:sz="4" w:space="0"/>
              <w:right w:val="single" w:color="auto" w:sz="4" w:space="0"/>
            </w:tcBorders>
            <w:vAlign w:val="center"/>
          </w:tcPr>
          <w:p w14:paraId="2F80759E">
            <w:pPr>
              <w:topLinePunct/>
              <w:spacing w:line="360" w:lineRule="auto"/>
              <w:jc w:val="center"/>
              <w:rPr>
                <w:szCs w:val="21"/>
              </w:rPr>
            </w:pPr>
            <w:r>
              <w:rPr>
                <w:szCs w:val="21"/>
              </w:rPr>
              <w:t>法定代表人</w:t>
            </w:r>
          </w:p>
        </w:tc>
        <w:tc>
          <w:tcPr>
            <w:tcW w:w="914" w:type="dxa"/>
            <w:tcBorders>
              <w:top w:val="single" w:color="auto" w:sz="4" w:space="0"/>
              <w:left w:val="single" w:color="auto" w:sz="4" w:space="0"/>
              <w:bottom w:val="single" w:color="auto" w:sz="4" w:space="0"/>
              <w:right w:val="single" w:color="auto" w:sz="4" w:space="0"/>
            </w:tcBorders>
            <w:vAlign w:val="center"/>
          </w:tcPr>
          <w:p w14:paraId="5A92FAF0">
            <w:pPr>
              <w:topLinePunct/>
              <w:spacing w:line="360" w:lineRule="auto"/>
              <w:jc w:val="center"/>
              <w:rPr>
                <w:szCs w:val="21"/>
              </w:rPr>
            </w:pPr>
            <w:r>
              <w:rPr>
                <w:szCs w:val="21"/>
              </w:rPr>
              <w:t>姓名</w:t>
            </w:r>
          </w:p>
        </w:tc>
        <w:tc>
          <w:tcPr>
            <w:tcW w:w="734" w:type="dxa"/>
            <w:tcBorders>
              <w:top w:val="single" w:color="auto" w:sz="4" w:space="0"/>
              <w:left w:val="single" w:color="auto" w:sz="4" w:space="0"/>
              <w:bottom w:val="single" w:color="auto" w:sz="4" w:space="0"/>
              <w:right w:val="single" w:color="auto" w:sz="4" w:space="0"/>
            </w:tcBorders>
            <w:vAlign w:val="center"/>
          </w:tcPr>
          <w:p w14:paraId="68D9906B">
            <w:pPr>
              <w:topLinePunct/>
              <w:spacing w:line="360" w:lineRule="auto"/>
              <w:jc w:val="center"/>
              <w:rPr>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14:paraId="2E9922C6">
            <w:pPr>
              <w:topLinePunct/>
              <w:spacing w:line="360" w:lineRule="auto"/>
              <w:jc w:val="center"/>
              <w:rPr>
                <w:szCs w:val="21"/>
              </w:rPr>
            </w:pPr>
            <w:r>
              <w:rPr>
                <w:rFonts w:hint="eastAsia"/>
                <w:szCs w:val="21"/>
              </w:rPr>
              <w:t>专业</w:t>
            </w:r>
            <w:r>
              <w:rPr>
                <w:szCs w:val="21"/>
              </w:rPr>
              <w:t>技术职称</w:t>
            </w:r>
          </w:p>
        </w:tc>
        <w:tc>
          <w:tcPr>
            <w:tcW w:w="1568" w:type="dxa"/>
            <w:gridSpan w:val="3"/>
            <w:tcBorders>
              <w:top w:val="single" w:color="auto" w:sz="4" w:space="0"/>
              <w:left w:val="single" w:color="auto" w:sz="4" w:space="0"/>
              <w:bottom w:val="single" w:color="auto" w:sz="4" w:space="0"/>
              <w:right w:val="single" w:color="auto" w:sz="4" w:space="0"/>
            </w:tcBorders>
            <w:vAlign w:val="center"/>
          </w:tcPr>
          <w:p w14:paraId="68B31417">
            <w:pPr>
              <w:topLinePunct/>
              <w:spacing w:line="360" w:lineRule="auto"/>
              <w:jc w:val="center"/>
              <w:rPr>
                <w:szCs w:val="21"/>
              </w:rPr>
            </w:pPr>
          </w:p>
        </w:tc>
        <w:tc>
          <w:tcPr>
            <w:tcW w:w="929" w:type="dxa"/>
            <w:tcBorders>
              <w:top w:val="single" w:color="auto" w:sz="4" w:space="0"/>
              <w:left w:val="single" w:color="auto" w:sz="4" w:space="0"/>
              <w:bottom w:val="single" w:color="auto" w:sz="4" w:space="0"/>
              <w:right w:val="single" w:color="auto" w:sz="4" w:space="0"/>
            </w:tcBorders>
            <w:vAlign w:val="center"/>
          </w:tcPr>
          <w:p w14:paraId="71937A31">
            <w:pPr>
              <w:topLinePunct/>
              <w:spacing w:line="360" w:lineRule="auto"/>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172150DE">
            <w:pPr>
              <w:topLinePunct/>
              <w:spacing w:line="360" w:lineRule="auto"/>
              <w:jc w:val="center"/>
              <w:rPr>
                <w:szCs w:val="21"/>
              </w:rPr>
            </w:pPr>
          </w:p>
        </w:tc>
      </w:tr>
      <w:tr w14:paraId="13103B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929" w:type="dxa"/>
            <w:tcBorders>
              <w:top w:val="single" w:color="auto" w:sz="4" w:space="0"/>
              <w:left w:val="single" w:color="auto" w:sz="4" w:space="0"/>
              <w:bottom w:val="single" w:color="auto" w:sz="4" w:space="0"/>
              <w:right w:val="single" w:color="auto" w:sz="4" w:space="0"/>
            </w:tcBorders>
            <w:vAlign w:val="center"/>
          </w:tcPr>
          <w:p w14:paraId="20A01E4F">
            <w:pPr>
              <w:topLinePunct/>
              <w:spacing w:line="360" w:lineRule="auto"/>
              <w:jc w:val="center"/>
              <w:rPr>
                <w:szCs w:val="21"/>
              </w:rPr>
            </w:pPr>
            <w:r>
              <w:rPr>
                <w:szCs w:val="21"/>
              </w:rPr>
              <w:t>技术负责人</w:t>
            </w:r>
          </w:p>
        </w:tc>
        <w:tc>
          <w:tcPr>
            <w:tcW w:w="914" w:type="dxa"/>
            <w:tcBorders>
              <w:top w:val="single" w:color="auto" w:sz="4" w:space="0"/>
              <w:left w:val="single" w:color="auto" w:sz="4" w:space="0"/>
              <w:bottom w:val="single" w:color="auto" w:sz="4" w:space="0"/>
              <w:right w:val="single" w:color="auto" w:sz="4" w:space="0"/>
            </w:tcBorders>
            <w:vAlign w:val="center"/>
          </w:tcPr>
          <w:p w14:paraId="02D70387">
            <w:pPr>
              <w:topLinePunct/>
              <w:spacing w:line="360" w:lineRule="auto"/>
              <w:jc w:val="center"/>
              <w:rPr>
                <w:szCs w:val="21"/>
              </w:rPr>
            </w:pPr>
            <w:r>
              <w:rPr>
                <w:szCs w:val="21"/>
              </w:rPr>
              <w:t>姓名</w:t>
            </w:r>
          </w:p>
        </w:tc>
        <w:tc>
          <w:tcPr>
            <w:tcW w:w="734" w:type="dxa"/>
            <w:tcBorders>
              <w:top w:val="single" w:color="auto" w:sz="4" w:space="0"/>
              <w:left w:val="single" w:color="auto" w:sz="4" w:space="0"/>
              <w:bottom w:val="single" w:color="auto" w:sz="4" w:space="0"/>
              <w:right w:val="single" w:color="auto" w:sz="4" w:space="0"/>
            </w:tcBorders>
            <w:vAlign w:val="center"/>
          </w:tcPr>
          <w:p w14:paraId="62EA3130">
            <w:pPr>
              <w:topLinePunct/>
              <w:spacing w:line="360" w:lineRule="auto"/>
              <w:jc w:val="center"/>
              <w:rPr>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14:paraId="1866848B">
            <w:pPr>
              <w:topLinePunct/>
              <w:spacing w:line="360" w:lineRule="auto"/>
              <w:jc w:val="center"/>
              <w:rPr>
                <w:szCs w:val="21"/>
              </w:rPr>
            </w:pPr>
            <w:r>
              <w:rPr>
                <w:rFonts w:hint="eastAsia"/>
                <w:szCs w:val="21"/>
              </w:rPr>
              <w:t>专业</w:t>
            </w:r>
            <w:r>
              <w:rPr>
                <w:szCs w:val="21"/>
              </w:rPr>
              <w:t>技术职称</w:t>
            </w:r>
          </w:p>
        </w:tc>
        <w:tc>
          <w:tcPr>
            <w:tcW w:w="1568" w:type="dxa"/>
            <w:gridSpan w:val="3"/>
            <w:tcBorders>
              <w:top w:val="single" w:color="auto" w:sz="4" w:space="0"/>
              <w:left w:val="single" w:color="auto" w:sz="4" w:space="0"/>
              <w:bottom w:val="single" w:color="auto" w:sz="4" w:space="0"/>
              <w:right w:val="single" w:color="auto" w:sz="4" w:space="0"/>
            </w:tcBorders>
            <w:vAlign w:val="center"/>
          </w:tcPr>
          <w:p w14:paraId="7F234A9C">
            <w:pPr>
              <w:topLinePunct/>
              <w:spacing w:line="360" w:lineRule="auto"/>
              <w:jc w:val="center"/>
              <w:rPr>
                <w:szCs w:val="21"/>
              </w:rPr>
            </w:pPr>
          </w:p>
        </w:tc>
        <w:tc>
          <w:tcPr>
            <w:tcW w:w="929" w:type="dxa"/>
            <w:tcBorders>
              <w:top w:val="single" w:color="auto" w:sz="4" w:space="0"/>
              <w:left w:val="single" w:color="auto" w:sz="4" w:space="0"/>
              <w:bottom w:val="single" w:color="auto" w:sz="4" w:space="0"/>
              <w:right w:val="single" w:color="auto" w:sz="4" w:space="0"/>
            </w:tcBorders>
            <w:vAlign w:val="center"/>
          </w:tcPr>
          <w:p w14:paraId="5343BD8B">
            <w:pPr>
              <w:topLinePunct/>
              <w:spacing w:line="360" w:lineRule="auto"/>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14C2656C">
            <w:pPr>
              <w:topLinePunct/>
              <w:spacing w:line="360" w:lineRule="auto"/>
              <w:jc w:val="center"/>
              <w:rPr>
                <w:szCs w:val="21"/>
              </w:rPr>
            </w:pPr>
          </w:p>
        </w:tc>
      </w:tr>
      <w:tr w14:paraId="0958F9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1929" w:type="dxa"/>
            <w:tcBorders>
              <w:top w:val="single" w:color="auto" w:sz="4" w:space="0"/>
              <w:left w:val="single" w:color="auto" w:sz="4" w:space="0"/>
              <w:bottom w:val="single" w:color="auto" w:sz="4" w:space="0"/>
              <w:right w:val="single" w:color="auto" w:sz="4" w:space="0"/>
            </w:tcBorders>
            <w:vAlign w:val="center"/>
          </w:tcPr>
          <w:p w14:paraId="57D6EFEE">
            <w:pPr>
              <w:topLinePunct/>
              <w:spacing w:line="360" w:lineRule="auto"/>
              <w:jc w:val="center"/>
              <w:rPr>
                <w:szCs w:val="21"/>
              </w:rPr>
            </w:pPr>
            <w:r>
              <w:rPr>
                <w:szCs w:val="21"/>
              </w:rPr>
              <w:t>成立时间</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34DEE7D0">
            <w:pPr>
              <w:topLinePunct/>
              <w:spacing w:line="360" w:lineRule="auto"/>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14:paraId="7AC0F23E">
            <w:pPr>
              <w:topLinePunct/>
              <w:spacing w:line="360" w:lineRule="auto"/>
              <w:ind w:firstLine="105" w:firstLineChars="50"/>
              <w:jc w:val="center"/>
              <w:rPr>
                <w:szCs w:val="21"/>
              </w:rPr>
            </w:pPr>
            <w:r>
              <w:rPr>
                <w:szCs w:val="21"/>
              </w:rPr>
              <w:t>员工总人数：</w:t>
            </w:r>
          </w:p>
        </w:tc>
      </w:tr>
      <w:tr w14:paraId="29C722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929" w:type="dxa"/>
            <w:tcBorders>
              <w:top w:val="single" w:color="auto" w:sz="4" w:space="0"/>
              <w:left w:val="single" w:color="auto" w:sz="4" w:space="0"/>
              <w:bottom w:val="single" w:color="auto" w:sz="4" w:space="0"/>
              <w:right w:val="single" w:color="auto" w:sz="4" w:space="0"/>
            </w:tcBorders>
            <w:vAlign w:val="center"/>
          </w:tcPr>
          <w:p w14:paraId="12AA1884">
            <w:pPr>
              <w:topLinePunct/>
              <w:spacing w:line="360" w:lineRule="auto"/>
              <w:jc w:val="center"/>
              <w:rPr>
                <w:szCs w:val="21"/>
              </w:rPr>
            </w:pPr>
            <w:r>
              <w:rPr>
                <w:szCs w:val="21"/>
              </w:rPr>
              <w:t>企业资质等级</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6AA194A4">
            <w:pPr>
              <w:topLinePunct/>
              <w:spacing w:line="360" w:lineRule="auto"/>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14:paraId="3910B080">
            <w:pPr>
              <w:topLinePunct/>
              <w:spacing w:line="360" w:lineRule="auto"/>
              <w:jc w:val="center"/>
              <w:rPr>
                <w:szCs w:val="21"/>
              </w:rPr>
            </w:pPr>
            <w:r>
              <w:rPr>
                <w:szCs w:val="21"/>
              </w:rPr>
              <w:t>其中</w:t>
            </w:r>
          </w:p>
        </w:tc>
        <w:tc>
          <w:tcPr>
            <w:tcW w:w="2230" w:type="dxa"/>
            <w:gridSpan w:val="4"/>
            <w:vMerge w:val="restart"/>
            <w:tcBorders>
              <w:top w:val="single" w:color="auto" w:sz="4" w:space="0"/>
              <w:left w:val="single" w:color="auto" w:sz="4" w:space="0"/>
              <w:right w:val="single" w:color="auto" w:sz="4" w:space="0"/>
            </w:tcBorders>
            <w:vAlign w:val="center"/>
          </w:tcPr>
          <w:p w14:paraId="0889CDAC">
            <w:pPr>
              <w:topLinePunct/>
              <w:spacing w:line="360" w:lineRule="auto"/>
              <w:jc w:val="center"/>
              <w:rPr>
                <w:szCs w:val="21"/>
              </w:rPr>
            </w:pPr>
            <w:r>
              <w:rPr>
                <w:szCs w:val="21"/>
              </w:rPr>
              <w:t>高级</w:t>
            </w:r>
            <w:r>
              <w:rPr>
                <w:rFonts w:hint="eastAsia"/>
                <w:szCs w:val="21"/>
              </w:rPr>
              <w:t>专业</w:t>
            </w:r>
            <w:r>
              <w:rPr>
                <w:szCs w:val="21"/>
              </w:rPr>
              <w:t>技术职称</w:t>
            </w:r>
          </w:p>
          <w:p w14:paraId="701901B5">
            <w:pPr>
              <w:topLinePunct/>
              <w:spacing w:line="360" w:lineRule="auto"/>
              <w:jc w:val="center"/>
              <w:rPr>
                <w:szCs w:val="21"/>
              </w:rPr>
            </w:pPr>
            <w:r>
              <w:rPr>
                <w:szCs w:val="21"/>
              </w:rPr>
              <w:t>人员</w:t>
            </w:r>
          </w:p>
        </w:tc>
        <w:tc>
          <w:tcPr>
            <w:tcW w:w="1921" w:type="dxa"/>
            <w:gridSpan w:val="2"/>
            <w:vMerge w:val="restart"/>
            <w:tcBorders>
              <w:top w:val="single" w:color="auto" w:sz="4" w:space="0"/>
              <w:left w:val="single" w:color="auto" w:sz="4" w:space="0"/>
              <w:right w:val="single" w:color="auto" w:sz="4" w:space="0"/>
            </w:tcBorders>
            <w:vAlign w:val="center"/>
          </w:tcPr>
          <w:p w14:paraId="3E73388C">
            <w:pPr>
              <w:topLinePunct/>
              <w:spacing w:line="360" w:lineRule="auto"/>
              <w:jc w:val="center"/>
              <w:rPr>
                <w:szCs w:val="21"/>
              </w:rPr>
            </w:pPr>
          </w:p>
        </w:tc>
      </w:tr>
      <w:tr w14:paraId="3079E4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3" w:hRule="atLeast"/>
        </w:trPr>
        <w:tc>
          <w:tcPr>
            <w:tcW w:w="1929" w:type="dxa"/>
            <w:tcBorders>
              <w:top w:val="single" w:color="auto" w:sz="4" w:space="0"/>
              <w:left w:val="single" w:color="auto" w:sz="4" w:space="0"/>
              <w:bottom w:val="single" w:color="auto" w:sz="4" w:space="0"/>
              <w:right w:val="single" w:color="auto" w:sz="4" w:space="0"/>
            </w:tcBorders>
            <w:vAlign w:val="center"/>
          </w:tcPr>
          <w:p w14:paraId="7E5A80EF">
            <w:pPr>
              <w:topLinePunct/>
              <w:spacing w:line="360" w:lineRule="auto"/>
              <w:jc w:val="center"/>
              <w:rPr>
                <w:szCs w:val="21"/>
              </w:rPr>
            </w:pPr>
            <w:r>
              <w:rPr>
                <w:szCs w:val="21"/>
              </w:rPr>
              <w:t>营业执照号</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4F21968F">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7E23C1E0">
            <w:pPr>
              <w:topLinePunct/>
              <w:spacing w:line="360" w:lineRule="auto"/>
              <w:jc w:val="center"/>
              <w:rPr>
                <w:szCs w:val="21"/>
              </w:rPr>
            </w:pPr>
          </w:p>
        </w:tc>
        <w:tc>
          <w:tcPr>
            <w:tcW w:w="2230" w:type="dxa"/>
            <w:gridSpan w:val="4"/>
            <w:vMerge w:val="continue"/>
            <w:tcBorders>
              <w:left w:val="single" w:color="auto" w:sz="4" w:space="0"/>
              <w:bottom w:val="single" w:color="auto" w:sz="4" w:space="0"/>
              <w:right w:val="single" w:color="auto" w:sz="4" w:space="0"/>
            </w:tcBorders>
            <w:vAlign w:val="center"/>
          </w:tcPr>
          <w:p w14:paraId="61AC213C">
            <w:pPr>
              <w:topLinePunct/>
              <w:spacing w:line="360" w:lineRule="auto"/>
              <w:jc w:val="center"/>
              <w:rPr>
                <w:szCs w:val="21"/>
              </w:rPr>
            </w:pPr>
          </w:p>
        </w:tc>
        <w:tc>
          <w:tcPr>
            <w:tcW w:w="1921" w:type="dxa"/>
            <w:gridSpan w:val="2"/>
            <w:vMerge w:val="continue"/>
            <w:tcBorders>
              <w:left w:val="single" w:color="auto" w:sz="4" w:space="0"/>
              <w:bottom w:val="single" w:color="auto" w:sz="4" w:space="0"/>
              <w:right w:val="single" w:color="auto" w:sz="4" w:space="0"/>
            </w:tcBorders>
            <w:vAlign w:val="center"/>
          </w:tcPr>
          <w:p w14:paraId="23E08A3B">
            <w:pPr>
              <w:topLinePunct/>
              <w:spacing w:line="360" w:lineRule="auto"/>
              <w:jc w:val="center"/>
              <w:rPr>
                <w:szCs w:val="21"/>
              </w:rPr>
            </w:pPr>
          </w:p>
        </w:tc>
      </w:tr>
      <w:tr w14:paraId="6281B9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3" w:hRule="atLeast"/>
        </w:trPr>
        <w:tc>
          <w:tcPr>
            <w:tcW w:w="1929" w:type="dxa"/>
            <w:tcBorders>
              <w:top w:val="single" w:color="auto" w:sz="4" w:space="0"/>
              <w:left w:val="single" w:color="auto" w:sz="4" w:space="0"/>
              <w:bottom w:val="single" w:color="auto" w:sz="4" w:space="0"/>
              <w:right w:val="single" w:color="auto" w:sz="4" w:space="0"/>
            </w:tcBorders>
            <w:vAlign w:val="center"/>
          </w:tcPr>
          <w:p w14:paraId="79DF5875">
            <w:pPr>
              <w:topLinePunct/>
              <w:spacing w:line="360" w:lineRule="auto"/>
              <w:jc w:val="center"/>
              <w:rPr>
                <w:szCs w:val="21"/>
              </w:rPr>
            </w:pPr>
            <w:r>
              <w:rPr>
                <w:szCs w:val="21"/>
              </w:rPr>
              <w:t>注册资金</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45CF2211">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47EBF0B4">
            <w:pPr>
              <w:topLinePunct/>
              <w:spacing w:line="360" w:lineRule="auto"/>
              <w:jc w:val="center"/>
              <w:rPr>
                <w:szCs w:val="21"/>
              </w:rPr>
            </w:pPr>
          </w:p>
        </w:tc>
        <w:tc>
          <w:tcPr>
            <w:tcW w:w="2230" w:type="dxa"/>
            <w:gridSpan w:val="4"/>
            <w:tcBorders>
              <w:top w:val="single" w:color="auto" w:sz="4" w:space="0"/>
              <w:left w:val="single" w:color="auto" w:sz="4" w:space="0"/>
              <w:bottom w:val="single" w:color="auto" w:sz="4" w:space="0"/>
              <w:right w:val="single" w:color="auto" w:sz="4" w:space="0"/>
            </w:tcBorders>
            <w:vAlign w:val="center"/>
          </w:tcPr>
          <w:p w14:paraId="2B26480B">
            <w:pPr>
              <w:topLinePunct/>
              <w:spacing w:line="360" w:lineRule="auto"/>
              <w:jc w:val="center"/>
              <w:rPr>
                <w:szCs w:val="21"/>
              </w:rPr>
            </w:pPr>
            <w:r>
              <w:rPr>
                <w:szCs w:val="21"/>
              </w:rPr>
              <w:t>中级</w:t>
            </w:r>
            <w:r>
              <w:rPr>
                <w:rFonts w:hint="eastAsia"/>
                <w:szCs w:val="21"/>
              </w:rPr>
              <w:t>专业</w:t>
            </w:r>
            <w:r>
              <w:rPr>
                <w:szCs w:val="21"/>
              </w:rPr>
              <w:t>技术职称</w:t>
            </w:r>
          </w:p>
          <w:p w14:paraId="196FC9FF">
            <w:pPr>
              <w:topLinePunct/>
              <w:spacing w:line="360" w:lineRule="auto"/>
              <w:jc w:val="center"/>
              <w:rPr>
                <w:szCs w:val="21"/>
              </w:rPr>
            </w:pPr>
            <w:r>
              <w:rPr>
                <w:szCs w:val="21"/>
              </w:rPr>
              <w:t>人员</w:t>
            </w:r>
          </w:p>
        </w:tc>
        <w:tc>
          <w:tcPr>
            <w:tcW w:w="1921" w:type="dxa"/>
            <w:gridSpan w:val="2"/>
            <w:tcBorders>
              <w:top w:val="single" w:color="auto" w:sz="4" w:space="0"/>
              <w:left w:val="single" w:color="auto" w:sz="4" w:space="0"/>
              <w:bottom w:val="single" w:color="auto" w:sz="4" w:space="0"/>
              <w:right w:val="single" w:color="auto" w:sz="4" w:space="0"/>
            </w:tcBorders>
            <w:vAlign w:val="center"/>
          </w:tcPr>
          <w:p w14:paraId="5BD653FE">
            <w:pPr>
              <w:topLinePunct/>
              <w:spacing w:line="360" w:lineRule="auto"/>
              <w:jc w:val="center"/>
              <w:rPr>
                <w:szCs w:val="21"/>
              </w:rPr>
            </w:pPr>
          </w:p>
        </w:tc>
      </w:tr>
      <w:tr w14:paraId="47EB05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21" w:hRule="atLeast"/>
        </w:trPr>
        <w:tc>
          <w:tcPr>
            <w:tcW w:w="1929" w:type="dxa"/>
            <w:tcBorders>
              <w:top w:val="single" w:color="auto" w:sz="4" w:space="0"/>
              <w:left w:val="single" w:color="auto" w:sz="4" w:space="0"/>
              <w:bottom w:val="single" w:color="auto" w:sz="4" w:space="0"/>
              <w:right w:val="single" w:color="auto" w:sz="4" w:space="0"/>
            </w:tcBorders>
            <w:vAlign w:val="center"/>
          </w:tcPr>
          <w:p w14:paraId="7103AD22">
            <w:pPr>
              <w:topLinePunct/>
              <w:spacing w:line="360" w:lineRule="auto"/>
              <w:jc w:val="center"/>
              <w:rPr>
                <w:szCs w:val="21"/>
              </w:rPr>
            </w:pPr>
            <w:r>
              <w:rPr>
                <w:szCs w:val="21"/>
              </w:rPr>
              <w:t>开户银行</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5A66A06E">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0B2D3652">
            <w:pPr>
              <w:topLinePunct/>
              <w:spacing w:line="360" w:lineRule="auto"/>
              <w:jc w:val="center"/>
              <w:rPr>
                <w:szCs w:val="21"/>
              </w:rPr>
            </w:pPr>
          </w:p>
        </w:tc>
        <w:tc>
          <w:tcPr>
            <w:tcW w:w="2230" w:type="dxa"/>
            <w:gridSpan w:val="4"/>
            <w:tcBorders>
              <w:top w:val="single" w:color="auto" w:sz="4" w:space="0"/>
              <w:left w:val="single" w:color="auto" w:sz="4" w:space="0"/>
              <w:bottom w:val="single" w:color="auto" w:sz="4" w:space="0"/>
              <w:right w:val="single" w:color="auto" w:sz="4" w:space="0"/>
            </w:tcBorders>
            <w:vAlign w:val="center"/>
          </w:tcPr>
          <w:p w14:paraId="292002A9">
            <w:pPr>
              <w:topLinePunct/>
              <w:spacing w:line="360" w:lineRule="auto"/>
              <w:jc w:val="center"/>
              <w:rPr>
                <w:szCs w:val="21"/>
              </w:rPr>
            </w:pPr>
            <w:r>
              <w:rPr>
                <w:szCs w:val="21"/>
              </w:rPr>
              <w:t>初级</w:t>
            </w:r>
            <w:r>
              <w:rPr>
                <w:rFonts w:hint="eastAsia"/>
                <w:szCs w:val="21"/>
              </w:rPr>
              <w:t>专业</w:t>
            </w:r>
            <w:r>
              <w:rPr>
                <w:szCs w:val="21"/>
              </w:rPr>
              <w:t>技术职称</w:t>
            </w:r>
          </w:p>
          <w:p w14:paraId="0AD829B6">
            <w:pPr>
              <w:topLinePunct/>
              <w:spacing w:line="360" w:lineRule="auto"/>
              <w:jc w:val="center"/>
              <w:rPr>
                <w:szCs w:val="21"/>
              </w:rPr>
            </w:pPr>
            <w:r>
              <w:rPr>
                <w:szCs w:val="21"/>
              </w:rPr>
              <w:t>人员</w:t>
            </w:r>
          </w:p>
        </w:tc>
        <w:tc>
          <w:tcPr>
            <w:tcW w:w="1921" w:type="dxa"/>
            <w:gridSpan w:val="2"/>
            <w:tcBorders>
              <w:top w:val="single" w:color="auto" w:sz="4" w:space="0"/>
              <w:left w:val="single" w:color="auto" w:sz="4" w:space="0"/>
              <w:bottom w:val="single" w:color="auto" w:sz="4" w:space="0"/>
              <w:right w:val="single" w:color="auto" w:sz="4" w:space="0"/>
            </w:tcBorders>
            <w:vAlign w:val="center"/>
          </w:tcPr>
          <w:p w14:paraId="0F4A77DC">
            <w:pPr>
              <w:topLinePunct/>
              <w:spacing w:line="360" w:lineRule="auto"/>
              <w:jc w:val="center"/>
              <w:rPr>
                <w:szCs w:val="21"/>
              </w:rPr>
            </w:pPr>
          </w:p>
        </w:tc>
      </w:tr>
      <w:tr w14:paraId="2B5593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1" w:hRule="atLeast"/>
        </w:trPr>
        <w:tc>
          <w:tcPr>
            <w:tcW w:w="1929" w:type="dxa"/>
            <w:tcBorders>
              <w:top w:val="single" w:color="auto" w:sz="4" w:space="0"/>
              <w:left w:val="single" w:color="auto" w:sz="4" w:space="0"/>
              <w:bottom w:val="single" w:color="auto" w:sz="4" w:space="0"/>
              <w:right w:val="single" w:color="auto" w:sz="4" w:space="0"/>
            </w:tcBorders>
            <w:vAlign w:val="center"/>
          </w:tcPr>
          <w:p w14:paraId="268BCA1B">
            <w:pPr>
              <w:topLinePunct/>
              <w:spacing w:line="360" w:lineRule="auto"/>
              <w:jc w:val="center"/>
              <w:rPr>
                <w:szCs w:val="21"/>
              </w:rPr>
            </w:pPr>
            <w:r>
              <w:rPr>
                <w:szCs w:val="21"/>
              </w:rPr>
              <w:t>账号</w:t>
            </w:r>
          </w:p>
        </w:tc>
        <w:tc>
          <w:tcPr>
            <w:tcW w:w="1648" w:type="dxa"/>
            <w:gridSpan w:val="2"/>
            <w:tcBorders>
              <w:top w:val="single" w:color="auto" w:sz="4" w:space="0"/>
              <w:left w:val="single" w:color="auto" w:sz="4" w:space="0"/>
              <w:bottom w:val="single" w:color="auto" w:sz="4" w:space="0"/>
              <w:right w:val="single" w:color="auto" w:sz="4" w:space="0"/>
            </w:tcBorders>
            <w:vAlign w:val="center"/>
          </w:tcPr>
          <w:p w14:paraId="5DDA00B1">
            <w:pPr>
              <w:topLinePunct/>
              <w:spacing w:line="360" w:lineRule="auto"/>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25CC6428">
            <w:pPr>
              <w:topLinePunct/>
              <w:spacing w:line="360" w:lineRule="auto"/>
              <w:jc w:val="center"/>
              <w:rPr>
                <w:szCs w:val="21"/>
              </w:rPr>
            </w:pPr>
          </w:p>
        </w:tc>
        <w:tc>
          <w:tcPr>
            <w:tcW w:w="2230" w:type="dxa"/>
            <w:gridSpan w:val="4"/>
            <w:tcBorders>
              <w:top w:val="single" w:color="auto" w:sz="4" w:space="0"/>
              <w:left w:val="single" w:color="auto" w:sz="4" w:space="0"/>
              <w:bottom w:val="single" w:color="auto" w:sz="4" w:space="0"/>
              <w:right w:val="single" w:color="auto" w:sz="4" w:space="0"/>
            </w:tcBorders>
            <w:vAlign w:val="center"/>
          </w:tcPr>
          <w:p w14:paraId="3E77DC30">
            <w:pPr>
              <w:topLinePunct/>
              <w:spacing w:line="360" w:lineRule="auto"/>
              <w:jc w:val="center"/>
            </w:pPr>
            <w:r>
              <w:rPr>
                <w:szCs w:val="21"/>
              </w:rPr>
              <w:t>技工</w:t>
            </w:r>
          </w:p>
        </w:tc>
        <w:tc>
          <w:tcPr>
            <w:tcW w:w="1921" w:type="dxa"/>
            <w:gridSpan w:val="2"/>
            <w:tcBorders>
              <w:top w:val="single" w:color="auto" w:sz="4" w:space="0"/>
              <w:left w:val="single" w:color="auto" w:sz="4" w:space="0"/>
              <w:bottom w:val="single" w:color="auto" w:sz="4" w:space="0"/>
              <w:right w:val="single" w:color="auto" w:sz="4" w:space="0"/>
            </w:tcBorders>
            <w:vAlign w:val="center"/>
          </w:tcPr>
          <w:p w14:paraId="2F8C32B5">
            <w:pPr>
              <w:topLinePunct/>
              <w:spacing w:line="360" w:lineRule="auto"/>
              <w:jc w:val="center"/>
              <w:rPr>
                <w:szCs w:val="21"/>
              </w:rPr>
            </w:pPr>
          </w:p>
        </w:tc>
      </w:tr>
      <w:tr w14:paraId="548D02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29" w:type="dxa"/>
            <w:tcBorders>
              <w:top w:val="single" w:color="auto" w:sz="4" w:space="0"/>
              <w:left w:val="single" w:color="auto" w:sz="4" w:space="0"/>
              <w:right w:val="single" w:color="auto" w:sz="4" w:space="0"/>
            </w:tcBorders>
            <w:vAlign w:val="center"/>
          </w:tcPr>
          <w:p w14:paraId="1605A8C9">
            <w:pPr>
              <w:topLinePunct/>
              <w:spacing w:line="360" w:lineRule="auto"/>
              <w:ind w:firstLine="210" w:firstLineChars="100"/>
              <w:jc w:val="center"/>
              <w:rPr>
                <w:szCs w:val="21"/>
              </w:rPr>
            </w:pPr>
            <w:r>
              <w:rPr>
                <w:szCs w:val="21"/>
              </w:rPr>
              <w:t>经营范围</w:t>
            </w:r>
          </w:p>
        </w:tc>
        <w:tc>
          <w:tcPr>
            <w:tcW w:w="6639" w:type="dxa"/>
            <w:gridSpan w:val="9"/>
            <w:tcBorders>
              <w:top w:val="single" w:color="auto" w:sz="4" w:space="0"/>
              <w:left w:val="single" w:color="auto" w:sz="4" w:space="0"/>
              <w:right w:val="single" w:color="auto" w:sz="4" w:space="0"/>
            </w:tcBorders>
            <w:vAlign w:val="center"/>
          </w:tcPr>
          <w:p w14:paraId="2630F3D2">
            <w:pPr>
              <w:topLinePunct/>
              <w:spacing w:line="360" w:lineRule="auto"/>
              <w:rPr>
                <w:szCs w:val="21"/>
              </w:rPr>
            </w:pPr>
          </w:p>
        </w:tc>
      </w:tr>
      <w:tr w14:paraId="7DF83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929" w:type="dxa"/>
            <w:tcBorders>
              <w:top w:val="single" w:color="auto" w:sz="4" w:space="0"/>
              <w:left w:val="single" w:color="auto" w:sz="4" w:space="0"/>
              <w:right w:val="single" w:color="auto" w:sz="4" w:space="0"/>
            </w:tcBorders>
            <w:vAlign w:val="center"/>
          </w:tcPr>
          <w:p w14:paraId="27BE1F18">
            <w:pPr>
              <w:topLinePunct/>
              <w:spacing w:line="360" w:lineRule="auto"/>
              <w:jc w:val="center"/>
              <w:rPr>
                <w:szCs w:val="21"/>
              </w:rPr>
            </w:pPr>
            <w:r>
              <w:rPr>
                <w:rFonts w:hint="eastAsia"/>
                <w:szCs w:val="21"/>
              </w:rPr>
              <w:t>与投标人法定代表人为同一人的单位</w:t>
            </w:r>
          </w:p>
        </w:tc>
        <w:tc>
          <w:tcPr>
            <w:tcW w:w="6639" w:type="dxa"/>
            <w:gridSpan w:val="9"/>
            <w:tcBorders>
              <w:top w:val="single" w:color="auto" w:sz="4" w:space="0"/>
              <w:left w:val="single" w:color="auto" w:sz="4" w:space="0"/>
              <w:right w:val="single" w:color="auto" w:sz="4" w:space="0"/>
            </w:tcBorders>
            <w:vAlign w:val="center"/>
          </w:tcPr>
          <w:p w14:paraId="53598466">
            <w:pPr>
              <w:topLinePunct/>
              <w:spacing w:line="360" w:lineRule="auto"/>
              <w:rPr>
                <w:szCs w:val="21"/>
              </w:rPr>
            </w:pPr>
          </w:p>
        </w:tc>
      </w:tr>
      <w:tr w14:paraId="5CCDD4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929" w:type="dxa"/>
            <w:tcBorders>
              <w:top w:val="single" w:color="auto" w:sz="4" w:space="0"/>
              <w:left w:val="single" w:color="auto" w:sz="4" w:space="0"/>
              <w:right w:val="single" w:color="auto" w:sz="4" w:space="0"/>
            </w:tcBorders>
            <w:vAlign w:val="center"/>
          </w:tcPr>
          <w:p w14:paraId="32827BE0">
            <w:pPr>
              <w:topLinePunct/>
              <w:spacing w:line="360" w:lineRule="auto"/>
              <w:jc w:val="center"/>
              <w:rPr>
                <w:szCs w:val="21"/>
              </w:rPr>
            </w:pPr>
            <w:r>
              <w:rPr>
                <w:rFonts w:hint="eastAsia"/>
                <w:szCs w:val="21"/>
              </w:rPr>
              <w:t>与投标人存在控股关系的单位</w:t>
            </w:r>
          </w:p>
        </w:tc>
        <w:tc>
          <w:tcPr>
            <w:tcW w:w="6639" w:type="dxa"/>
            <w:gridSpan w:val="9"/>
            <w:tcBorders>
              <w:top w:val="single" w:color="auto" w:sz="4" w:space="0"/>
              <w:left w:val="single" w:color="auto" w:sz="4" w:space="0"/>
              <w:right w:val="single" w:color="auto" w:sz="4" w:space="0"/>
            </w:tcBorders>
            <w:vAlign w:val="center"/>
          </w:tcPr>
          <w:p w14:paraId="13A7D64E">
            <w:pPr>
              <w:topLinePunct/>
              <w:spacing w:line="360" w:lineRule="auto"/>
              <w:rPr>
                <w:szCs w:val="21"/>
              </w:rPr>
            </w:pPr>
          </w:p>
        </w:tc>
      </w:tr>
      <w:tr w14:paraId="40FC77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929" w:type="dxa"/>
            <w:tcBorders>
              <w:top w:val="single" w:color="auto" w:sz="4" w:space="0"/>
              <w:left w:val="single" w:color="auto" w:sz="4" w:space="0"/>
              <w:right w:val="single" w:color="auto" w:sz="4" w:space="0"/>
            </w:tcBorders>
            <w:vAlign w:val="center"/>
          </w:tcPr>
          <w:p w14:paraId="6EC872B9">
            <w:pPr>
              <w:topLinePunct/>
              <w:spacing w:line="360" w:lineRule="auto"/>
              <w:jc w:val="center"/>
              <w:rPr>
                <w:szCs w:val="21"/>
              </w:rPr>
            </w:pPr>
            <w:r>
              <w:rPr>
                <w:rFonts w:hint="eastAsia"/>
                <w:szCs w:val="21"/>
              </w:rPr>
              <w:t>与投标人存在管理关系的单位</w:t>
            </w:r>
          </w:p>
        </w:tc>
        <w:tc>
          <w:tcPr>
            <w:tcW w:w="6639" w:type="dxa"/>
            <w:gridSpan w:val="9"/>
            <w:tcBorders>
              <w:top w:val="single" w:color="auto" w:sz="4" w:space="0"/>
              <w:left w:val="single" w:color="auto" w:sz="4" w:space="0"/>
              <w:right w:val="single" w:color="auto" w:sz="4" w:space="0"/>
            </w:tcBorders>
            <w:vAlign w:val="center"/>
          </w:tcPr>
          <w:p w14:paraId="71131C09">
            <w:pPr>
              <w:topLinePunct/>
              <w:spacing w:line="360" w:lineRule="auto"/>
              <w:rPr>
                <w:szCs w:val="21"/>
              </w:rPr>
            </w:pPr>
          </w:p>
        </w:tc>
      </w:tr>
      <w:tr w14:paraId="44AF06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29" w:type="dxa"/>
            <w:tcBorders>
              <w:top w:val="single" w:color="auto" w:sz="4" w:space="0"/>
              <w:left w:val="single" w:color="auto" w:sz="4" w:space="0"/>
              <w:bottom w:val="single" w:color="auto" w:sz="4" w:space="0"/>
              <w:right w:val="single" w:color="auto" w:sz="4" w:space="0"/>
            </w:tcBorders>
            <w:vAlign w:val="center"/>
          </w:tcPr>
          <w:p w14:paraId="61D90CB2">
            <w:pPr>
              <w:topLinePunct/>
              <w:spacing w:line="360" w:lineRule="auto"/>
              <w:jc w:val="center"/>
              <w:rPr>
                <w:szCs w:val="21"/>
              </w:rPr>
            </w:pPr>
            <w:r>
              <w:rPr>
                <w:szCs w:val="21"/>
              </w:rPr>
              <w:t>备注</w:t>
            </w:r>
          </w:p>
        </w:tc>
        <w:tc>
          <w:tcPr>
            <w:tcW w:w="6639" w:type="dxa"/>
            <w:gridSpan w:val="9"/>
            <w:tcBorders>
              <w:top w:val="single" w:color="auto" w:sz="4" w:space="0"/>
              <w:left w:val="single" w:color="auto" w:sz="4" w:space="0"/>
              <w:bottom w:val="single" w:color="auto" w:sz="4" w:space="0"/>
              <w:right w:val="single" w:color="auto" w:sz="4" w:space="0"/>
            </w:tcBorders>
            <w:vAlign w:val="center"/>
          </w:tcPr>
          <w:p w14:paraId="451DE884">
            <w:pPr>
              <w:topLinePunct/>
              <w:spacing w:line="360" w:lineRule="auto"/>
              <w:rPr>
                <w:szCs w:val="21"/>
              </w:rPr>
            </w:pPr>
          </w:p>
        </w:tc>
      </w:tr>
    </w:tbl>
    <w:p w14:paraId="54EBF102">
      <w:pPr>
        <w:widowControl/>
        <w:topLinePunct/>
        <w:spacing w:line="360" w:lineRule="auto"/>
        <w:jc w:val="left"/>
        <w:rPr>
          <w:rFonts w:ascii="宋体" w:hAnsi="宋体" w:cs="Arial"/>
          <w:kern w:val="0"/>
          <w:sz w:val="24"/>
        </w:rPr>
      </w:pPr>
      <w:r>
        <w:rPr>
          <w:rFonts w:hint="eastAsia" w:ascii="宋体" w:hAnsi="宋体" w:cs="宋体"/>
          <w:kern w:val="0"/>
          <w:sz w:val="24"/>
        </w:rPr>
        <w:t>注：投标人应根据投标人须知第 3.5.1 项的要求在本表后附相关证明材料扫描件。</w:t>
      </w:r>
      <w:r>
        <w:rPr>
          <w:rFonts w:hint="eastAsia" w:ascii="宋体" w:hAnsi="宋体" w:cs="Arial"/>
          <w:kern w:val="0"/>
          <w:sz w:val="24"/>
        </w:rPr>
        <w:t>非联合体投标时无需填写。</w:t>
      </w:r>
    </w:p>
    <w:p w14:paraId="6272297D">
      <w:pPr>
        <w:topLinePunct/>
        <w:spacing w:line="360" w:lineRule="auto"/>
        <w:rPr>
          <w:rFonts w:ascii="宋体" w:hAnsi="宋体" w:cs="宋体"/>
          <w:kern w:val="0"/>
          <w:sz w:val="24"/>
        </w:rPr>
      </w:pPr>
    </w:p>
    <w:p w14:paraId="02539D86">
      <w:pPr>
        <w:pStyle w:val="2"/>
        <w:spacing w:line="360" w:lineRule="auto"/>
        <w:ind w:firstLine="138"/>
        <w:jc w:val="center"/>
      </w:pPr>
      <w:r>
        <w:rPr>
          <w:rFonts w:hint="eastAsia" w:ascii="宋体" w:eastAsia="宋体" w:cs="宋体"/>
          <w:b/>
          <w:bCs w:val="0"/>
        </w:rPr>
        <w:br w:type="page"/>
      </w:r>
      <w:bookmarkStart w:id="532" w:name="_Toc247514301"/>
      <w:bookmarkStart w:id="533" w:name="_Toc247527849"/>
      <w:bookmarkStart w:id="534" w:name="_Toc152045809"/>
      <w:bookmarkStart w:id="535" w:name="_Toc300835225"/>
      <w:bookmarkStart w:id="536" w:name="_Toc144974877"/>
      <w:bookmarkStart w:id="537" w:name="_Toc152042598"/>
      <w:r>
        <w:t>（二）近年财务状况表</w:t>
      </w:r>
      <w:bookmarkEnd w:id="532"/>
      <w:bookmarkEnd w:id="533"/>
      <w:bookmarkEnd w:id="534"/>
      <w:bookmarkEnd w:id="535"/>
      <w:bookmarkEnd w:id="536"/>
      <w:bookmarkEnd w:id="537"/>
    </w:p>
    <w:p w14:paraId="4289A9B1">
      <w:pPr>
        <w:topLinePunct/>
        <w:spacing w:line="360" w:lineRule="auto"/>
        <w:jc w:val="center"/>
        <w:rPr>
          <w:rFonts w:eastAsia="黑体"/>
          <w:sz w:val="20"/>
          <w:szCs w:val="20"/>
        </w:rPr>
      </w:pPr>
    </w:p>
    <w:p w14:paraId="4B1576B8">
      <w:pPr>
        <w:topLinePunct/>
        <w:spacing w:line="360" w:lineRule="auto"/>
        <w:jc w:val="center"/>
        <w:rPr>
          <w:rFonts w:eastAsia="黑体"/>
          <w:sz w:val="20"/>
          <w:szCs w:val="20"/>
        </w:rPr>
      </w:pPr>
    </w:p>
    <w:p w14:paraId="1B2A2AC1">
      <w:pPr>
        <w:topLinePunct/>
        <w:spacing w:line="360" w:lineRule="auto"/>
        <w:jc w:val="center"/>
        <w:rPr>
          <w:rFonts w:eastAsia="黑体"/>
          <w:sz w:val="20"/>
          <w:szCs w:val="20"/>
        </w:rPr>
      </w:pPr>
    </w:p>
    <w:p w14:paraId="4927C41F">
      <w:pPr>
        <w:topLinePunct/>
        <w:spacing w:line="360" w:lineRule="auto"/>
        <w:jc w:val="center"/>
        <w:rPr>
          <w:rFonts w:eastAsia="黑体"/>
          <w:sz w:val="20"/>
          <w:szCs w:val="20"/>
        </w:rPr>
      </w:pPr>
    </w:p>
    <w:p w14:paraId="0EE1C3A3">
      <w:pPr>
        <w:topLinePunct/>
        <w:spacing w:line="360" w:lineRule="auto"/>
        <w:jc w:val="center"/>
        <w:rPr>
          <w:rFonts w:eastAsia="黑体"/>
          <w:sz w:val="20"/>
          <w:szCs w:val="20"/>
        </w:rPr>
      </w:pPr>
    </w:p>
    <w:p w14:paraId="395089FE">
      <w:pPr>
        <w:spacing w:line="360" w:lineRule="auto"/>
        <w:rPr>
          <w:rFonts w:ascii="宋体" w:hAnsi="宋体" w:cs="宋体"/>
          <w:sz w:val="24"/>
        </w:rPr>
      </w:pPr>
      <w:r>
        <w:rPr>
          <w:rFonts w:hint="eastAsia" w:ascii="宋体" w:hAnsi="宋体" w:cs="宋体"/>
          <w:sz w:val="24"/>
        </w:rPr>
        <w:t>注：（1）投标人应按照第二章“投标人须知”3.5.2提供相应年份的财务状况表扫描件，可以不含财务情况说明书。</w:t>
      </w:r>
    </w:p>
    <w:p w14:paraId="704A5D55">
      <w:pPr>
        <w:spacing w:line="360" w:lineRule="auto"/>
        <w:ind w:firstLine="480"/>
        <w:rPr>
          <w:rFonts w:hint="eastAsia" w:ascii="宋体" w:hAnsi="宋体" w:cs="宋体"/>
          <w:sz w:val="24"/>
        </w:rPr>
      </w:pPr>
      <w:r>
        <w:rPr>
          <w:rFonts w:hint="eastAsia" w:ascii="宋体" w:hAnsi="宋体" w:cs="宋体"/>
          <w:sz w:val="24"/>
        </w:rPr>
        <w:t>“近年财务状况表”分两种情况。例：招标文件开始下载的时间在5月1日以前的，若投标人须知前附表规定为“近3年”，“近3年”是指当年之前的3个年度或当年的上一年之前的3个年度。如某项目招标，招标文件开始下载的时间是2020年4 月1日，“近年财务状况表”是指 2017 年、2018 年、2019 年的财务状况，或 2016 年、2017 年、2018 年的财务状况，采用哪3个年度，由投标人选择；招标文件开始下载的时间在 5 月 1 日以后的，“近3 年”是指当年之前的3个年度，如某项目招标，招标文件开始下载的时间是 2020 年 5月5日，“近年财务状况表”是指 2017 年、2018 年、2019年的财务状况。投标人须知前附表规定的时间不足3年的，以此类推。</w:t>
      </w:r>
    </w:p>
    <w:p w14:paraId="0E43DB3D">
      <w:pPr>
        <w:pStyle w:val="11"/>
        <w:ind w:firstLine="240" w:firstLineChars="100"/>
        <w:rPr>
          <w:rFonts w:ascii="宋体" w:hAnsi="宋体" w:cs="宋体"/>
          <w:sz w:val="24"/>
        </w:rPr>
      </w:pPr>
      <w:r>
        <w:rPr>
          <w:rFonts w:hint="eastAsia" w:ascii="宋体" w:hAnsi="宋体" w:cs="宋体"/>
          <w:sz w:val="24"/>
        </w:rPr>
        <w:t>（2）新设立企业只提供设立以来的财务状况表,破产重整企业视为新设立企业。</w:t>
      </w:r>
    </w:p>
    <w:p w14:paraId="28BE594C">
      <w:pPr>
        <w:spacing w:line="360" w:lineRule="auto"/>
        <w:ind w:firstLine="240" w:firstLineChars="100"/>
        <w:rPr>
          <w:rFonts w:ascii="宋体" w:hAnsi="宋体" w:cs="宋体"/>
          <w:sz w:val="24"/>
        </w:rPr>
      </w:pP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）若为联合体投标，所有成员单位均须提供。</w:t>
      </w:r>
    </w:p>
    <w:p w14:paraId="2344468A">
      <w:pPr>
        <w:spacing w:line="360" w:lineRule="auto"/>
        <w:ind w:firstLine="240" w:firstLineChars="100"/>
        <w:rPr>
          <w:rFonts w:ascii="宋体" w:hAnsi="宋体" w:cs="宋体"/>
          <w:sz w:val="24"/>
        </w:rPr>
        <w:sectPr>
          <w:footerReference r:id="rId4" w:type="default"/>
          <w:pgSz w:w="11906" w:h="16838"/>
          <w:pgMar w:top="1417" w:right="1417" w:bottom="1417" w:left="1417" w:header="851" w:footer="850" w:gutter="0"/>
          <w:cols w:space="720" w:num="1"/>
          <w:docGrid w:type="lines" w:linePitch="312" w:charSpace="0"/>
        </w:sectPr>
      </w:pPr>
      <w:r>
        <w:rPr>
          <w:rFonts w:hint="eastAsia" w:ascii="宋体" w:hAnsi="宋体" w:cs="宋体"/>
          <w:sz w:val="24"/>
        </w:rPr>
        <w:t>（</w:t>
      </w:r>
      <w:r>
        <w:rPr>
          <w:rFonts w:hint="eastAsia" w:ascii="宋体" w:hAnsi="宋体" w:cs="宋体"/>
          <w:sz w:val="24"/>
          <w:lang w:val="en-US" w:eastAsia="zh-CN"/>
        </w:rPr>
        <w:t>4</w:t>
      </w:r>
      <w:r>
        <w:rPr>
          <w:rFonts w:hint="eastAsia" w:ascii="宋体" w:hAnsi="宋体" w:cs="宋体"/>
          <w:sz w:val="24"/>
        </w:rPr>
        <w:t>）若无要求，无需填写。</w:t>
      </w:r>
    </w:p>
    <w:p w14:paraId="6ED13A4D">
      <w:pPr>
        <w:pStyle w:val="2"/>
        <w:jc w:val="center"/>
      </w:pPr>
      <w:bookmarkStart w:id="538" w:name="_Toc300835227"/>
      <w:bookmarkStart w:id="539" w:name="_Toc247514303"/>
      <w:bookmarkStart w:id="540" w:name="_Toc144974879"/>
      <w:bookmarkStart w:id="541" w:name="_Toc247527851"/>
      <w:bookmarkStart w:id="542" w:name="_Toc152042600"/>
      <w:bookmarkStart w:id="543" w:name="_Toc152045811"/>
      <w:r>
        <w:rPr>
          <w:rFonts w:hint="eastAsia"/>
        </w:rPr>
        <w:t>（三）近年完成的类似项目情况表</w:t>
      </w:r>
    </w:p>
    <w:p w14:paraId="07D361A2">
      <w:pPr>
        <w:rPr>
          <w:u w:val="single"/>
        </w:rPr>
      </w:pPr>
      <w:r>
        <w:rPr>
          <w:rFonts w:hint="eastAsia" w:ascii="宋体" w:hAnsi="宋体"/>
          <w:szCs w:val="21"/>
        </w:rPr>
        <w:t>序号：</w:t>
      </w:r>
      <w:r>
        <w:rPr>
          <w:rFonts w:hint="eastAsia"/>
          <w:u w:val="single"/>
        </w:rPr>
        <w:t xml:space="preserve">            </w:t>
      </w:r>
    </w:p>
    <w:p w14:paraId="3998E1F0">
      <w:pPr>
        <w:rPr>
          <w:u w:val="single"/>
        </w:rPr>
      </w:pPr>
    </w:p>
    <w:tbl>
      <w:tblPr>
        <w:tblStyle w:val="2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2075"/>
        <w:gridCol w:w="7301"/>
      </w:tblGrid>
      <w:tr w14:paraId="642EE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1EA664AF">
            <w:pPr>
              <w:spacing w:line="360" w:lineRule="auto"/>
              <w:jc w:val="center"/>
              <w:rPr>
                <w:rFonts w:ascii="宋体" w:hAnsi="宋体"/>
                <w:szCs w:val="21"/>
              </w:rPr>
            </w:pPr>
            <w:r>
              <w:rPr>
                <w:rFonts w:hint="eastAsia" w:ascii="宋体" w:hAnsi="宋体"/>
                <w:szCs w:val="21"/>
              </w:rPr>
              <w:t>项目名称</w:t>
            </w:r>
          </w:p>
        </w:tc>
        <w:tc>
          <w:tcPr>
            <w:tcW w:w="7301" w:type="dxa"/>
            <w:tcBorders>
              <w:top w:val="single" w:color="auto" w:sz="4" w:space="0"/>
              <w:left w:val="single" w:color="auto" w:sz="4" w:space="0"/>
              <w:bottom w:val="single" w:color="auto" w:sz="4" w:space="0"/>
              <w:right w:val="single" w:color="auto" w:sz="4" w:space="0"/>
            </w:tcBorders>
            <w:vAlign w:val="center"/>
          </w:tcPr>
          <w:p w14:paraId="5BDF8BA0">
            <w:pPr>
              <w:spacing w:line="360" w:lineRule="auto"/>
              <w:jc w:val="center"/>
              <w:rPr>
                <w:rFonts w:ascii="宋体" w:hAnsi="宋体"/>
                <w:szCs w:val="21"/>
              </w:rPr>
            </w:pPr>
          </w:p>
        </w:tc>
      </w:tr>
      <w:tr w14:paraId="265AEB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47"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00558C66">
            <w:pPr>
              <w:spacing w:line="360" w:lineRule="auto"/>
              <w:jc w:val="center"/>
              <w:rPr>
                <w:rFonts w:ascii="宋体" w:hAnsi="宋体"/>
                <w:szCs w:val="21"/>
              </w:rPr>
            </w:pPr>
            <w:r>
              <w:rPr>
                <w:rFonts w:hint="eastAsia" w:ascii="宋体" w:hAnsi="宋体"/>
                <w:szCs w:val="21"/>
              </w:rPr>
              <w:t>项目所在地</w:t>
            </w:r>
          </w:p>
        </w:tc>
        <w:tc>
          <w:tcPr>
            <w:tcW w:w="7301" w:type="dxa"/>
            <w:tcBorders>
              <w:top w:val="single" w:color="auto" w:sz="4" w:space="0"/>
              <w:left w:val="single" w:color="auto" w:sz="4" w:space="0"/>
              <w:bottom w:val="single" w:color="auto" w:sz="4" w:space="0"/>
              <w:right w:val="single" w:color="auto" w:sz="4" w:space="0"/>
            </w:tcBorders>
            <w:vAlign w:val="center"/>
          </w:tcPr>
          <w:p w14:paraId="45F47DD2">
            <w:pPr>
              <w:spacing w:line="360" w:lineRule="auto"/>
              <w:jc w:val="center"/>
              <w:rPr>
                <w:rFonts w:ascii="宋体" w:hAnsi="宋体"/>
                <w:szCs w:val="21"/>
              </w:rPr>
            </w:pPr>
          </w:p>
        </w:tc>
      </w:tr>
      <w:tr w14:paraId="26F115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17"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0D330C10">
            <w:pPr>
              <w:spacing w:line="360" w:lineRule="auto"/>
              <w:jc w:val="center"/>
              <w:rPr>
                <w:rFonts w:ascii="宋体" w:hAnsi="宋体"/>
                <w:szCs w:val="21"/>
              </w:rPr>
            </w:pPr>
            <w:r>
              <w:rPr>
                <w:rFonts w:hint="eastAsia" w:ascii="宋体" w:hAnsi="宋体"/>
                <w:szCs w:val="21"/>
              </w:rPr>
              <w:t>发包人名称</w:t>
            </w:r>
          </w:p>
        </w:tc>
        <w:tc>
          <w:tcPr>
            <w:tcW w:w="7301" w:type="dxa"/>
            <w:tcBorders>
              <w:top w:val="single" w:color="auto" w:sz="4" w:space="0"/>
              <w:left w:val="single" w:color="auto" w:sz="4" w:space="0"/>
              <w:bottom w:val="single" w:color="auto" w:sz="4" w:space="0"/>
              <w:right w:val="single" w:color="auto" w:sz="4" w:space="0"/>
            </w:tcBorders>
            <w:vAlign w:val="center"/>
          </w:tcPr>
          <w:p w14:paraId="1F79806F">
            <w:pPr>
              <w:spacing w:line="360" w:lineRule="auto"/>
              <w:jc w:val="center"/>
              <w:rPr>
                <w:rFonts w:ascii="宋体" w:hAnsi="宋体"/>
                <w:szCs w:val="21"/>
              </w:rPr>
            </w:pPr>
          </w:p>
        </w:tc>
      </w:tr>
      <w:tr w14:paraId="0F0423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62"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7746ECCE">
            <w:pPr>
              <w:spacing w:line="360" w:lineRule="auto"/>
              <w:jc w:val="center"/>
              <w:rPr>
                <w:rFonts w:ascii="宋体" w:hAnsi="宋体"/>
                <w:szCs w:val="21"/>
              </w:rPr>
            </w:pPr>
            <w:r>
              <w:rPr>
                <w:rFonts w:hint="eastAsia" w:ascii="宋体" w:hAnsi="宋体"/>
                <w:szCs w:val="21"/>
              </w:rPr>
              <w:t>发包人地址</w:t>
            </w:r>
          </w:p>
        </w:tc>
        <w:tc>
          <w:tcPr>
            <w:tcW w:w="7301" w:type="dxa"/>
            <w:tcBorders>
              <w:top w:val="single" w:color="auto" w:sz="4" w:space="0"/>
              <w:left w:val="single" w:color="auto" w:sz="4" w:space="0"/>
              <w:bottom w:val="single" w:color="auto" w:sz="4" w:space="0"/>
              <w:right w:val="single" w:color="auto" w:sz="4" w:space="0"/>
            </w:tcBorders>
            <w:vAlign w:val="center"/>
          </w:tcPr>
          <w:p w14:paraId="2BF029C5">
            <w:pPr>
              <w:spacing w:line="360" w:lineRule="auto"/>
              <w:jc w:val="center"/>
              <w:rPr>
                <w:rFonts w:ascii="宋体" w:hAnsi="宋体"/>
                <w:szCs w:val="21"/>
              </w:rPr>
            </w:pPr>
          </w:p>
        </w:tc>
      </w:tr>
      <w:tr w14:paraId="19A392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4C7AE9A9">
            <w:pPr>
              <w:spacing w:line="360" w:lineRule="auto"/>
              <w:jc w:val="center"/>
              <w:rPr>
                <w:rFonts w:ascii="宋体" w:hAnsi="宋体"/>
                <w:szCs w:val="21"/>
              </w:rPr>
            </w:pPr>
            <w:r>
              <w:rPr>
                <w:rFonts w:hint="eastAsia" w:ascii="宋体" w:hAnsi="宋体"/>
                <w:szCs w:val="21"/>
              </w:rPr>
              <w:t>发包人电话</w:t>
            </w:r>
          </w:p>
        </w:tc>
        <w:tc>
          <w:tcPr>
            <w:tcW w:w="7301" w:type="dxa"/>
            <w:tcBorders>
              <w:top w:val="single" w:color="auto" w:sz="4" w:space="0"/>
              <w:left w:val="single" w:color="auto" w:sz="4" w:space="0"/>
              <w:bottom w:val="single" w:color="auto" w:sz="4" w:space="0"/>
              <w:right w:val="single" w:color="auto" w:sz="4" w:space="0"/>
            </w:tcBorders>
            <w:vAlign w:val="center"/>
          </w:tcPr>
          <w:p w14:paraId="596D3FDB">
            <w:pPr>
              <w:spacing w:line="360" w:lineRule="auto"/>
              <w:jc w:val="center"/>
              <w:rPr>
                <w:rFonts w:ascii="宋体" w:hAnsi="宋体"/>
                <w:szCs w:val="21"/>
              </w:rPr>
            </w:pPr>
          </w:p>
        </w:tc>
      </w:tr>
      <w:tr w14:paraId="776EA9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2C5CC0B9">
            <w:pPr>
              <w:spacing w:line="360" w:lineRule="auto"/>
              <w:jc w:val="center"/>
              <w:rPr>
                <w:rFonts w:ascii="宋体" w:hAnsi="宋体"/>
                <w:szCs w:val="21"/>
              </w:rPr>
            </w:pPr>
            <w:r>
              <w:rPr>
                <w:rFonts w:hint="eastAsia" w:ascii="宋体" w:hAnsi="宋体"/>
                <w:szCs w:val="21"/>
              </w:rPr>
              <w:t>合同价格</w:t>
            </w:r>
          </w:p>
        </w:tc>
        <w:tc>
          <w:tcPr>
            <w:tcW w:w="7301" w:type="dxa"/>
            <w:tcBorders>
              <w:top w:val="single" w:color="auto" w:sz="4" w:space="0"/>
              <w:left w:val="single" w:color="auto" w:sz="4" w:space="0"/>
              <w:bottom w:val="single" w:color="auto" w:sz="4" w:space="0"/>
              <w:right w:val="single" w:color="auto" w:sz="4" w:space="0"/>
            </w:tcBorders>
            <w:vAlign w:val="center"/>
          </w:tcPr>
          <w:p w14:paraId="558C82A1">
            <w:pPr>
              <w:spacing w:line="360" w:lineRule="auto"/>
              <w:jc w:val="center"/>
              <w:rPr>
                <w:rFonts w:ascii="宋体" w:hAnsi="宋体"/>
                <w:szCs w:val="21"/>
              </w:rPr>
            </w:pPr>
          </w:p>
        </w:tc>
      </w:tr>
      <w:tr w14:paraId="1BEFFB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58"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1EDC0FF4">
            <w:pPr>
              <w:spacing w:line="360" w:lineRule="auto"/>
              <w:jc w:val="center"/>
              <w:rPr>
                <w:rFonts w:ascii="宋体" w:hAnsi="宋体"/>
                <w:szCs w:val="21"/>
              </w:rPr>
            </w:pPr>
            <w:r>
              <w:rPr>
                <w:rFonts w:hint="eastAsia" w:ascii="宋体" w:hAnsi="宋体"/>
                <w:szCs w:val="21"/>
              </w:rPr>
              <w:t>设计（施工）服务期限（工期）</w:t>
            </w:r>
          </w:p>
        </w:tc>
        <w:tc>
          <w:tcPr>
            <w:tcW w:w="7301" w:type="dxa"/>
            <w:tcBorders>
              <w:top w:val="single" w:color="auto" w:sz="4" w:space="0"/>
              <w:left w:val="single" w:color="auto" w:sz="4" w:space="0"/>
              <w:bottom w:val="single" w:color="auto" w:sz="4" w:space="0"/>
              <w:right w:val="single" w:color="auto" w:sz="4" w:space="0"/>
            </w:tcBorders>
            <w:vAlign w:val="center"/>
          </w:tcPr>
          <w:p w14:paraId="18A84E9B">
            <w:pPr>
              <w:spacing w:line="360" w:lineRule="auto"/>
              <w:jc w:val="center"/>
              <w:rPr>
                <w:rFonts w:ascii="宋体" w:hAnsi="宋体"/>
                <w:szCs w:val="21"/>
              </w:rPr>
            </w:pPr>
          </w:p>
        </w:tc>
      </w:tr>
      <w:tr w14:paraId="52A624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03"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5AF11B58">
            <w:pPr>
              <w:spacing w:line="360" w:lineRule="auto"/>
              <w:jc w:val="center"/>
              <w:rPr>
                <w:rFonts w:ascii="宋体" w:hAnsi="宋体"/>
                <w:szCs w:val="21"/>
              </w:rPr>
            </w:pPr>
            <w:r>
              <w:rPr>
                <w:rFonts w:hint="eastAsia" w:ascii="宋体" w:hAnsi="宋体"/>
                <w:szCs w:val="21"/>
              </w:rPr>
              <w:t>设计（施工）</w:t>
            </w:r>
          </w:p>
          <w:p w14:paraId="6094DEC3">
            <w:pPr>
              <w:spacing w:line="360" w:lineRule="auto"/>
              <w:jc w:val="center"/>
              <w:rPr>
                <w:rFonts w:ascii="宋体" w:hAnsi="宋体"/>
                <w:szCs w:val="21"/>
              </w:rPr>
            </w:pPr>
            <w:r>
              <w:rPr>
                <w:rFonts w:hint="eastAsia" w:ascii="宋体" w:hAnsi="宋体"/>
                <w:szCs w:val="21"/>
              </w:rPr>
              <w:t>内容</w:t>
            </w:r>
          </w:p>
        </w:tc>
        <w:tc>
          <w:tcPr>
            <w:tcW w:w="7301" w:type="dxa"/>
            <w:tcBorders>
              <w:top w:val="single" w:color="auto" w:sz="4" w:space="0"/>
              <w:left w:val="single" w:color="auto" w:sz="4" w:space="0"/>
              <w:bottom w:val="single" w:color="auto" w:sz="4" w:space="0"/>
              <w:right w:val="single" w:color="auto" w:sz="4" w:space="0"/>
            </w:tcBorders>
            <w:vAlign w:val="center"/>
          </w:tcPr>
          <w:p w14:paraId="0A310DF0">
            <w:pPr>
              <w:spacing w:line="360" w:lineRule="auto"/>
              <w:rPr>
                <w:rFonts w:ascii="宋体" w:hAnsi="宋体"/>
                <w:szCs w:val="21"/>
              </w:rPr>
            </w:pPr>
          </w:p>
        </w:tc>
      </w:tr>
      <w:tr w14:paraId="335ADF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77"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0EC840C9">
            <w:pPr>
              <w:spacing w:line="360" w:lineRule="auto"/>
              <w:jc w:val="center"/>
              <w:rPr>
                <w:rFonts w:ascii="宋体" w:hAnsi="宋体"/>
                <w:szCs w:val="21"/>
              </w:rPr>
            </w:pPr>
            <w:r>
              <w:rPr>
                <w:rFonts w:hint="eastAsia" w:ascii="宋体" w:hAnsi="宋体"/>
                <w:szCs w:val="21"/>
              </w:rPr>
              <w:t>项目负责人</w:t>
            </w:r>
          </w:p>
        </w:tc>
        <w:tc>
          <w:tcPr>
            <w:tcW w:w="7301" w:type="dxa"/>
            <w:tcBorders>
              <w:top w:val="single" w:color="auto" w:sz="4" w:space="0"/>
              <w:left w:val="single" w:color="auto" w:sz="4" w:space="0"/>
              <w:bottom w:val="single" w:color="auto" w:sz="4" w:space="0"/>
              <w:right w:val="single" w:color="auto" w:sz="4" w:space="0"/>
            </w:tcBorders>
            <w:vAlign w:val="center"/>
          </w:tcPr>
          <w:p w14:paraId="787D78E0">
            <w:pPr>
              <w:spacing w:line="360" w:lineRule="auto"/>
              <w:jc w:val="center"/>
              <w:rPr>
                <w:rFonts w:ascii="宋体" w:hAnsi="宋体"/>
                <w:szCs w:val="21"/>
              </w:rPr>
            </w:pPr>
          </w:p>
        </w:tc>
      </w:tr>
      <w:tr w14:paraId="2995ED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7"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102B10E2">
            <w:pPr>
              <w:spacing w:line="360" w:lineRule="auto"/>
              <w:jc w:val="center"/>
              <w:rPr>
                <w:rFonts w:ascii="宋体" w:hAnsi="宋体"/>
                <w:szCs w:val="21"/>
              </w:rPr>
            </w:pPr>
            <w:r>
              <w:rPr>
                <w:rFonts w:hint="eastAsia" w:ascii="宋体" w:hAnsi="宋体"/>
                <w:szCs w:val="21"/>
              </w:rPr>
              <w:t>项目描述</w:t>
            </w:r>
          </w:p>
        </w:tc>
        <w:tc>
          <w:tcPr>
            <w:tcW w:w="7301" w:type="dxa"/>
            <w:tcBorders>
              <w:top w:val="single" w:color="auto" w:sz="4" w:space="0"/>
              <w:left w:val="single" w:color="auto" w:sz="4" w:space="0"/>
              <w:bottom w:val="single" w:color="auto" w:sz="4" w:space="0"/>
              <w:right w:val="single" w:color="auto" w:sz="4" w:space="0"/>
            </w:tcBorders>
            <w:vAlign w:val="center"/>
          </w:tcPr>
          <w:p w14:paraId="70B6437A">
            <w:pPr>
              <w:spacing w:line="360" w:lineRule="auto"/>
              <w:jc w:val="center"/>
              <w:rPr>
                <w:rFonts w:ascii="宋体" w:hAnsi="宋体"/>
                <w:szCs w:val="21"/>
              </w:rPr>
            </w:pPr>
          </w:p>
        </w:tc>
      </w:tr>
      <w:tr w14:paraId="3838B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075" w:type="dxa"/>
            <w:tcBorders>
              <w:top w:val="single" w:color="auto" w:sz="4" w:space="0"/>
              <w:left w:val="single" w:color="auto" w:sz="4" w:space="0"/>
              <w:bottom w:val="single" w:color="auto" w:sz="4" w:space="0"/>
              <w:right w:val="single" w:color="auto" w:sz="4" w:space="0"/>
            </w:tcBorders>
            <w:vAlign w:val="center"/>
          </w:tcPr>
          <w:p w14:paraId="3AF5FA40">
            <w:pPr>
              <w:spacing w:line="360" w:lineRule="auto"/>
              <w:jc w:val="center"/>
              <w:rPr>
                <w:rFonts w:ascii="宋体" w:hAnsi="宋体"/>
                <w:szCs w:val="21"/>
              </w:rPr>
            </w:pPr>
            <w:r>
              <w:rPr>
                <w:rFonts w:hint="eastAsia" w:ascii="宋体" w:hAnsi="宋体"/>
                <w:szCs w:val="21"/>
              </w:rPr>
              <w:t>备注</w:t>
            </w:r>
          </w:p>
        </w:tc>
        <w:tc>
          <w:tcPr>
            <w:tcW w:w="7301" w:type="dxa"/>
            <w:tcBorders>
              <w:top w:val="single" w:color="auto" w:sz="4" w:space="0"/>
              <w:left w:val="single" w:color="auto" w:sz="4" w:space="0"/>
              <w:bottom w:val="single" w:color="auto" w:sz="4" w:space="0"/>
              <w:right w:val="single" w:color="auto" w:sz="4" w:space="0"/>
            </w:tcBorders>
            <w:vAlign w:val="center"/>
          </w:tcPr>
          <w:p w14:paraId="2050E377">
            <w:pPr>
              <w:spacing w:line="360" w:lineRule="auto"/>
              <w:jc w:val="center"/>
              <w:rPr>
                <w:rFonts w:ascii="宋体" w:hAnsi="宋体"/>
                <w:szCs w:val="21"/>
              </w:rPr>
            </w:pPr>
          </w:p>
        </w:tc>
      </w:tr>
    </w:tbl>
    <w:p w14:paraId="0B89DF77">
      <w:pPr>
        <w:spacing w:line="360" w:lineRule="auto"/>
        <w:rPr>
          <w:rFonts w:ascii="宋体" w:hAnsi="宋体" w:cs="宋体"/>
          <w:sz w:val="24"/>
        </w:rPr>
      </w:pPr>
      <w:r>
        <w:rPr>
          <w:rFonts w:hint="eastAsia" w:ascii="宋体" w:hAnsi="宋体" w:cs="宋体"/>
          <w:sz w:val="24"/>
        </w:rPr>
        <w:t>注:（1）投标人应根据投标人须知第3.5.3项的要求在本表后附相关证明材料扫描件。</w:t>
      </w:r>
    </w:p>
    <w:p w14:paraId="0AE4DEDE">
      <w:pPr>
        <w:spacing w:line="360" w:lineRule="auto"/>
        <w:rPr>
          <w:rFonts w:ascii="宋体" w:hAnsi="宋体" w:cs="宋体"/>
          <w:sz w:val="24"/>
        </w:rPr>
      </w:pPr>
      <w:r>
        <w:rPr>
          <w:rFonts w:ascii="宋体" w:hAnsi="宋体" w:eastAsia="宋体" w:cs="宋体"/>
          <w:sz w:val="24"/>
          <w:szCs w:val="24"/>
        </w:rPr>
        <w:t>（2）类似项目业绩是指:详见资格条件及评标办法要求；</w:t>
      </w:r>
      <w:r>
        <w:rPr>
          <w:rFonts w:ascii="宋体" w:hAnsi="宋体" w:eastAsia="宋体" w:cs="宋体"/>
          <w:sz w:val="24"/>
          <w:szCs w:val="24"/>
        </w:rPr>
        <w:br w:type="textWrapping"/>
      </w:r>
      <w:r>
        <w:rPr>
          <w:rFonts w:ascii="宋体" w:hAnsi="宋体" w:eastAsia="宋体" w:cs="宋体"/>
          <w:sz w:val="24"/>
          <w:szCs w:val="24"/>
        </w:rPr>
        <w:t>“近年完成的类似工程设计项目”应附合同协议书、发包人出具的证明文件，类似项目业绩时间以发包人出具的证明文件中载明的设计成果文件提交时间为准；</w:t>
      </w:r>
      <w:r>
        <w:rPr>
          <w:rFonts w:ascii="宋体" w:hAnsi="宋体" w:eastAsia="宋体" w:cs="宋体"/>
          <w:sz w:val="24"/>
          <w:szCs w:val="24"/>
        </w:rPr>
        <w:br w:type="textWrapping"/>
      </w:r>
      <w:r>
        <w:rPr>
          <w:rFonts w:ascii="宋体" w:hAnsi="宋体" w:eastAsia="宋体" w:cs="宋体"/>
          <w:sz w:val="24"/>
          <w:szCs w:val="24"/>
        </w:rPr>
        <w:t>“近年完成的类似施工项目”应附合同协议书、工程竣工验收证明材料，类似项目业绩时间以竣工验收证明材料上的竣工时间为准；</w:t>
      </w:r>
      <w:r>
        <w:rPr>
          <w:rFonts w:ascii="宋体" w:hAnsi="宋体" w:eastAsia="宋体" w:cs="宋体"/>
          <w:sz w:val="24"/>
          <w:szCs w:val="24"/>
        </w:rPr>
        <w:br w:type="textWrapping"/>
      </w:r>
      <w:r>
        <w:rPr>
          <w:rFonts w:ascii="宋体" w:hAnsi="宋体" w:eastAsia="宋体" w:cs="宋体"/>
          <w:sz w:val="24"/>
          <w:szCs w:val="24"/>
        </w:rPr>
        <w:t>“近年完成的类似工程总承包项目”应附合同协议书、工程竣工验收证明材料，类似项目业绩时间以竣工验收证明材料上的竣工时间为准。类似工程总承包项目是指设计施工总承包项目或设计采购施工总承包项目（含勘察一并发包的项目）。</w:t>
      </w:r>
      <w:r>
        <w:rPr>
          <w:rFonts w:ascii="宋体" w:hAnsi="宋体" w:eastAsia="宋体" w:cs="宋体"/>
          <w:sz w:val="24"/>
          <w:szCs w:val="24"/>
        </w:rPr>
        <w:br w:type="textWrapping"/>
      </w:r>
      <w:r>
        <w:rPr>
          <w:rFonts w:ascii="宋体" w:hAnsi="宋体" w:eastAsia="宋体" w:cs="宋体"/>
          <w:sz w:val="24"/>
          <w:szCs w:val="24"/>
        </w:rPr>
        <w:t>（3）类似项目业绩的合同协议书或工程竣工验收证明材料无法体现招标文件要求的建设规模或技术指标的，则投标人还需在发包人出具的证明文件中予以明确。</w:t>
      </w:r>
    </w:p>
    <w:p w14:paraId="09D5999E">
      <w:pPr>
        <w:spacing w:line="360" w:lineRule="auto"/>
        <w:ind w:firstLine="480" w:firstLineChars="200"/>
        <w:rPr>
          <w:rFonts w:ascii="宋体" w:hAnsi="宋体" w:cs="宋体"/>
          <w:sz w:val="24"/>
        </w:rPr>
        <w:sectPr>
          <w:pgSz w:w="11906" w:h="16838"/>
          <w:pgMar w:top="1417" w:right="1417" w:bottom="1417" w:left="1417" w:header="851" w:footer="850" w:gutter="0"/>
          <w:cols w:space="720" w:num="1"/>
          <w:docGrid w:type="lines" w:linePitch="312" w:charSpace="0"/>
        </w:sectPr>
      </w:pPr>
      <w:r>
        <w:rPr>
          <w:rFonts w:hint="eastAsia" w:ascii="宋体" w:hAnsi="宋体" w:cs="宋体"/>
          <w:sz w:val="24"/>
        </w:rPr>
        <w:t>（4）若无要求，无需填写。</w:t>
      </w:r>
    </w:p>
    <w:p w14:paraId="50DBA1AF">
      <w:pPr>
        <w:pStyle w:val="2"/>
        <w:spacing w:line="360" w:lineRule="auto"/>
        <w:jc w:val="center"/>
      </w:pPr>
      <w:r>
        <w:t>（四）正在</w:t>
      </w:r>
      <w:r>
        <w:rPr>
          <w:rFonts w:hint="eastAsia"/>
        </w:rPr>
        <w:t>设计（施工实施工程总承包）</w:t>
      </w:r>
      <w:r>
        <w:t>和新承接的项目情况表</w:t>
      </w:r>
      <w:bookmarkEnd w:id="538"/>
      <w:bookmarkEnd w:id="539"/>
      <w:bookmarkEnd w:id="540"/>
      <w:bookmarkEnd w:id="541"/>
      <w:bookmarkEnd w:id="542"/>
      <w:bookmarkEnd w:id="543"/>
    </w:p>
    <w:p w14:paraId="2A9BC087">
      <w:r>
        <w:rPr>
          <w:rFonts w:hint="eastAsia" w:ascii="宋体" w:hAnsi="宋体"/>
          <w:szCs w:val="21"/>
        </w:rPr>
        <w:t>序号：</w:t>
      </w:r>
      <w:r>
        <w:rPr>
          <w:rFonts w:hint="eastAsia"/>
          <w:u w:val="single"/>
        </w:rPr>
        <w:t xml:space="preserve">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6107"/>
      </w:tblGrid>
      <w:tr w14:paraId="75126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415" w:type="dxa"/>
            <w:vAlign w:val="center"/>
          </w:tcPr>
          <w:p w14:paraId="705775A3">
            <w:pPr>
              <w:topLinePunct/>
              <w:spacing w:line="360" w:lineRule="auto"/>
              <w:jc w:val="center"/>
              <w:rPr>
                <w:szCs w:val="21"/>
              </w:rPr>
            </w:pPr>
            <w:r>
              <w:rPr>
                <w:szCs w:val="21"/>
              </w:rPr>
              <w:t>项目名称</w:t>
            </w:r>
          </w:p>
        </w:tc>
        <w:tc>
          <w:tcPr>
            <w:tcW w:w="6107" w:type="dxa"/>
          </w:tcPr>
          <w:p w14:paraId="3C671D00">
            <w:pPr>
              <w:topLinePunct/>
              <w:spacing w:line="360" w:lineRule="auto"/>
              <w:rPr>
                <w:szCs w:val="21"/>
              </w:rPr>
            </w:pPr>
          </w:p>
        </w:tc>
      </w:tr>
      <w:tr w14:paraId="17EB4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415" w:type="dxa"/>
            <w:vAlign w:val="center"/>
          </w:tcPr>
          <w:p w14:paraId="4B34C4E7">
            <w:pPr>
              <w:topLinePunct/>
              <w:spacing w:line="360" w:lineRule="auto"/>
              <w:jc w:val="center"/>
              <w:rPr>
                <w:szCs w:val="21"/>
              </w:rPr>
            </w:pPr>
            <w:r>
              <w:rPr>
                <w:szCs w:val="21"/>
              </w:rPr>
              <w:t>项目所在地</w:t>
            </w:r>
          </w:p>
        </w:tc>
        <w:tc>
          <w:tcPr>
            <w:tcW w:w="6107" w:type="dxa"/>
          </w:tcPr>
          <w:p w14:paraId="2FEF0F7D">
            <w:pPr>
              <w:topLinePunct/>
              <w:spacing w:line="360" w:lineRule="auto"/>
              <w:rPr>
                <w:szCs w:val="21"/>
              </w:rPr>
            </w:pPr>
          </w:p>
        </w:tc>
      </w:tr>
      <w:tr w14:paraId="4870C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15" w:type="dxa"/>
            <w:vAlign w:val="center"/>
          </w:tcPr>
          <w:p w14:paraId="09DB5EEB">
            <w:pPr>
              <w:topLinePunct/>
              <w:spacing w:line="360" w:lineRule="auto"/>
              <w:jc w:val="center"/>
              <w:rPr>
                <w:szCs w:val="21"/>
              </w:rPr>
            </w:pPr>
            <w:r>
              <w:rPr>
                <w:szCs w:val="21"/>
              </w:rPr>
              <w:t>发包人名称</w:t>
            </w:r>
          </w:p>
        </w:tc>
        <w:tc>
          <w:tcPr>
            <w:tcW w:w="6107" w:type="dxa"/>
          </w:tcPr>
          <w:p w14:paraId="6A538D22">
            <w:pPr>
              <w:topLinePunct/>
              <w:spacing w:line="360" w:lineRule="auto"/>
              <w:rPr>
                <w:szCs w:val="21"/>
              </w:rPr>
            </w:pPr>
          </w:p>
        </w:tc>
      </w:tr>
      <w:tr w14:paraId="617DA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15" w:type="dxa"/>
            <w:vAlign w:val="center"/>
          </w:tcPr>
          <w:p w14:paraId="0A1175E6">
            <w:pPr>
              <w:topLinePunct/>
              <w:spacing w:line="360" w:lineRule="auto"/>
              <w:jc w:val="center"/>
              <w:rPr>
                <w:szCs w:val="21"/>
              </w:rPr>
            </w:pPr>
            <w:r>
              <w:rPr>
                <w:szCs w:val="21"/>
              </w:rPr>
              <w:t>发包人地址</w:t>
            </w:r>
          </w:p>
        </w:tc>
        <w:tc>
          <w:tcPr>
            <w:tcW w:w="6107" w:type="dxa"/>
          </w:tcPr>
          <w:p w14:paraId="2CDD6D32">
            <w:pPr>
              <w:topLinePunct/>
              <w:spacing w:line="360" w:lineRule="auto"/>
              <w:rPr>
                <w:szCs w:val="21"/>
              </w:rPr>
            </w:pPr>
          </w:p>
        </w:tc>
      </w:tr>
      <w:tr w14:paraId="2E9AA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15" w:type="dxa"/>
            <w:vAlign w:val="center"/>
          </w:tcPr>
          <w:p w14:paraId="6FB82940">
            <w:pPr>
              <w:topLinePunct/>
              <w:spacing w:line="360" w:lineRule="auto"/>
              <w:jc w:val="center"/>
              <w:rPr>
                <w:szCs w:val="21"/>
              </w:rPr>
            </w:pPr>
            <w:r>
              <w:rPr>
                <w:szCs w:val="21"/>
              </w:rPr>
              <w:t>发包人电话</w:t>
            </w:r>
          </w:p>
        </w:tc>
        <w:tc>
          <w:tcPr>
            <w:tcW w:w="6107" w:type="dxa"/>
          </w:tcPr>
          <w:p w14:paraId="7265DA03">
            <w:pPr>
              <w:topLinePunct/>
              <w:spacing w:line="360" w:lineRule="auto"/>
              <w:rPr>
                <w:szCs w:val="21"/>
              </w:rPr>
            </w:pPr>
          </w:p>
        </w:tc>
      </w:tr>
      <w:tr w14:paraId="25DEF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15" w:type="dxa"/>
            <w:vAlign w:val="center"/>
          </w:tcPr>
          <w:p w14:paraId="56E5C07E">
            <w:pPr>
              <w:topLinePunct/>
              <w:spacing w:line="360" w:lineRule="auto"/>
              <w:jc w:val="center"/>
              <w:rPr>
                <w:szCs w:val="21"/>
              </w:rPr>
            </w:pPr>
            <w:r>
              <w:rPr>
                <w:szCs w:val="21"/>
              </w:rPr>
              <w:t>签约合同价</w:t>
            </w:r>
          </w:p>
        </w:tc>
        <w:tc>
          <w:tcPr>
            <w:tcW w:w="6107" w:type="dxa"/>
          </w:tcPr>
          <w:p w14:paraId="4ED2394F">
            <w:pPr>
              <w:topLinePunct/>
              <w:spacing w:line="360" w:lineRule="auto"/>
              <w:rPr>
                <w:szCs w:val="21"/>
              </w:rPr>
            </w:pPr>
          </w:p>
        </w:tc>
      </w:tr>
      <w:tr w14:paraId="06A4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15" w:type="dxa"/>
            <w:vAlign w:val="center"/>
          </w:tcPr>
          <w:p w14:paraId="26AA591A">
            <w:pPr>
              <w:topLinePunct/>
              <w:spacing w:line="360" w:lineRule="auto"/>
              <w:jc w:val="center"/>
              <w:rPr>
                <w:szCs w:val="21"/>
              </w:rPr>
            </w:pPr>
            <w:r>
              <w:rPr>
                <w:szCs w:val="21"/>
              </w:rPr>
              <w:t>开工日期</w:t>
            </w:r>
          </w:p>
        </w:tc>
        <w:tc>
          <w:tcPr>
            <w:tcW w:w="6107" w:type="dxa"/>
          </w:tcPr>
          <w:p w14:paraId="21183642">
            <w:pPr>
              <w:topLinePunct/>
              <w:spacing w:line="360" w:lineRule="auto"/>
              <w:rPr>
                <w:szCs w:val="21"/>
              </w:rPr>
            </w:pPr>
          </w:p>
        </w:tc>
      </w:tr>
      <w:tr w14:paraId="7BCE5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415" w:type="dxa"/>
            <w:vAlign w:val="center"/>
          </w:tcPr>
          <w:p w14:paraId="70214489">
            <w:pPr>
              <w:topLinePunct/>
              <w:spacing w:line="360" w:lineRule="auto"/>
              <w:jc w:val="center"/>
              <w:rPr>
                <w:szCs w:val="21"/>
              </w:rPr>
            </w:pPr>
            <w:r>
              <w:rPr>
                <w:szCs w:val="21"/>
              </w:rPr>
              <w:t>计划</w:t>
            </w:r>
            <w:r>
              <w:rPr>
                <w:rFonts w:hint="eastAsia"/>
              </w:rPr>
              <w:t>竣工</w:t>
            </w:r>
            <w:r>
              <w:rPr>
                <w:szCs w:val="21"/>
              </w:rPr>
              <w:t>日期</w:t>
            </w:r>
          </w:p>
        </w:tc>
        <w:tc>
          <w:tcPr>
            <w:tcW w:w="6107" w:type="dxa"/>
          </w:tcPr>
          <w:p w14:paraId="64ADBE0E">
            <w:pPr>
              <w:topLinePunct/>
              <w:spacing w:line="360" w:lineRule="auto"/>
              <w:rPr>
                <w:szCs w:val="21"/>
              </w:rPr>
            </w:pPr>
          </w:p>
        </w:tc>
      </w:tr>
      <w:tr w14:paraId="7792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415" w:type="dxa"/>
            <w:vAlign w:val="center"/>
          </w:tcPr>
          <w:p w14:paraId="09B36F82">
            <w:pPr>
              <w:topLinePunct/>
              <w:spacing w:line="360" w:lineRule="auto"/>
              <w:jc w:val="center"/>
              <w:rPr>
                <w:szCs w:val="21"/>
              </w:rPr>
            </w:pPr>
            <w:r>
              <w:rPr>
                <w:szCs w:val="21"/>
              </w:rPr>
              <w:t>承担的工作</w:t>
            </w:r>
          </w:p>
        </w:tc>
        <w:tc>
          <w:tcPr>
            <w:tcW w:w="6107" w:type="dxa"/>
          </w:tcPr>
          <w:p w14:paraId="797E55DA">
            <w:pPr>
              <w:topLinePunct/>
              <w:spacing w:line="360" w:lineRule="auto"/>
              <w:rPr>
                <w:szCs w:val="21"/>
              </w:rPr>
            </w:pPr>
          </w:p>
        </w:tc>
      </w:tr>
      <w:tr w14:paraId="7D37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415" w:type="dxa"/>
            <w:vAlign w:val="center"/>
          </w:tcPr>
          <w:p w14:paraId="37D6513E">
            <w:pPr>
              <w:topLinePunct/>
              <w:spacing w:line="360" w:lineRule="auto"/>
              <w:jc w:val="center"/>
              <w:rPr>
                <w:szCs w:val="21"/>
              </w:rPr>
            </w:pPr>
            <w:r>
              <w:rPr>
                <w:szCs w:val="21"/>
              </w:rPr>
              <w:t>工程质量</w:t>
            </w:r>
          </w:p>
        </w:tc>
        <w:tc>
          <w:tcPr>
            <w:tcW w:w="6107" w:type="dxa"/>
          </w:tcPr>
          <w:p w14:paraId="400E94B5">
            <w:pPr>
              <w:topLinePunct/>
              <w:spacing w:line="360" w:lineRule="auto"/>
              <w:rPr>
                <w:szCs w:val="21"/>
              </w:rPr>
            </w:pPr>
          </w:p>
        </w:tc>
      </w:tr>
      <w:tr w14:paraId="153DF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415" w:type="dxa"/>
            <w:vAlign w:val="center"/>
          </w:tcPr>
          <w:p w14:paraId="024F644A">
            <w:pPr>
              <w:topLinePunct/>
              <w:spacing w:line="360" w:lineRule="auto"/>
              <w:jc w:val="center"/>
              <w:rPr>
                <w:szCs w:val="21"/>
              </w:rPr>
            </w:pPr>
            <w:r>
              <w:rPr>
                <w:szCs w:val="21"/>
              </w:rPr>
              <w:t>项目经理</w:t>
            </w:r>
            <w:r>
              <w:rPr>
                <w:rFonts w:hint="eastAsia"/>
                <w:szCs w:val="21"/>
              </w:rPr>
              <w:t>（项目负责人）</w:t>
            </w:r>
          </w:p>
        </w:tc>
        <w:tc>
          <w:tcPr>
            <w:tcW w:w="6107" w:type="dxa"/>
          </w:tcPr>
          <w:p w14:paraId="0EDFA02F">
            <w:pPr>
              <w:topLinePunct/>
              <w:spacing w:line="360" w:lineRule="auto"/>
              <w:rPr>
                <w:szCs w:val="21"/>
              </w:rPr>
            </w:pPr>
          </w:p>
        </w:tc>
      </w:tr>
      <w:tr w14:paraId="4FA03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2415" w:type="dxa"/>
            <w:vAlign w:val="center"/>
          </w:tcPr>
          <w:p w14:paraId="7866307E">
            <w:pPr>
              <w:topLinePunct/>
              <w:spacing w:line="360" w:lineRule="auto"/>
              <w:jc w:val="center"/>
              <w:rPr>
                <w:szCs w:val="21"/>
              </w:rPr>
            </w:pPr>
            <w:r>
              <w:rPr>
                <w:szCs w:val="21"/>
              </w:rPr>
              <w:t>项目描述</w:t>
            </w:r>
          </w:p>
        </w:tc>
        <w:tc>
          <w:tcPr>
            <w:tcW w:w="6107" w:type="dxa"/>
          </w:tcPr>
          <w:p w14:paraId="787B3DBA">
            <w:pPr>
              <w:topLinePunct/>
              <w:spacing w:line="360" w:lineRule="auto"/>
              <w:rPr>
                <w:szCs w:val="21"/>
              </w:rPr>
            </w:pPr>
          </w:p>
          <w:p w14:paraId="6CF1D4B6">
            <w:pPr>
              <w:topLinePunct/>
              <w:spacing w:line="360" w:lineRule="auto"/>
              <w:rPr>
                <w:szCs w:val="21"/>
              </w:rPr>
            </w:pPr>
          </w:p>
          <w:p w14:paraId="2891C31F">
            <w:pPr>
              <w:topLinePunct/>
              <w:spacing w:line="360" w:lineRule="auto"/>
              <w:rPr>
                <w:szCs w:val="21"/>
              </w:rPr>
            </w:pPr>
          </w:p>
        </w:tc>
      </w:tr>
      <w:tr w14:paraId="652E9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415" w:type="dxa"/>
            <w:vAlign w:val="center"/>
          </w:tcPr>
          <w:p w14:paraId="1A6EE6D0">
            <w:pPr>
              <w:topLinePunct/>
              <w:spacing w:line="360" w:lineRule="auto"/>
              <w:jc w:val="center"/>
              <w:rPr>
                <w:szCs w:val="21"/>
              </w:rPr>
            </w:pPr>
            <w:r>
              <w:rPr>
                <w:szCs w:val="21"/>
              </w:rPr>
              <w:t>备注</w:t>
            </w:r>
          </w:p>
        </w:tc>
        <w:tc>
          <w:tcPr>
            <w:tcW w:w="6107" w:type="dxa"/>
          </w:tcPr>
          <w:p w14:paraId="299839FA">
            <w:pPr>
              <w:topLinePunct/>
              <w:spacing w:line="360" w:lineRule="auto"/>
              <w:rPr>
                <w:szCs w:val="21"/>
              </w:rPr>
            </w:pPr>
          </w:p>
        </w:tc>
      </w:tr>
    </w:tbl>
    <w:p w14:paraId="5D4ABAB5">
      <w:pPr>
        <w:spacing w:line="360" w:lineRule="auto"/>
        <w:rPr>
          <w:rFonts w:ascii="宋体" w:hAnsi="宋体" w:cs="宋体"/>
          <w:sz w:val="24"/>
        </w:rPr>
      </w:pPr>
      <w:bookmarkStart w:id="544" w:name="_Toc247527852"/>
      <w:bookmarkStart w:id="545" w:name="_Toc152045812"/>
      <w:bookmarkStart w:id="546" w:name="_Toc247514304"/>
      <w:bookmarkStart w:id="547" w:name="_Toc144974880"/>
      <w:bookmarkStart w:id="548" w:name="_Toc152042601"/>
      <w:r>
        <w:rPr>
          <w:rFonts w:hint="eastAsia" w:ascii="宋体" w:hAnsi="宋体" w:cs="宋体"/>
          <w:sz w:val="24"/>
        </w:rPr>
        <w:t>注:（1）投标人应根据投标人须知第3.5.4项的要求在本表后附相关证明材料扫描件。</w:t>
      </w:r>
    </w:p>
    <w:p w14:paraId="4B2E1181">
      <w:pPr>
        <w:spacing w:line="360" w:lineRule="auto"/>
        <w:ind w:firstLine="360" w:firstLineChars="150"/>
        <w:rPr>
          <w:rFonts w:ascii="宋体" w:hAnsi="宋体" w:cs="宋体"/>
          <w:sz w:val="24"/>
        </w:rPr>
      </w:pPr>
      <w:r>
        <w:rPr>
          <w:rFonts w:hint="eastAsia" w:ascii="宋体" w:hAnsi="宋体" w:cs="宋体"/>
          <w:sz w:val="24"/>
        </w:rPr>
        <w:t>（2）类似项目业绩是指:详见资格条件及评标办法要求，证明材料为合同协议书。类似项目业绩时间以合同协议书签订时间为准。</w:t>
      </w:r>
    </w:p>
    <w:p w14:paraId="77648D57">
      <w:pPr>
        <w:spacing w:line="360" w:lineRule="auto"/>
        <w:ind w:firstLine="480" w:firstLineChars="200"/>
        <w:rPr>
          <w:rFonts w:ascii="宋体" w:hAnsi="宋体" w:cs="宋体"/>
          <w:sz w:val="24"/>
        </w:rPr>
      </w:pPr>
      <w:r>
        <w:rPr>
          <w:rFonts w:hint="eastAsia" w:ascii="宋体" w:hAnsi="宋体" w:cs="宋体"/>
          <w:sz w:val="24"/>
        </w:rPr>
        <w:t>（3）类似项目业绩的合同协议书无法体现招标文件要求的建设规模或技术指标的，则投标人还需在发包人出具的证明文件中予以明确。</w:t>
      </w:r>
      <w:r>
        <w:rPr>
          <w:rFonts w:hint="eastAsia" w:ascii="宋体" w:hAnsi="宋体" w:cs="宋体"/>
          <w:sz w:val="24"/>
        </w:rPr>
        <w:br w:type="textWrapping"/>
      </w:r>
      <w:r>
        <w:rPr>
          <w:rFonts w:hint="eastAsia" w:ascii="宋体" w:hAnsi="宋体" w:cs="宋体"/>
          <w:sz w:val="24"/>
        </w:rPr>
        <w:t xml:space="preserve">    （4）工程总承包是指设计施工总承包或设计施工总承包。</w:t>
      </w:r>
    </w:p>
    <w:p w14:paraId="3952541F">
      <w:pPr>
        <w:spacing w:line="360" w:lineRule="auto"/>
        <w:ind w:firstLine="480" w:firstLineChars="200"/>
        <w:rPr>
          <w:rFonts w:ascii="宋体" w:hAnsi="宋体" w:cs="宋体"/>
          <w:sz w:val="24"/>
        </w:rPr>
        <w:sectPr>
          <w:pgSz w:w="11906" w:h="16838"/>
          <w:pgMar w:top="1417" w:right="1417" w:bottom="1417" w:left="1417" w:header="851" w:footer="850" w:gutter="0"/>
          <w:cols w:space="720" w:num="1"/>
          <w:docGrid w:type="lines" w:linePitch="312" w:charSpace="0"/>
        </w:sectPr>
      </w:pPr>
      <w:r>
        <w:rPr>
          <w:rFonts w:hint="eastAsia" w:ascii="宋体" w:hAnsi="宋体" w:cs="宋体"/>
          <w:sz w:val="24"/>
        </w:rPr>
        <w:t>（5）若无要求，无需填写。</w:t>
      </w:r>
    </w:p>
    <w:p w14:paraId="585059DA">
      <w:pPr>
        <w:spacing w:line="360" w:lineRule="auto"/>
      </w:pPr>
    </w:p>
    <w:p w14:paraId="7E773B8B">
      <w:pPr>
        <w:pStyle w:val="2"/>
        <w:spacing w:line="360" w:lineRule="auto"/>
        <w:jc w:val="center"/>
      </w:pPr>
      <w:bookmarkStart w:id="549" w:name="_Toc300835228"/>
      <w:r>
        <w:t>（五）近年发生的</w:t>
      </w:r>
      <w:r>
        <w:rPr>
          <w:rFonts w:hint="eastAsia"/>
        </w:rPr>
        <w:t>重大</w:t>
      </w:r>
      <w:r>
        <w:t>诉讼及仲裁情况</w:t>
      </w:r>
      <w:bookmarkEnd w:id="544"/>
      <w:bookmarkEnd w:id="545"/>
      <w:bookmarkEnd w:id="546"/>
      <w:bookmarkEnd w:id="547"/>
      <w:bookmarkEnd w:id="548"/>
      <w:bookmarkEnd w:id="549"/>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93"/>
        <w:gridCol w:w="1712"/>
        <w:gridCol w:w="2976"/>
        <w:gridCol w:w="2842"/>
      </w:tblGrid>
      <w:tr w14:paraId="0E4FC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42" w:hRule="atLeast"/>
        </w:trPr>
        <w:tc>
          <w:tcPr>
            <w:tcW w:w="993" w:type="dxa"/>
            <w:vAlign w:val="center"/>
          </w:tcPr>
          <w:p w14:paraId="3D35EE1E">
            <w:pPr>
              <w:spacing w:line="36" w:lineRule="auto"/>
              <w:jc w:val="center"/>
              <w:rPr>
                <w:rFonts w:ascii="宋体" w:hAnsi="宋体"/>
                <w:sz w:val="24"/>
              </w:rPr>
            </w:pPr>
            <w:bookmarkStart w:id="550" w:name="_Toc152042602"/>
            <w:bookmarkStart w:id="551" w:name="_Toc247527853"/>
            <w:bookmarkStart w:id="552" w:name="_Toc152045813"/>
            <w:bookmarkStart w:id="553" w:name="_Toc247530162"/>
            <w:bookmarkStart w:id="554" w:name="_Toc247514305"/>
            <w:bookmarkStart w:id="555" w:name="_Toc144974881"/>
            <w:r>
              <w:rPr>
                <w:rFonts w:hint="eastAsia" w:ascii="宋体" w:hAnsi="宋体"/>
                <w:sz w:val="24"/>
              </w:rPr>
              <w:t>序号</w:t>
            </w:r>
          </w:p>
        </w:tc>
        <w:tc>
          <w:tcPr>
            <w:tcW w:w="1712" w:type="dxa"/>
            <w:vAlign w:val="center"/>
          </w:tcPr>
          <w:p w14:paraId="30190BC8">
            <w:pPr>
              <w:spacing w:line="36" w:lineRule="auto"/>
              <w:jc w:val="center"/>
              <w:rPr>
                <w:rFonts w:ascii="宋体" w:hAnsi="宋体"/>
                <w:sz w:val="24"/>
              </w:rPr>
            </w:pPr>
            <w:r>
              <w:rPr>
                <w:rFonts w:hint="eastAsia" w:ascii="宋体" w:hAnsi="宋体"/>
                <w:sz w:val="24"/>
              </w:rPr>
              <w:t>案由</w:t>
            </w:r>
          </w:p>
        </w:tc>
        <w:tc>
          <w:tcPr>
            <w:tcW w:w="2976" w:type="dxa"/>
            <w:vAlign w:val="center"/>
          </w:tcPr>
          <w:p w14:paraId="42E60D06">
            <w:pPr>
              <w:spacing w:line="36" w:lineRule="auto"/>
              <w:jc w:val="center"/>
              <w:rPr>
                <w:rFonts w:ascii="宋体" w:hAnsi="宋体"/>
                <w:sz w:val="24"/>
              </w:rPr>
            </w:pPr>
            <w:r>
              <w:rPr>
                <w:rFonts w:hint="eastAsia" w:ascii="宋体" w:hAnsi="宋体"/>
                <w:sz w:val="24"/>
              </w:rPr>
              <w:t>双方当事人名称</w:t>
            </w:r>
          </w:p>
        </w:tc>
        <w:tc>
          <w:tcPr>
            <w:tcW w:w="2842" w:type="dxa"/>
            <w:vAlign w:val="center"/>
          </w:tcPr>
          <w:p w14:paraId="7D4FE3F9">
            <w:pPr>
              <w:spacing w:line="36" w:lineRule="auto"/>
              <w:jc w:val="center"/>
              <w:rPr>
                <w:rFonts w:ascii="宋体" w:hAnsi="宋体"/>
                <w:sz w:val="24"/>
              </w:rPr>
            </w:pPr>
            <w:r>
              <w:rPr>
                <w:rFonts w:hint="eastAsia" w:ascii="宋体" w:hAnsi="宋体"/>
                <w:sz w:val="24"/>
              </w:rPr>
              <w:t>判决、裁决时间</w:t>
            </w:r>
          </w:p>
        </w:tc>
      </w:tr>
      <w:tr w14:paraId="6F578A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7AFC499E">
            <w:pPr>
              <w:spacing w:line="36" w:lineRule="auto"/>
              <w:jc w:val="center"/>
              <w:rPr>
                <w:rFonts w:ascii="宋体" w:hAnsi="宋体"/>
                <w:sz w:val="27"/>
              </w:rPr>
            </w:pPr>
            <w:r>
              <w:rPr>
                <w:rFonts w:hint="eastAsia" w:ascii="宋体" w:hAnsi="宋体"/>
                <w:sz w:val="27"/>
              </w:rPr>
              <w:t>1</w:t>
            </w:r>
          </w:p>
        </w:tc>
        <w:tc>
          <w:tcPr>
            <w:tcW w:w="1712" w:type="dxa"/>
            <w:vAlign w:val="center"/>
          </w:tcPr>
          <w:p w14:paraId="14FFD21B">
            <w:pPr>
              <w:spacing w:line="36" w:lineRule="auto"/>
              <w:jc w:val="center"/>
              <w:rPr>
                <w:rFonts w:ascii="宋体" w:hAnsi="宋体"/>
                <w:sz w:val="27"/>
              </w:rPr>
            </w:pPr>
            <w:r>
              <w:rPr>
                <w:rFonts w:hint="eastAsia" w:ascii="宋体" w:hAnsi="宋体"/>
                <w:sz w:val="27"/>
              </w:rPr>
              <w:t>……</w:t>
            </w:r>
          </w:p>
        </w:tc>
        <w:tc>
          <w:tcPr>
            <w:tcW w:w="2976" w:type="dxa"/>
            <w:vAlign w:val="center"/>
          </w:tcPr>
          <w:p w14:paraId="4E7D46A2">
            <w:pPr>
              <w:spacing w:line="36" w:lineRule="auto"/>
              <w:jc w:val="center"/>
              <w:rPr>
                <w:rFonts w:ascii="宋体" w:hAnsi="宋体"/>
                <w:sz w:val="27"/>
              </w:rPr>
            </w:pPr>
            <w:r>
              <w:rPr>
                <w:rFonts w:hint="eastAsia" w:ascii="宋体" w:hAnsi="宋体"/>
                <w:sz w:val="27"/>
              </w:rPr>
              <w:t>……</w:t>
            </w:r>
          </w:p>
        </w:tc>
        <w:tc>
          <w:tcPr>
            <w:tcW w:w="2842" w:type="dxa"/>
            <w:vAlign w:val="center"/>
          </w:tcPr>
          <w:p w14:paraId="134CD8B0">
            <w:pPr>
              <w:spacing w:line="36" w:lineRule="auto"/>
              <w:jc w:val="center"/>
              <w:rPr>
                <w:rFonts w:ascii="宋体" w:hAnsi="宋体"/>
                <w:sz w:val="27"/>
              </w:rPr>
            </w:pPr>
            <w:r>
              <w:rPr>
                <w:rFonts w:hint="eastAsia" w:ascii="宋体" w:hAnsi="宋体"/>
                <w:sz w:val="27"/>
              </w:rPr>
              <w:t>……</w:t>
            </w:r>
          </w:p>
        </w:tc>
      </w:tr>
      <w:tr w14:paraId="0D1283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28C1F403">
            <w:pPr>
              <w:spacing w:line="36" w:lineRule="auto"/>
              <w:jc w:val="center"/>
              <w:rPr>
                <w:rFonts w:ascii="宋体" w:hAnsi="宋体"/>
                <w:sz w:val="27"/>
              </w:rPr>
            </w:pPr>
            <w:r>
              <w:rPr>
                <w:rFonts w:hint="eastAsia" w:ascii="宋体" w:hAnsi="宋体"/>
                <w:sz w:val="27"/>
              </w:rPr>
              <w:t>……</w:t>
            </w:r>
          </w:p>
        </w:tc>
        <w:tc>
          <w:tcPr>
            <w:tcW w:w="1712" w:type="dxa"/>
            <w:vAlign w:val="center"/>
          </w:tcPr>
          <w:p w14:paraId="2FC3151C">
            <w:pPr>
              <w:spacing w:line="36" w:lineRule="auto"/>
              <w:jc w:val="center"/>
              <w:rPr>
                <w:rFonts w:ascii="宋体" w:hAnsi="宋体"/>
                <w:sz w:val="27"/>
              </w:rPr>
            </w:pPr>
            <w:r>
              <w:rPr>
                <w:rFonts w:hint="eastAsia" w:ascii="宋体" w:hAnsi="宋体"/>
                <w:sz w:val="27"/>
              </w:rPr>
              <w:t>……</w:t>
            </w:r>
          </w:p>
        </w:tc>
        <w:tc>
          <w:tcPr>
            <w:tcW w:w="2976" w:type="dxa"/>
            <w:vAlign w:val="center"/>
          </w:tcPr>
          <w:p w14:paraId="3609219F">
            <w:pPr>
              <w:spacing w:line="36" w:lineRule="auto"/>
              <w:jc w:val="center"/>
              <w:rPr>
                <w:rFonts w:ascii="宋体" w:hAnsi="宋体"/>
                <w:sz w:val="27"/>
              </w:rPr>
            </w:pPr>
            <w:r>
              <w:rPr>
                <w:rFonts w:hint="eastAsia" w:ascii="宋体" w:hAnsi="宋体"/>
                <w:sz w:val="27"/>
              </w:rPr>
              <w:t>……</w:t>
            </w:r>
          </w:p>
        </w:tc>
        <w:tc>
          <w:tcPr>
            <w:tcW w:w="2842" w:type="dxa"/>
            <w:vAlign w:val="center"/>
          </w:tcPr>
          <w:p w14:paraId="6F902969">
            <w:pPr>
              <w:spacing w:line="36" w:lineRule="auto"/>
              <w:jc w:val="center"/>
              <w:rPr>
                <w:rFonts w:ascii="宋体" w:hAnsi="宋体"/>
                <w:sz w:val="27"/>
              </w:rPr>
            </w:pPr>
            <w:r>
              <w:rPr>
                <w:rFonts w:hint="eastAsia" w:ascii="宋体" w:hAnsi="宋体"/>
                <w:sz w:val="27"/>
              </w:rPr>
              <w:t>……</w:t>
            </w:r>
          </w:p>
        </w:tc>
      </w:tr>
      <w:tr w14:paraId="0CE9C3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14:paraId="0D03835E">
            <w:pPr>
              <w:spacing w:line="36" w:lineRule="auto"/>
              <w:jc w:val="center"/>
              <w:rPr>
                <w:rFonts w:ascii="宋体" w:hAnsi="宋体"/>
                <w:sz w:val="27"/>
              </w:rPr>
            </w:pPr>
            <w:r>
              <w:rPr>
                <w:rFonts w:hint="eastAsia" w:ascii="宋体" w:hAnsi="宋体"/>
                <w:sz w:val="27"/>
              </w:rPr>
              <w:t>……</w:t>
            </w:r>
          </w:p>
        </w:tc>
        <w:tc>
          <w:tcPr>
            <w:tcW w:w="1712" w:type="dxa"/>
            <w:vAlign w:val="center"/>
          </w:tcPr>
          <w:p w14:paraId="317E520A">
            <w:pPr>
              <w:spacing w:line="36" w:lineRule="auto"/>
              <w:jc w:val="center"/>
              <w:rPr>
                <w:rFonts w:ascii="宋体" w:hAnsi="宋体"/>
                <w:sz w:val="27"/>
              </w:rPr>
            </w:pPr>
            <w:r>
              <w:rPr>
                <w:rFonts w:hint="eastAsia" w:ascii="宋体" w:hAnsi="宋体"/>
                <w:sz w:val="27"/>
              </w:rPr>
              <w:t>……</w:t>
            </w:r>
          </w:p>
        </w:tc>
        <w:tc>
          <w:tcPr>
            <w:tcW w:w="2976" w:type="dxa"/>
            <w:vAlign w:val="center"/>
          </w:tcPr>
          <w:p w14:paraId="113421CD">
            <w:pPr>
              <w:spacing w:line="36" w:lineRule="auto"/>
              <w:jc w:val="center"/>
              <w:rPr>
                <w:rFonts w:ascii="宋体" w:hAnsi="宋体"/>
                <w:sz w:val="27"/>
              </w:rPr>
            </w:pPr>
            <w:r>
              <w:rPr>
                <w:rFonts w:hint="eastAsia" w:ascii="宋体" w:hAnsi="宋体"/>
                <w:sz w:val="27"/>
              </w:rPr>
              <w:t>……</w:t>
            </w:r>
          </w:p>
        </w:tc>
        <w:tc>
          <w:tcPr>
            <w:tcW w:w="2842" w:type="dxa"/>
            <w:vAlign w:val="center"/>
          </w:tcPr>
          <w:p w14:paraId="6A72D61B">
            <w:pPr>
              <w:spacing w:line="36" w:lineRule="auto"/>
              <w:jc w:val="center"/>
              <w:rPr>
                <w:rFonts w:ascii="宋体" w:hAnsi="宋体"/>
                <w:sz w:val="27"/>
              </w:rPr>
            </w:pPr>
            <w:r>
              <w:rPr>
                <w:rFonts w:hint="eastAsia" w:ascii="宋体" w:hAnsi="宋体"/>
                <w:sz w:val="27"/>
              </w:rPr>
              <w:t>……</w:t>
            </w:r>
          </w:p>
        </w:tc>
      </w:tr>
    </w:tbl>
    <w:p w14:paraId="29E23167">
      <w:pPr>
        <w:spacing w:line="360" w:lineRule="auto"/>
        <w:ind w:firstLine="360" w:firstLineChars="150"/>
        <w:rPr>
          <w:rFonts w:ascii="宋体" w:hAnsi="宋体" w:cs="宋体"/>
          <w:sz w:val="24"/>
        </w:rPr>
      </w:pPr>
      <w:r>
        <w:rPr>
          <w:rFonts w:hint="eastAsia" w:ascii="宋体" w:hAnsi="宋体" w:cs="宋体"/>
          <w:sz w:val="24"/>
        </w:rPr>
        <w:t>注： （1）本表为调查表，填写投标人认为可能影响其履约能力的诉讼、仲裁情况，并按投标人须知第3.5.5项的要求在本表后附相关证明材料扫描件。</w:t>
      </w:r>
    </w:p>
    <w:p w14:paraId="1BA45248">
      <w:pPr>
        <w:spacing w:line="360" w:lineRule="auto"/>
        <w:ind w:firstLine="1080" w:firstLineChars="450"/>
      </w:pPr>
      <w:r>
        <w:rPr>
          <w:rFonts w:hint="eastAsia" w:ascii="宋体" w:hAnsi="宋体" w:cs="宋体"/>
          <w:sz w:val="24"/>
        </w:rPr>
        <w:t>（2）诉讼、仲裁的起算时间为法院或仲裁机构作出的判决、裁决文书的时间。</w:t>
      </w:r>
    </w:p>
    <w:p w14:paraId="2ED27B34">
      <w:pPr>
        <w:spacing w:line="360" w:lineRule="auto"/>
        <w:ind w:firstLine="1080" w:firstLineChars="450"/>
      </w:pPr>
      <w:r>
        <w:rPr>
          <w:rFonts w:hint="eastAsia" w:ascii="宋体" w:hAnsi="宋体" w:cs="宋体"/>
          <w:sz w:val="24"/>
        </w:rPr>
        <w:t>（3）若为联合体投标，所有成员单位均须提供。</w:t>
      </w:r>
    </w:p>
    <w:p w14:paraId="51AF0179">
      <w:pPr>
        <w:spacing w:line="360" w:lineRule="auto"/>
        <w:ind w:firstLine="480"/>
      </w:pPr>
      <w:r>
        <w:rPr>
          <w:rFonts w:hint="eastAsia"/>
        </w:rPr>
        <w:br w:type="page"/>
      </w:r>
    </w:p>
    <w:p w14:paraId="5EF32694">
      <w:pPr>
        <w:pStyle w:val="2"/>
        <w:spacing w:line="360" w:lineRule="auto"/>
        <w:jc w:val="center"/>
        <w:rPr>
          <w:sz w:val="20"/>
          <w:szCs w:val="20"/>
        </w:rPr>
      </w:pPr>
      <w:bookmarkStart w:id="556" w:name="_Toc300835229"/>
      <w:r>
        <w:rPr>
          <w:rFonts w:hint="eastAsia"/>
        </w:rPr>
        <w:t>（六）</w:t>
      </w:r>
      <w:r>
        <w:t>拟投入本</w:t>
      </w:r>
      <w:r>
        <w:rPr>
          <w:rFonts w:hint="eastAsia"/>
        </w:rPr>
        <w:t>项目</w:t>
      </w:r>
      <w:r>
        <w:t>的主要施工设备表</w:t>
      </w:r>
      <w:bookmarkEnd w:id="556"/>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27FAE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274CF6FD">
            <w:pPr>
              <w:spacing w:line="360" w:lineRule="auto"/>
              <w:rPr>
                <w:szCs w:val="21"/>
              </w:rPr>
            </w:pPr>
            <w:r>
              <w:rPr>
                <w:szCs w:val="21"/>
              </w:rPr>
              <w:t>序号</w:t>
            </w:r>
          </w:p>
        </w:tc>
        <w:tc>
          <w:tcPr>
            <w:tcW w:w="1086" w:type="dxa"/>
            <w:vAlign w:val="center"/>
          </w:tcPr>
          <w:p w14:paraId="2559F7E4">
            <w:pPr>
              <w:spacing w:line="360" w:lineRule="auto"/>
              <w:jc w:val="center"/>
              <w:rPr>
                <w:szCs w:val="21"/>
              </w:rPr>
            </w:pPr>
            <w:r>
              <w:rPr>
                <w:szCs w:val="21"/>
              </w:rPr>
              <w:t>设备名称</w:t>
            </w:r>
          </w:p>
        </w:tc>
        <w:tc>
          <w:tcPr>
            <w:tcW w:w="761" w:type="dxa"/>
            <w:vAlign w:val="center"/>
          </w:tcPr>
          <w:p w14:paraId="6357D364">
            <w:pPr>
              <w:spacing w:line="360" w:lineRule="auto"/>
              <w:jc w:val="center"/>
              <w:rPr>
                <w:szCs w:val="21"/>
              </w:rPr>
            </w:pPr>
            <w:r>
              <w:rPr>
                <w:szCs w:val="21"/>
              </w:rPr>
              <w:t>型号</w:t>
            </w:r>
          </w:p>
          <w:p w14:paraId="1FC8008F">
            <w:pPr>
              <w:spacing w:line="360" w:lineRule="auto"/>
              <w:jc w:val="center"/>
              <w:rPr>
                <w:szCs w:val="21"/>
              </w:rPr>
            </w:pPr>
            <w:r>
              <w:rPr>
                <w:szCs w:val="21"/>
              </w:rPr>
              <w:t>规格</w:t>
            </w:r>
          </w:p>
        </w:tc>
        <w:tc>
          <w:tcPr>
            <w:tcW w:w="990" w:type="dxa"/>
            <w:vAlign w:val="center"/>
          </w:tcPr>
          <w:p w14:paraId="36EB5A10">
            <w:pPr>
              <w:spacing w:line="360" w:lineRule="auto"/>
              <w:jc w:val="center"/>
              <w:rPr>
                <w:szCs w:val="21"/>
              </w:rPr>
            </w:pPr>
            <w:r>
              <w:rPr>
                <w:szCs w:val="21"/>
              </w:rPr>
              <w:t>数量</w:t>
            </w:r>
          </w:p>
        </w:tc>
        <w:tc>
          <w:tcPr>
            <w:tcW w:w="672" w:type="dxa"/>
            <w:vAlign w:val="center"/>
          </w:tcPr>
          <w:p w14:paraId="7B2D0CFD">
            <w:pPr>
              <w:spacing w:line="360" w:lineRule="auto"/>
              <w:jc w:val="center"/>
              <w:rPr>
                <w:szCs w:val="21"/>
              </w:rPr>
            </w:pPr>
            <w:r>
              <w:rPr>
                <w:szCs w:val="21"/>
              </w:rPr>
              <w:t>国别</w:t>
            </w:r>
          </w:p>
          <w:p w14:paraId="6F6C5324">
            <w:pPr>
              <w:spacing w:line="360" w:lineRule="auto"/>
              <w:jc w:val="center"/>
              <w:rPr>
                <w:szCs w:val="21"/>
              </w:rPr>
            </w:pPr>
            <w:r>
              <w:rPr>
                <w:szCs w:val="21"/>
              </w:rPr>
              <w:t>产地</w:t>
            </w:r>
          </w:p>
        </w:tc>
        <w:tc>
          <w:tcPr>
            <w:tcW w:w="738" w:type="dxa"/>
            <w:vAlign w:val="center"/>
          </w:tcPr>
          <w:p w14:paraId="39D32970">
            <w:pPr>
              <w:spacing w:line="360" w:lineRule="auto"/>
              <w:jc w:val="center"/>
              <w:rPr>
                <w:szCs w:val="21"/>
              </w:rPr>
            </w:pPr>
            <w:r>
              <w:rPr>
                <w:szCs w:val="21"/>
              </w:rPr>
              <w:t>制造</w:t>
            </w:r>
          </w:p>
          <w:p w14:paraId="2592FF3D">
            <w:pPr>
              <w:spacing w:line="360" w:lineRule="auto"/>
              <w:jc w:val="center"/>
              <w:rPr>
                <w:szCs w:val="21"/>
              </w:rPr>
            </w:pPr>
            <w:r>
              <w:rPr>
                <w:szCs w:val="21"/>
              </w:rPr>
              <w:t>年份</w:t>
            </w:r>
          </w:p>
        </w:tc>
        <w:tc>
          <w:tcPr>
            <w:tcW w:w="1212" w:type="dxa"/>
            <w:vAlign w:val="center"/>
          </w:tcPr>
          <w:p w14:paraId="5D0FAF79">
            <w:pPr>
              <w:spacing w:line="360" w:lineRule="auto"/>
              <w:jc w:val="center"/>
              <w:rPr>
                <w:szCs w:val="21"/>
              </w:rPr>
            </w:pPr>
            <w:r>
              <w:rPr>
                <w:szCs w:val="21"/>
              </w:rPr>
              <w:t>额定功率（</w:t>
            </w:r>
            <w:r>
              <w:rPr>
                <w:rFonts w:hint="eastAsia"/>
                <w:szCs w:val="21"/>
              </w:rPr>
              <w:t>k</w:t>
            </w:r>
            <w:r>
              <w:rPr>
                <w:szCs w:val="21"/>
              </w:rPr>
              <w:t>W）</w:t>
            </w:r>
          </w:p>
        </w:tc>
        <w:tc>
          <w:tcPr>
            <w:tcW w:w="874" w:type="dxa"/>
            <w:vAlign w:val="center"/>
          </w:tcPr>
          <w:p w14:paraId="3C39B0DC">
            <w:pPr>
              <w:spacing w:line="360" w:lineRule="auto"/>
              <w:jc w:val="center"/>
              <w:rPr>
                <w:szCs w:val="21"/>
              </w:rPr>
            </w:pPr>
            <w:r>
              <w:rPr>
                <w:szCs w:val="21"/>
              </w:rPr>
              <w:t>生产</w:t>
            </w:r>
          </w:p>
          <w:p w14:paraId="7CD64A75">
            <w:pPr>
              <w:spacing w:line="360" w:lineRule="auto"/>
              <w:jc w:val="center"/>
              <w:rPr>
                <w:szCs w:val="21"/>
              </w:rPr>
            </w:pPr>
            <w:r>
              <w:rPr>
                <w:szCs w:val="21"/>
              </w:rPr>
              <w:t>能力</w:t>
            </w:r>
          </w:p>
        </w:tc>
        <w:tc>
          <w:tcPr>
            <w:tcW w:w="1055" w:type="dxa"/>
            <w:vAlign w:val="center"/>
          </w:tcPr>
          <w:p w14:paraId="03060FEA">
            <w:pPr>
              <w:spacing w:line="360" w:lineRule="auto"/>
              <w:jc w:val="center"/>
              <w:rPr>
                <w:szCs w:val="21"/>
              </w:rPr>
            </w:pPr>
            <w:r>
              <w:rPr>
                <w:szCs w:val="21"/>
              </w:rPr>
              <w:t>用于施工部位</w:t>
            </w:r>
          </w:p>
        </w:tc>
        <w:tc>
          <w:tcPr>
            <w:tcW w:w="691" w:type="dxa"/>
            <w:vAlign w:val="center"/>
          </w:tcPr>
          <w:p w14:paraId="3E04AAC3">
            <w:pPr>
              <w:spacing w:line="360" w:lineRule="auto"/>
              <w:jc w:val="center"/>
              <w:rPr>
                <w:szCs w:val="21"/>
              </w:rPr>
            </w:pPr>
            <w:r>
              <w:rPr>
                <w:szCs w:val="21"/>
              </w:rPr>
              <w:t>备注</w:t>
            </w:r>
          </w:p>
        </w:tc>
      </w:tr>
      <w:tr w14:paraId="29FDB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6B89FB60">
            <w:pPr>
              <w:spacing w:line="360" w:lineRule="auto"/>
              <w:jc w:val="center"/>
              <w:rPr>
                <w:szCs w:val="21"/>
              </w:rPr>
            </w:pPr>
          </w:p>
        </w:tc>
        <w:tc>
          <w:tcPr>
            <w:tcW w:w="1086" w:type="dxa"/>
            <w:vAlign w:val="center"/>
          </w:tcPr>
          <w:p w14:paraId="35EDEDFF">
            <w:pPr>
              <w:spacing w:line="360" w:lineRule="auto"/>
              <w:jc w:val="center"/>
              <w:rPr>
                <w:szCs w:val="21"/>
              </w:rPr>
            </w:pPr>
          </w:p>
        </w:tc>
        <w:tc>
          <w:tcPr>
            <w:tcW w:w="761" w:type="dxa"/>
            <w:vAlign w:val="center"/>
          </w:tcPr>
          <w:p w14:paraId="7F5CADDC">
            <w:pPr>
              <w:spacing w:line="360" w:lineRule="auto"/>
              <w:jc w:val="center"/>
              <w:rPr>
                <w:szCs w:val="21"/>
              </w:rPr>
            </w:pPr>
          </w:p>
        </w:tc>
        <w:tc>
          <w:tcPr>
            <w:tcW w:w="990" w:type="dxa"/>
            <w:vAlign w:val="center"/>
          </w:tcPr>
          <w:p w14:paraId="678AA8DF">
            <w:pPr>
              <w:spacing w:line="360" w:lineRule="auto"/>
              <w:jc w:val="center"/>
              <w:rPr>
                <w:szCs w:val="21"/>
              </w:rPr>
            </w:pPr>
          </w:p>
        </w:tc>
        <w:tc>
          <w:tcPr>
            <w:tcW w:w="672" w:type="dxa"/>
            <w:vAlign w:val="center"/>
          </w:tcPr>
          <w:p w14:paraId="51A80921">
            <w:pPr>
              <w:spacing w:line="360" w:lineRule="auto"/>
              <w:jc w:val="center"/>
              <w:rPr>
                <w:szCs w:val="21"/>
              </w:rPr>
            </w:pPr>
          </w:p>
        </w:tc>
        <w:tc>
          <w:tcPr>
            <w:tcW w:w="738" w:type="dxa"/>
            <w:vAlign w:val="center"/>
          </w:tcPr>
          <w:p w14:paraId="7D121F92">
            <w:pPr>
              <w:spacing w:line="360" w:lineRule="auto"/>
              <w:jc w:val="center"/>
              <w:rPr>
                <w:szCs w:val="21"/>
              </w:rPr>
            </w:pPr>
          </w:p>
        </w:tc>
        <w:tc>
          <w:tcPr>
            <w:tcW w:w="1212" w:type="dxa"/>
            <w:vAlign w:val="center"/>
          </w:tcPr>
          <w:p w14:paraId="2B5C4BFB">
            <w:pPr>
              <w:spacing w:line="360" w:lineRule="auto"/>
              <w:jc w:val="center"/>
              <w:rPr>
                <w:szCs w:val="21"/>
              </w:rPr>
            </w:pPr>
          </w:p>
        </w:tc>
        <w:tc>
          <w:tcPr>
            <w:tcW w:w="874" w:type="dxa"/>
            <w:vAlign w:val="center"/>
          </w:tcPr>
          <w:p w14:paraId="25BD3B30">
            <w:pPr>
              <w:spacing w:line="360" w:lineRule="auto"/>
              <w:jc w:val="center"/>
              <w:rPr>
                <w:szCs w:val="21"/>
              </w:rPr>
            </w:pPr>
          </w:p>
        </w:tc>
        <w:tc>
          <w:tcPr>
            <w:tcW w:w="1055" w:type="dxa"/>
            <w:vAlign w:val="center"/>
          </w:tcPr>
          <w:p w14:paraId="6BAF296F">
            <w:pPr>
              <w:spacing w:line="360" w:lineRule="auto"/>
              <w:jc w:val="center"/>
              <w:rPr>
                <w:szCs w:val="21"/>
              </w:rPr>
            </w:pPr>
          </w:p>
        </w:tc>
        <w:tc>
          <w:tcPr>
            <w:tcW w:w="691" w:type="dxa"/>
            <w:vAlign w:val="center"/>
          </w:tcPr>
          <w:p w14:paraId="5AC85E12">
            <w:pPr>
              <w:spacing w:line="360" w:lineRule="auto"/>
              <w:jc w:val="center"/>
              <w:rPr>
                <w:szCs w:val="21"/>
              </w:rPr>
            </w:pPr>
          </w:p>
        </w:tc>
      </w:tr>
      <w:tr w14:paraId="0A86B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15D9C5D6">
            <w:pPr>
              <w:spacing w:line="360" w:lineRule="auto"/>
              <w:jc w:val="center"/>
              <w:rPr>
                <w:szCs w:val="21"/>
              </w:rPr>
            </w:pPr>
          </w:p>
        </w:tc>
        <w:tc>
          <w:tcPr>
            <w:tcW w:w="1086" w:type="dxa"/>
            <w:vAlign w:val="center"/>
          </w:tcPr>
          <w:p w14:paraId="7824CB55">
            <w:pPr>
              <w:spacing w:line="360" w:lineRule="auto"/>
              <w:jc w:val="center"/>
              <w:rPr>
                <w:szCs w:val="21"/>
              </w:rPr>
            </w:pPr>
          </w:p>
        </w:tc>
        <w:tc>
          <w:tcPr>
            <w:tcW w:w="761" w:type="dxa"/>
            <w:vAlign w:val="center"/>
          </w:tcPr>
          <w:p w14:paraId="23656AD9">
            <w:pPr>
              <w:spacing w:line="360" w:lineRule="auto"/>
              <w:jc w:val="center"/>
              <w:rPr>
                <w:szCs w:val="21"/>
              </w:rPr>
            </w:pPr>
          </w:p>
        </w:tc>
        <w:tc>
          <w:tcPr>
            <w:tcW w:w="990" w:type="dxa"/>
            <w:vAlign w:val="center"/>
          </w:tcPr>
          <w:p w14:paraId="6A1958BC">
            <w:pPr>
              <w:spacing w:line="360" w:lineRule="auto"/>
              <w:jc w:val="center"/>
              <w:rPr>
                <w:szCs w:val="21"/>
              </w:rPr>
            </w:pPr>
          </w:p>
        </w:tc>
        <w:tc>
          <w:tcPr>
            <w:tcW w:w="672" w:type="dxa"/>
            <w:vAlign w:val="center"/>
          </w:tcPr>
          <w:p w14:paraId="493576CA">
            <w:pPr>
              <w:spacing w:line="360" w:lineRule="auto"/>
              <w:jc w:val="center"/>
              <w:rPr>
                <w:szCs w:val="21"/>
              </w:rPr>
            </w:pPr>
          </w:p>
        </w:tc>
        <w:tc>
          <w:tcPr>
            <w:tcW w:w="738" w:type="dxa"/>
            <w:vAlign w:val="center"/>
          </w:tcPr>
          <w:p w14:paraId="6EAD6E29">
            <w:pPr>
              <w:spacing w:line="360" w:lineRule="auto"/>
              <w:jc w:val="center"/>
              <w:rPr>
                <w:szCs w:val="21"/>
              </w:rPr>
            </w:pPr>
          </w:p>
        </w:tc>
        <w:tc>
          <w:tcPr>
            <w:tcW w:w="1212" w:type="dxa"/>
            <w:vAlign w:val="center"/>
          </w:tcPr>
          <w:p w14:paraId="5ABEB579">
            <w:pPr>
              <w:spacing w:line="360" w:lineRule="auto"/>
              <w:jc w:val="center"/>
              <w:rPr>
                <w:szCs w:val="21"/>
              </w:rPr>
            </w:pPr>
          </w:p>
        </w:tc>
        <w:tc>
          <w:tcPr>
            <w:tcW w:w="874" w:type="dxa"/>
            <w:vAlign w:val="center"/>
          </w:tcPr>
          <w:p w14:paraId="483D0792">
            <w:pPr>
              <w:spacing w:line="360" w:lineRule="auto"/>
              <w:jc w:val="center"/>
              <w:rPr>
                <w:szCs w:val="21"/>
              </w:rPr>
            </w:pPr>
          </w:p>
        </w:tc>
        <w:tc>
          <w:tcPr>
            <w:tcW w:w="1055" w:type="dxa"/>
            <w:vAlign w:val="center"/>
          </w:tcPr>
          <w:p w14:paraId="565BFF51">
            <w:pPr>
              <w:spacing w:line="360" w:lineRule="auto"/>
              <w:jc w:val="center"/>
              <w:rPr>
                <w:szCs w:val="21"/>
              </w:rPr>
            </w:pPr>
          </w:p>
        </w:tc>
        <w:tc>
          <w:tcPr>
            <w:tcW w:w="691" w:type="dxa"/>
            <w:vAlign w:val="center"/>
          </w:tcPr>
          <w:p w14:paraId="16C3E02E">
            <w:pPr>
              <w:spacing w:line="360" w:lineRule="auto"/>
              <w:jc w:val="center"/>
              <w:rPr>
                <w:szCs w:val="21"/>
              </w:rPr>
            </w:pPr>
          </w:p>
        </w:tc>
      </w:tr>
      <w:tr w14:paraId="63640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25F485B7">
            <w:pPr>
              <w:spacing w:line="360" w:lineRule="auto"/>
              <w:jc w:val="center"/>
              <w:rPr>
                <w:szCs w:val="21"/>
              </w:rPr>
            </w:pPr>
          </w:p>
        </w:tc>
        <w:tc>
          <w:tcPr>
            <w:tcW w:w="1086" w:type="dxa"/>
          </w:tcPr>
          <w:p w14:paraId="7F666ACE">
            <w:pPr>
              <w:spacing w:line="360" w:lineRule="auto"/>
              <w:jc w:val="center"/>
              <w:rPr>
                <w:szCs w:val="21"/>
              </w:rPr>
            </w:pPr>
          </w:p>
        </w:tc>
        <w:tc>
          <w:tcPr>
            <w:tcW w:w="761" w:type="dxa"/>
          </w:tcPr>
          <w:p w14:paraId="38F43C2F">
            <w:pPr>
              <w:spacing w:line="360" w:lineRule="auto"/>
              <w:jc w:val="center"/>
              <w:rPr>
                <w:szCs w:val="21"/>
              </w:rPr>
            </w:pPr>
          </w:p>
        </w:tc>
        <w:tc>
          <w:tcPr>
            <w:tcW w:w="990" w:type="dxa"/>
          </w:tcPr>
          <w:p w14:paraId="084BA8D5">
            <w:pPr>
              <w:spacing w:line="360" w:lineRule="auto"/>
              <w:jc w:val="center"/>
              <w:rPr>
                <w:szCs w:val="21"/>
              </w:rPr>
            </w:pPr>
          </w:p>
        </w:tc>
        <w:tc>
          <w:tcPr>
            <w:tcW w:w="672" w:type="dxa"/>
          </w:tcPr>
          <w:p w14:paraId="0472EB4F">
            <w:pPr>
              <w:spacing w:line="360" w:lineRule="auto"/>
              <w:jc w:val="center"/>
              <w:rPr>
                <w:szCs w:val="21"/>
              </w:rPr>
            </w:pPr>
          </w:p>
        </w:tc>
        <w:tc>
          <w:tcPr>
            <w:tcW w:w="738" w:type="dxa"/>
          </w:tcPr>
          <w:p w14:paraId="6C875A34">
            <w:pPr>
              <w:spacing w:line="360" w:lineRule="auto"/>
              <w:jc w:val="center"/>
              <w:rPr>
                <w:szCs w:val="21"/>
              </w:rPr>
            </w:pPr>
          </w:p>
        </w:tc>
        <w:tc>
          <w:tcPr>
            <w:tcW w:w="1212" w:type="dxa"/>
          </w:tcPr>
          <w:p w14:paraId="444C25C6">
            <w:pPr>
              <w:spacing w:line="360" w:lineRule="auto"/>
              <w:jc w:val="center"/>
              <w:rPr>
                <w:szCs w:val="21"/>
              </w:rPr>
            </w:pPr>
          </w:p>
        </w:tc>
        <w:tc>
          <w:tcPr>
            <w:tcW w:w="874" w:type="dxa"/>
          </w:tcPr>
          <w:p w14:paraId="7CD1A1F9">
            <w:pPr>
              <w:spacing w:line="360" w:lineRule="auto"/>
              <w:jc w:val="center"/>
              <w:rPr>
                <w:szCs w:val="21"/>
              </w:rPr>
            </w:pPr>
          </w:p>
        </w:tc>
        <w:tc>
          <w:tcPr>
            <w:tcW w:w="1055" w:type="dxa"/>
          </w:tcPr>
          <w:p w14:paraId="2B5E4477">
            <w:pPr>
              <w:spacing w:line="360" w:lineRule="auto"/>
              <w:jc w:val="center"/>
              <w:rPr>
                <w:szCs w:val="21"/>
              </w:rPr>
            </w:pPr>
          </w:p>
        </w:tc>
        <w:tc>
          <w:tcPr>
            <w:tcW w:w="691" w:type="dxa"/>
          </w:tcPr>
          <w:p w14:paraId="5CC3F0A7">
            <w:pPr>
              <w:spacing w:line="360" w:lineRule="auto"/>
              <w:jc w:val="center"/>
              <w:rPr>
                <w:szCs w:val="21"/>
              </w:rPr>
            </w:pPr>
          </w:p>
        </w:tc>
      </w:tr>
      <w:tr w14:paraId="01D4D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72D8400D">
            <w:pPr>
              <w:spacing w:line="360" w:lineRule="auto"/>
              <w:jc w:val="center"/>
              <w:rPr>
                <w:szCs w:val="21"/>
              </w:rPr>
            </w:pPr>
          </w:p>
        </w:tc>
        <w:tc>
          <w:tcPr>
            <w:tcW w:w="1086" w:type="dxa"/>
          </w:tcPr>
          <w:p w14:paraId="20C217D2">
            <w:pPr>
              <w:spacing w:line="360" w:lineRule="auto"/>
              <w:jc w:val="center"/>
              <w:rPr>
                <w:szCs w:val="21"/>
              </w:rPr>
            </w:pPr>
          </w:p>
        </w:tc>
        <w:tc>
          <w:tcPr>
            <w:tcW w:w="761" w:type="dxa"/>
          </w:tcPr>
          <w:p w14:paraId="725B3A8A">
            <w:pPr>
              <w:spacing w:line="360" w:lineRule="auto"/>
              <w:jc w:val="center"/>
              <w:rPr>
                <w:szCs w:val="21"/>
              </w:rPr>
            </w:pPr>
          </w:p>
        </w:tc>
        <w:tc>
          <w:tcPr>
            <w:tcW w:w="990" w:type="dxa"/>
          </w:tcPr>
          <w:p w14:paraId="2C8D8B2A">
            <w:pPr>
              <w:spacing w:line="360" w:lineRule="auto"/>
              <w:jc w:val="center"/>
              <w:rPr>
                <w:szCs w:val="21"/>
              </w:rPr>
            </w:pPr>
          </w:p>
        </w:tc>
        <w:tc>
          <w:tcPr>
            <w:tcW w:w="672" w:type="dxa"/>
          </w:tcPr>
          <w:p w14:paraId="5293BD67">
            <w:pPr>
              <w:spacing w:line="360" w:lineRule="auto"/>
              <w:jc w:val="center"/>
              <w:rPr>
                <w:szCs w:val="21"/>
              </w:rPr>
            </w:pPr>
          </w:p>
        </w:tc>
        <w:tc>
          <w:tcPr>
            <w:tcW w:w="738" w:type="dxa"/>
          </w:tcPr>
          <w:p w14:paraId="77574B7F">
            <w:pPr>
              <w:spacing w:line="360" w:lineRule="auto"/>
              <w:jc w:val="center"/>
              <w:rPr>
                <w:szCs w:val="21"/>
              </w:rPr>
            </w:pPr>
          </w:p>
        </w:tc>
        <w:tc>
          <w:tcPr>
            <w:tcW w:w="1212" w:type="dxa"/>
          </w:tcPr>
          <w:p w14:paraId="2B4AB44E">
            <w:pPr>
              <w:spacing w:line="360" w:lineRule="auto"/>
              <w:jc w:val="center"/>
              <w:rPr>
                <w:szCs w:val="21"/>
              </w:rPr>
            </w:pPr>
          </w:p>
        </w:tc>
        <w:tc>
          <w:tcPr>
            <w:tcW w:w="874" w:type="dxa"/>
          </w:tcPr>
          <w:p w14:paraId="4DACDE8B">
            <w:pPr>
              <w:spacing w:line="360" w:lineRule="auto"/>
              <w:jc w:val="center"/>
              <w:rPr>
                <w:szCs w:val="21"/>
              </w:rPr>
            </w:pPr>
          </w:p>
        </w:tc>
        <w:tc>
          <w:tcPr>
            <w:tcW w:w="1055" w:type="dxa"/>
          </w:tcPr>
          <w:p w14:paraId="7143BD81">
            <w:pPr>
              <w:spacing w:line="360" w:lineRule="auto"/>
              <w:jc w:val="center"/>
              <w:rPr>
                <w:szCs w:val="21"/>
              </w:rPr>
            </w:pPr>
          </w:p>
        </w:tc>
        <w:tc>
          <w:tcPr>
            <w:tcW w:w="691" w:type="dxa"/>
          </w:tcPr>
          <w:p w14:paraId="3EE5C4B4">
            <w:pPr>
              <w:spacing w:line="360" w:lineRule="auto"/>
              <w:jc w:val="center"/>
              <w:rPr>
                <w:szCs w:val="21"/>
              </w:rPr>
            </w:pPr>
          </w:p>
        </w:tc>
      </w:tr>
      <w:tr w14:paraId="75E4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6F0759D0">
            <w:pPr>
              <w:spacing w:line="360" w:lineRule="auto"/>
              <w:jc w:val="center"/>
              <w:rPr>
                <w:szCs w:val="21"/>
              </w:rPr>
            </w:pPr>
          </w:p>
        </w:tc>
        <w:tc>
          <w:tcPr>
            <w:tcW w:w="1086" w:type="dxa"/>
          </w:tcPr>
          <w:p w14:paraId="0078FD0A">
            <w:pPr>
              <w:spacing w:line="360" w:lineRule="auto"/>
              <w:jc w:val="center"/>
              <w:rPr>
                <w:szCs w:val="21"/>
              </w:rPr>
            </w:pPr>
          </w:p>
        </w:tc>
        <w:tc>
          <w:tcPr>
            <w:tcW w:w="761" w:type="dxa"/>
          </w:tcPr>
          <w:p w14:paraId="054D6FEF">
            <w:pPr>
              <w:spacing w:line="360" w:lineRule="auto"/>
              <w:jc w:val="center"/>
              <w:rPr>
                <w:szCs w:val="21"/>
              </w:rPr>
            </w:pPr>
          </w:p>
        </w:tc>
        <w:tc>
          <w:tcPr>
            <w:tcW w:w="990" w:type="dxa"/>
          </w:tcPr>
          <w:p w14:paraId="4F43FA9F">
            <w:pPr>
              <w:spacing w:line="360" w:lineRule="auto"/>
              <w:jc w:val="center"/>
              <w:rPr>
                <w:szCs w:val="21"/>
              </w:rPr>
            </w:pPr>
          </w:p>
        </w:tc>
        <w:tc>
          <w:tcPr>
            <w:tcW w:w="672" w:type="dxa"/>
          </w:tcPr>
          <w:p w14:paraId="2AF3AF55">
            <w:pPr>
              <w:spacing w:line="360" w:lineRule="auto"/>
              <w:jc w:val="center"/>
              <w:rPr>
                <w:szCs w:val="21"/>
              </w:rPr>
            </w:pPr>
          </w:p>
        </w:tc>
        <w:tc>
          <w:tcPr>
            <w:tcW w:w="738" w:type="dxa"/>
          </w:tcPr>
          <w:p w14:paraId="5D350482">
            <w:pPr>
              <w:spacing w:line="360" w:lineRule="auto"/>
              <w:jc w:val="center"/>
              <w:rPr>
                <w:szCs w:val="21"/>
              </w:rPr>
            </w:pPr>
          </w:p>
        </w:tc>
        <w:tc>
          <w:tcPr>
            <w:tcW w:w="1212" w:type="dxa"/>
          </w:tcPr>
          <w:p w14:paraId="3100A28A">
            <w:pPr>
              <w:spacing w:line="360" w:lineRule="auto"/>
              <w:jc w:val="center"/>
              <w:rPr>
                <w:szCs w:val="21"/>
              </w:rPr>
            </w:pPr>
          </w:p>
        </w:tc>
        <w:tc>
          <w:tcPr>
            <w:tcW w:w="874" w:type="dxa"/>
          </w:tcPr>
          <w:p w14:paraId="3B31D9A3">
            <w:pPr>
              <w:spacing w:line="360" w:lineRule="auto"/>
              <w:jc w:val="center"/>
              <w:rPr>
                <w:szCs w:val="21"/>
              </w:rPr>
            </w:pPr>
          </w:p>
        </w:tc>
        <w:tc>
          <w:tcPr>
            <w:tcW w:w="1055" w:type="dxa"/>
          </w:tcPr>
          <w:p w14:paraId="7A3ADE15">
            <w:pPr>
              <w:spacing w:line="360" w:lineRule="auto"/>
              <w:jc w:val="center"/>
              <w:rPr>
                <w:szCs w:val="21"/>
              </w:rPr>
            </w:pPr>
          </w:p>
        </w:tc>
        <w:tc>
          <w:tcPr>
            <w:tcW w:w="691" w:type="dxa"/>
          </w:tcPr>
          <w:p w14:paraId="00E81ADC">
            <w:pPr>
              <w:spacing w:line="360" w:lineRule="auto"/>
              <w:jc w:val="center"/>
              <w:rPr>
                <w:szCs w:val="21"/>
              </w:rPr>
            </w:pPr>
          </w:p>
        </w:tc>
      </w:tr>
      <w:tr w14:paraId="3D935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4EF6D96C">
            <w:pPr>
              <w:spacing w:line="360" w:lineRule="auto"/>
              <w:jc w:val="center"/>
              <w:rPr>
                <w:szCs w:val="21"/>
              </w:rPr>
            </w:pPr>
          </w:p>
        </w:tc>
        <w:tc>
          <w:tcPr>
            <w:tcW w:w="1086" w:type="dxa"/>
          </w:tcPr>
          <w:p w14:paraId="04955452">
            <w:pPr>
              <w:spacing w:line="360" w:lineRule="auto"/>
              <w:jc w:val="center"/>
              <w:rPr>
                <w:szCs w:val="21"/>
              </w:rPr>
            </w:pPr>
          </w:p>
        </w:tc>
        <w:tc>
          <w:tcPr>
            <w:tcW w:w="761" w:type="dxa"/>
          </w:tcPr>
          <w:p w14:paraId="17E8C41C">
            <w:pPr>
              <w:spacing w:line="360" w:lineRule="auto"/>
              <w:jc w:val="center"/>
              <w:rPr>
                <w:szCs w:val="21"/>
              </w:rPr>
            </w:pPr>
          </w:p>
        </w:tc>
        <w:tc>
          <w:tcPr>
            <w:tcW w:w="990" w:type="dxa"/>
          </w:tcPr>
          <w:p w14:paraId="271CAFCB">
            <w:pPr>
              <w:spacing w:line="360" w:lineRule="auto"/>
              <w:jc w:val="center"/>
              <w:rPr>
                <w:szCs w:val="21"/>
              </w:rPr>
            </w:pPr>
          </w:p>
        </w:tc>
        <w:tc>
          <w:tcPr>
            <w:tcW w:w="672" w:type="dxa"/>
          </w:tcPr>
          <w:p w14:paraId="71E4A081">
            <w:pPr>
              <w:spacing w:line="360" w:lineRule="auto"/>
              <w:jc w:val="center"/>
              <w:rPr>
                <w:szCs w:val="21"/>
              </w:rPr>
            </w:pPr>
          </w:p>
        </w:tc>
        <w:tc>
          <w:tcPr>
            <w:tcW w:w="738" w:type="dxa"/>
          </w:tcPr>
          <w:p w14:paraId="381F99B9">
            <w:pPr>
              <w:spacing w:line="360" w:lineRule="auto"/>
              <w:jc w:val="center"/>
              <w:rPr>
                <w:szCs w:val="21"/>
              </w:rPr>
            </w:pPr>
          </w:p>
        </w:tc>
        <w:tc>
          <w:tcPr>
            <w:tcW w:w="1212" w:type="dxa"/>
          </w:tcPr>
          <w:p w14:paraId="0EC64ABF">
            <w:pPr>
              <w:spacing w:line="360" w:lineRule="auto"/>
              <w:jc w:val="center"/>
              <w:rPr>
                <w:szCs w:val="21"/>
              </w:rPr>
            </w:pPr>
          </w:p>
        </w:tc>
        <w:tc>
          <w:tcPr>
            <w:tcW w:w="874" w:type="dxa"/>
          </w:tcPr>
          <w:p w14:paraId="47C17E57">
            <w:pPr>
              <w:spacing w:line="360" w:lineRule="auto"/>
              <w:jc w:val="center"/>
              <w:rPr>
                <w:szCs w:val="21"/>
              </w:rPr>
            </w:pPr>
          </w:p>
        </w:tc>
        <w:tc>
          <w:tcPr>
            <w:tcW w:w="1055" w:type="dxa"/>
          </w:tcPr>
          <w:p w14:paraId="634D7D9E">
            <w:pPr>
              <w:spacing w:line="360" w:lineRule="auto"/>
              <w:jc w:val="center"/>
              <w:rPr>
                <w:szCs w:val="21"/>
              </w:rPr>
            </w:pPr>
          </w:p>
        </w:tc>
        <w:tc>
          <w:tcPr>
            <w:tcW w:w="691" w:type="dxa"/>
          </w:tcPr>
          <w:p w14:paraId="3978E783">
            <w:pPr>
              <w:spacing w:line="360" w:lineRule="auto"/>
              <w:jc w:val="center"/>
              <w:rPr>
                <w:szCs w:val="21"/>
              </w:rPr>
            </w:pPr>
          </w:p>
        </w:tc>
      </w:tr>
      <w:tr w14:paraId="2D6D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3ABBD90B">
            <w:pPr>
              <w:spacing w:line="360" w:lineRule="auto"/>
              <w:jc w:val="center"/>
              <w:rPr>
                <w:szCs w:val="21"/>
              </w:rPr>
            </w:pPr>
          </w:p>
        </w:tc>
        <w:tc>
          <w:tcPr>
            <w:tcW w:w="1086" w:type="dxa"/>
          </w:tcPr>
          <w:p w14:paraId="20939184">
            <w:pPr>
              <w:spacing w:line="360" w:lineRule="auto"/>
              <w:jc w:val="center"/>
              <w:rPr>
                <w:szCs w:val="21"/>
              </w:rPr>
            </w:pPr>
          </w:p>
        </w:tc>
        <w:tc>
          <w:tcPr>
            <w:tcW w:w="761" w:type="dxa"/>
          </w:tcPr>
          <w:p w14:paraId="2EA478AF">
            <w:pPr>
              <w:spacing w:line="360" w:lineRule="auto"/>
              <w:jc w:val="center"/>
              <w:rPr>
                <w:szCs w:val="21"/>
              </w:rPr>
            </w:pPr>
          </w:p>
        </w:tc>
        <w:tc>
          <w:tcPr>
            <w:tcW w:w="990" w:type="dxa"/>
          </w:tcPr>
          <w:p w14:paraId="42A06107">
            <w:pPr>
              <w:spacing w:line="360" w:lineRule="auto"/>
              <w:jc w:val="center"/>
              <w:rPr>
                <w:szCs w:val="21"/>
              </w:rPr>
            </w:pPr>
          </w:p>
        </w:tc>
        <w:tc>
          <w:tcPr>
            <w:tcW w:w="672" w:type="dxa"/>
          </w:tcPr>
          <w:p w14:paraId="2A53061D">
            <w:pPr>
              <w:spacing w:line="360" w:lineRule="auto"/>
              <w:jc w:val="center"/>
              <w:rPr>
                <w:szCs w:val="21"/>
              </w:rPr>
            </w:pPr>
          </w:p>
        </w:tc>
        <w:tc>
          <w:tcPr>
            <w:tcW w:w="738" w:type="dxa"/>
          </w:tcPr>
          <w:p w14:paraId="39B6884E">
            <w:pPr>
              <w:spacing w:line="360" w:lineRule="auto"/>
              <w:jc w:val="center"/>
              <w:rPr>
                <w:szCs w:val="21"/>
              </w:rPr>
            </w:pPr>
          </w:p>
        </w:tc>
        <w:tc>
          <w:tcPr>
            <w:tcW w:w="1212" w:type="dxa"/>
          </w:tcPr>
          <w:p w14:paraId="7FA9EB76">
            <w:pPr>
              <w:spacing w:line="360" w:lineRule="auto"/>
              <w:jc w:val="center"/>
              <w:rPr>
                <w:szCs w:val="21"/>
              </w:rPr>
            </w:pPr>
          </w:p>
        </w:tc>
        <w:tc>
          <w:tcPr>
            <w:tcW w:w="874" w:type="dxa"/>
          </w:tcPr>
          <w:p w14:paraId="788CB398">
            <w:pPr>
              <w:spacing w:line="360" w:lineRule="auto"/>
              <w:jc w:val="center"/>
              <w:rPr>
                <w:szCs w:val="21"/>
              </w:rPr>
            </w:pPr>
          </w:p>
        </w:tc>
        <w:tc>
          <w:tcPr>
            <w:tcW w:w="1055" w:type="dxa"/>
          </w:tcPr>
          <w:p w14:paraId="66C57FEE">
            <w:pPr>
              <w:spacing w:line="360" w:lineRule="auto"/>
              <w:jc w:val="center"/>
              <w:rPr>
                <w:szCs w:val="21"/>
              </w:rPr>
            </w:pPr>
          </w:p>
        </w:tc>
        <w:tc>
          <w:tcPr>
            <w:tcW w:w="691" w:type="dxa"/>
          </w:tcPr>
          <w:p w14:paraId="0F3EB326">
            <w:pPr>
              <w:spacing w:line="360" w:lineRule="auto"/>
              <w:jc w:val="center"/>
              <w:rPr>
                <w:szCs w:val="21"/>
              </w:rPr>
            </w:pPr>
          </w:p>
        </w:tc>
      </w:tr>
      <w:tr w14:paraId="7AC9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33DD5CA8">
            <w:pPr>
              <w:spacing w:line="360" w:lineRule="auto"/>
              <w:jc w:val="center"/>
              <w:rPr>
                <w:szCs w:val="21"/>
              </w:rPr>
            </w:pPr>
          </w:p>
        </w:tc>
        <w:tc>
          <w:tcPr>
            <w:tcW w:w="1086" w:type="dxa"/>
          </w:tcPr>
          <w:p w14:paraId="72A1E662">
            <w:pPr>
              <w:spacing w:line="360" w:lineRule="auto"/>
              <w:jc w:val="center"/>
              <w:rPr>
                <w:szCs w:val="21"/>
              </w:rPr>
            </w:pPr>
          </w:p>
        </w:tc>
        <w:tc>
          <w:tcPr>
            <w:tcW w:w="761" w:type="dxa"/>
          </w:tcPr>
          <w:p w14:paraId="3B502751">
            <w:pPr>
              <w:spacing w:line="360" w:lineRule="auto"/>
              <w:jc w:val="center"/>
              <w:rPr>
                <w:szCs w:val="21"/>
              </w:rPr>
            </w:pPr>
          </w:p>
        </w:tc>
        <w:tc>
          <w:tcPr>
            <w:tcW w:w="990" w:type="dxa"/>
          </w:tcPr>
          <w:p w14:paraId="709606CE">
            <w:pPr>
              <w:spacing w:line="360" w:lineRule="auto"/>
              <w:jc w:val="center"/>
              <w:rPr>
                <w:szCs w:val="21"/>
              </w:rPr>
            </w:pPr>
          </w:p>
        </w:tc>
        <w:tc>
          <w:tcPr>
            <w:tcW w:w="672" w:type="dxa"/>
          </w:tcPr>
          <w:p w14:paraId="13772F33">
            <w:pPr>
              <w:spacing w:line="360" w:lineRule="auto"/>
              <w:jc w:val="center"/>
              <w:rPr>
                <w:szCs w:val="21"/>
              </w:rPr>
            </w:pPr>
          </w:p>
        </w:tc>
        <w:tc>
          <w:tcPr>
            <w:tcW w:w="738" w:type="dxa"/>
          </w:tcPr>
          <w:p w14:paraId="00C43DA2">
            <w:pPr>
              <w:spacing w:line="360" w:lineRule="auto"/>
              <w:jc w:val="center"/>
              <w:rPr>
                <w:szCs w:val="21"/>
              </w:rPr>
            </w:pPr>
          </w:p>
        </w:tc>
        <w:tc>
          <w:tcPr>
            <w:tcW w:w="1212" w:type="dxa"/>
          </w:tcPr>
          <w:p w14:paraId="5BA78FAD">
            <w:pPr>
              <w:spacing w:line="360" w:lineRule="auto"/>
              <w:jc w:val="center"/>
              <w:rPr>
                <w:szCs w:val="21"/>
              </w:rPr>
            </w:pPr>
          </w:p>
        </w:tc>
        <w:tc>
          <w:tcPr>
            <w:tcW w:w="874" w:type="dxa"/>
          </w:tcPr>
          <w:p w14:paraId="5F8D948C">
            <w:pPr>
              <w:spacing w:line="360" w:lineRule="auto"/>
              <w:jc w:val="center"/>
              <w:rPr>
                <w:szCs w:val="21"/>
              </w:rPr>
            </w:pPr>
          </w:p>
        </w:tc>
        <w:tc>
          <w:tcPr>
            <w:tcW w:w="1055" w:type="dxa"/>
          </w:tcPr>
          <w:p w14:paraId="24113C42">
            <w:pPr>
              <w:spacing w:line="360" w:lineRule="auto"/>
              <w:jc w:val="center"/>
              <w:rPr>
                <w:szCs w:val="21"/>
              </w:rPr>
            </w:pPr>
          </w:p>
        </w:tc>
        <w:tc>
          <w:tcPr>
            <w:tcW w:w="691" w:type="dxa"/>
          </w:tcPr>
          <w:p w14:paraId="3F673F44">
            <w:pPr>
              <w:spacing w:line="360" w:lineRule="auto"/>
              <w:jc w:val="center"/>
              <w:rPr>
                <w:szCs w:val="21"/>
              </w:rPr>
            </w:pPr>
          </w:p>
        </w:tc>
      </w:tr>
      <w:tr w14:paraId="57CD5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401892DE">
            <w:pPr>
              <w:spacing w:line="360" w:lineRule="auto"/>
              <w:jc w:val="center"/>
              <w:rPr>
                <w:szCs w:val="21"/>
              </w:rPr>
            </w:pPr>
          </w:p>
        </w:tc>
        <w:tc>
          <w:tcPr>
            <w:tcW w:w="1086" w:type="dxa"/>
          </w:tcPr>
          <w:p w14:paraId="7142F6FF">
            <w:pPr>
              <w:spacing w:line="360" w:lineRule="auto"/>
              <w:jc w:val="center"/>
              <w:rPr>
                <w:szCs w:val="21"/>
              </w:rPr>
            </w:pPr>
          </w:p>
        </w:tc>
        <w:tc>
          <w:tcPr>
            <w:tcW w:w="761" w:type="dxa"/>
          </w:tcPr>
          <w:p w14:paraId="7365C082">
            <w:pPr>
              <w:spacing w:line="360" w:lineRule="auto"/>
              <w:jc w:val="center"/>
              <w:rPr>
                <w:szCs w:val="21"/>
              </w:rPr>
            </w:pPr>
          </w:p>
        </w:tc>
        <w:tc>
          <w:tcPr>
            <w:tcW w:w="990" w:type="dxa"/>
          </w:tcPr>
          <w:p w14:paraId="03B988C5">
            <w:pPr>
              <w:spacing w:line="360" w:lineRule="auto"/>
              <w:jc w:val="center"/>
              <w:rPr>
                <w:szCs w:val="21"/>
              </w:rPr>
            </w:pPr>
          </w:p>
        </w:tc>
        <w:tc>
          <w:tcPr>
            <w:tcW w:w="672" w:type="dxa"/>
          </w:tcPr>
          <w:p w14:paraId="11F052D6">
            <w:pPr>
              <w:spacing w:line="360" w:lineRule="auto"/>
              <w:jc w:val="center"/>
              <w:rPr>
                <w:szCs w:val="21"/>
              </w:rPr>
            </w:pPr>
          </w:p>
        </w:tc>
        <w:tc>
          <w:tcPr>
            <w:tcW w:w="738" w:type="dxa"/>
          </w:tcPr>
          <w:p w14:paraId="434CB9C5">
            <w:pPr>
              <w:spacing w:line="360" w:lineRule="auto"/>
              <w:jc w:val="center"/>
              <w:rPr>
                <w:szCs w:val="21"/>
              </w:rPr>
            </w:pPr>
          </w:p>
        </w:tc>
        <w:tc>
          <w:tcPr>
            <w:tcW w:w="1212" w:type="dxa"/>
          </w:tcPr>
          <w:p w14:paraId="7986CB21">
            <w:pPr>
              <w:spacing w:line="360" w:lineRule="auto"/>
              <w:jc w:val="center"/>
              <w:rPr>
                <w:szCs w:val="21"/>
              </w:rPr>
            </w:pPr>
          </w:p>
        </w:tc>
        <w:tc>
          <w:tcPr>
            <w:tcW w:w="874" w:type="dxa"/>
          </w:tcPr>
          <w:p w14:paraId="07FB1B5B">
            <w:pPr>
              <w:spacing w:line="360" w:lineRule="auto"/>
              <w:jc w:val="center"/>
              <w:rPr>
                <w:szCs w:val="21"/>
              </w:rPr>
            </w:pPr>
          </w:p>
        </w:tc>
        <w:tc>
          <w:tcPr>
            <w:tcW w:w="1055" w:type="dxa"/>
          </w:tcPr>
          <w:p w14:paraId="18C1C3F5">
            <w:pPr>
              <w:spacing w:line="360" w:lineRule="auto"/>
              <w:jc w:val="center"/>
              <w:rPr>
                <w:szCs w:val="21"/>
              </w:rPr>
            </w:pPr>
          </w:p>
        </w:tc>
        <w:tc>
          <w:tcPr>
            <w:tcW w:w="691" w:type="dxa"/>
          </w:tcPr>
          <w:p w14:paraId="217885CF">
            <w:pPr>
              <w:spacing w:line="360" w:lineRule="auto"/>
              <w:jc w:val="center"/>
              <w:rPr>
                <w:szCs w:val="21"/>
              </w:rPr>
            </w:pPr>
          </w:p>
        </w:tc>
      </w:tr>
      <w:tr w14:paraId="054F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75A17944">
            <w:pPr>
              <w:spacing w:line="360" w:lineRule="auto"/>
              <w:jc w:val="center"/>
              <w:rPr>
                <w:szCs w:val="21"/>
              </w:rPr>
            </w:pPr>
          </w:p>
        </w:tc>
        <w:tc>
          <w:tcPr>
            <w:tcW w:w="1086" w:type="dxa"/>
          </w:tcPr>
          <w:p w14:paraId="0D2F5ABE">
            <w:pPr>
              <w:spacing w:line="360" w:lineRule="auto"/>
              <w:jc w:val="center"/>
              <w:rPr>
                <w:szCs w:val="21"/>
              </w:rPr>
            </w:pPr>
          </w:p>
        </w:tc>
        <w:tc>
          <w:tcPr>
            <w:tcW w:w="761" w:type="dxa"/>
          </w:tcPr>
          <w:p w14:paraId="087541A4">
            <w:pPr>
              <w:spacing w:line="360" w:lineRule="auto"/>
              <w:jc w:val="center"/>
              <w:rPr>
                <w:szCs w:val="21"/>
              </w:rPr>
            </w:pPr>
          </w:p>
        </w:tc>
        <w:tc>
          <w:tcPr>
            <w:tcW w:w="990" w:type="dxa"/>
          </w:tcPr>
          <w:p w14:paraId="649B5788">
            <w:pPr>
              <w:spacing w:line="360" w:lineRule="auto"/>
              <w:jc w:val="center"/>
              <w:rPr>
                <w:szCs w:val="21"/>
              </w:rPr>
            </w:pPr>
          </w:p>
        </w:tc>
        <w:tc>
          <w:tcPr>
            <w:tcW w:w="672" w:type="dxa"/>
          </w:tcPr>
          <w:p w14:paraId="3B203241">
            <w:pPr>
              <w:spacing w:line="360" w:lineRule="auto"/>
              <w:jc w:val="center"/>
              <w:rPr>
                <w:szCs w:val="21"/>
              </w:rPr>
            </w:pPr>
          </w:p>
        </w:tc>
        <w:tc>
          <w:tcPr>
            <w:tcW w:w="738" w:type="dxa"/>
          </w:tcPr>
          <w:p w14:paraId="7DC295BD">
            <w:pPr>
              <w:spacing w:line="360" w:lineRule="auto"/>
              <w:jc w:val="center"/>
              <w:rPr>
                <w:szCs w:val="21"/>
              </w:rPr>
            </w:pPr>
          </w:p>
        </w:tc>
        <w:tc>
          <w:tcPr>
            <w:tcW w:w="1212" w:type="dxa"/>
          </w:tcPr>
          <w:p w14:paraId="624A1F4F">
            <w:pPr>
              <w:spacing w:line="360" w:lineRule="auto"/>
              <w:jc w:val="center"/>
              <w:rPr>
                <w:szCs w:val="21"/>
              </w:rPr>
            </w:pPr>
          </w:p>
        </w:tc>
        <w:tc>
          <w:tcPr>
            <w:tcW w:w="874" w:type="dxa"/>
          </w:tcPr>
          <w:p w14:paraId="2F26F586">
            <w:pPr>
              <w:spacing w:line="360" w:lineRule="auto"/>
              <w:jc w:val="center"/>
              <w:rPr>
                <w:szCs w:val="21"/>
              </w:rPr>
            </w:pPr>
          </w:p>
        </w:tc>
        <w:tc>
          <w:tcPr>
            <w:tcW w:w="1055" w:type="dxa"/>
          </w:tcPr>
          <w:p w14:paraId="6B4E107D">
            <w:pPr>
              <w:spacing w:line="360" w:lineRule="auto"/>
              <w:jc w:val="center"/>
              <w:rPr>
                <w:szCs w:val="21"/>
              </w:rPr>
            </w:pPr>
          </w:p>
        </w:tc>
        <w:tc>
          <w:tcPr>
            <w:tcW w:w="691" w:type="dxa"/>
          </w:tcPr>
          <w:p w14:paraId="40B4A6B0">
            <w:pPr>
              <w:spacing w:line="360" w:lineRule="auto"/>
              <w:jc w:val="center"/>
              <w:rPr>
                <w:szCs w:val="21"/>
              </w:rPr>
            </w:pPr>
          </w:p>
        </w:tc>
      </w:tr>
      <w:tr w14:paraId="2AEB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41D7EF9B">
            <w:pPr>
              <w:spacing w:line="360" w:lineRule="auto"/>
              <w:jc w:val="center"/>
              <w:rPr>
                <w:szCs w:val="21"/>
              </w:rPr>
            </w:pPr>
          </w:p>
        </w:tc>
        <w:tc>
          <w:tcPr>
            <w:tcW w:w="1086" w:type="dxa"/>
          </w:tcPr>
          <w:p w14:paraId="3968822A">
            <w:pPr>
              <w:spacing w:line="360" w:lineRule="auto"/>
              <w:jc w:val="center"/>
              <w:rPr>
                <w:szCs w:val="21"/>
              </w:rPr>
            </w:pPr>
          </w:p>
        </w:tc>
        <w:tc>
          <w:tcPr>
            <w:tcW w:w="761" w:type="dxa"/>
          </w:tcPr>
          <w:p w14:paraId="58AD51B0">
            <w:pPr>
              <w:spacing w:line="360" w:lineRule="auto"/>
              <w:jc w:val="center"/>
              <w:rPr>
                <w:szCs w:val="21"/>
              </w:rPr>
            </w:pPr>
          </w:p>
        </w:tc>
        <w:tc>
          <w:tcPr>
            <w:tcW w:w="990" w:type="dxa"/>
          </w:tcPr>
          <w:p w14:paraId="36C62FC1">
            <w:pPr>
              <w:spacing w:line="360" w:lineRule="auto"/>
              <w:jc w:val="center"/>
              <w:rPr>
                <w:szCs w:val="21"/>
              </w:rPr>
            </w:pPr>
          </w:p>
        </w:tc>
        <w:tc>
          <w:tcPr>
            <w:tcW w:w="672" w:type="dxa"/>
          </w:tcPr>
          <w:p w14:paraId="7A99CEBB">
            <w:pPr>
              <w:spacing w:line="360" w:lineRule="auto"/>
              <w:jc w:val="center"/>
              <w:rPr>
                <w:szCs w:val="21"/>
              </w:rPr>
            </w:pPr>
          </w:p>
        </w:tc>
        <w:tc>
          <w:tcPr>
            <w:tcW w:w="738" w:type="dxa"/>
          </w:tcPr>
          <w:p w14:paraId="3E2C01C6">
            <w:pPr>
              <w:spacing w:line="360" w:lineRule="auto"/>
              <w:jc w:val="center"/>
              <w:rPr>
                <w:szCs w:val="21"/>
              </w:rPr>
            </w:pPr>
          </w:p>
        </w:tc>
        <w:tc>
          <w:tcPr>
            <w:tcW w:w="1212" w:type="dxa"/>
          </w:tcPr>
          <w:p w14:paraId="218B7FCF">
            <w:pPr>
              <w:spacing w:line="360" w:lineRule="auto"/>
              <w:jc w:val="center"/>
              <w:rPr>
                <w:szCs w:val="21"/>
              </w:rPr>
            </w:pPr>
          </w:p>
        </w:tc>
        <w:tc>
          <w:tcPr>
            <w:tcW w:w="874" w:type="dxa"/>
          </w:tcPr>
          <w:p w14:paraId="49EBBD1F">
            <w:pPr>
              <w:spacing w:line="360" w:lineRule="auto"/>
              <w:jc w:val="center"/>
              <w:rPr>
                <w:szCs w:val="21"/>
              </w:rPr>
            </w:pPr>
          </w:p>
        </w:tc>
        <w:tc>
          <w:tcPr>
            <w:tcW w:w="1055" w:type="dxa"/>
          </w:tcPr>
          <w:p w14:paraId="1063A623">
            <w:pPr>
              <w:spacing w:line="360" w:lineRule="auto"/>
              <w:jc w:val="center"/>
              <w:rPr>
                <w:szCs w:val="21"/>
              </w:rPr>
            </w:pPr>
          </w:p>
        </w:tc>
        <w:tc>
          <w:tcPr>
            <w:tcW w:w="691" w:type="dxa"/>
          </w:tcPr>
          <w:p w14:paraId="463751CC">
            <w:pPr>
              <w:spacing w:line="360" w:lineRule="auto"/>
              <w:jc w:val="center"/>
              <w:rPr>
                <w:szCs w:val="21"/>
              </w:rPr>
            </w:pPr>
          </w:p>
        </w:tc>
      </w:tr>
      <w:tr w14:paraId="7CF0D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156D88B3">
            <w:pPr>
              <w:spacing w:line="360" w:lineRule="auto"/>
              <w:jc w:val="center"/>
              <w:rPr>
                <w:szCs w:val="21"/>
              </w:rPr>
            </w:pPr>
          </w:p>
        </w:tc>
        <w:tc>
          <w:tcPr>
            <w:tcW w:w="1086" w:type="dxa"/>
          </w:tcPr>
          <w:p w14:paraId="4CB67F2B">
            <w:pPr>
              <w:spacing w:line="360" w:lineRule="auto"/>
              <w:jc w:val="center"/>
              <w:rPr>
                <w:szCs w:val="21"/>
              </w:rPr>
            </w:pPr>
          </w:p>
        </w:tc>
        <w:tc>
          <w:tcPr>
            <w:tcW w:w="761" w:type="dxa"/>
          </w:tcPr>
          <w:p w14:paraId="4A0E71F9">
            <w:pPr>
              <w:spacing w:line="360" w:lineRule="auto"/>
              <w:jc w:val="center"/>
              <w:rPr>
                <w:szCs w:val="21"/>
              </w:rPr>
            </w:pPr>
          </w:p>
        </w:tc>
        <w:tc>
          <w:tcPr>
            <w:tcW w:w="990" w:type="dxa"/>
          </w:tcPr>
          <w:p w14:paraId="567B7655">
            <w:pPr>
              <w:spacing w:line="360" w:lineRule="auto"/>
              <w:jc w:val="center"/>
              <w:rPr>
                <w:szCs w:val="21"/>
              </w:rPr>
            </w:pPr>
          </w:p>
        </w:tc>
        <w:tc>
          <w:tcPr>
            <w:tcW w:w="672" w:type="dxa"/>
          </w:tcPr>
          <w:p w14:paraId="5B501F6A">
            <w:pPr>
              <w:spacing w:line="360" w:lineRule="auto"/>
              <w:jc w:val="center"/>
              <w:rPr>
                <w:szCs w:val="21"/>
              </w:rPr>
            </w:pPr>
          </w:p>
        </w:tc>
        <w:tc>
          <w:tcPr>
            <w:tcW w:w="738" w:type="dxa"/>
          </w:tcPr>
          <w:p w14:paraId="2AEF9DA3">
            <w:pPr>
              <w:spacing w:line="360" w:lineRule="auto"/>
              <w:jc w:val="center"/>
              <w:rPr>
                <w:szCs w:val="21"/>
              </w:rPr>
            </w:pPr>
          </w:p>
        </w:tc>
        <w:tc>
          <w:tcPr>
            <w:tcW w:w="1212" w:type="dxa"/>
          </w:tcPr>
          <w:p w14:paraId="0CF46F8B">
            <w:pPr>
              <w:spacing w:line="360" w:lineRule="auto"/>
              <w:jc w:val="center"/>
              <w:rPr>
                <w:szCs w:val="21"/>
              </w:rPr>
            </w:pPr>
          </w:p>
        </w:tc>
        <w:tc>
          <w:tcPr>
            <w:tcW w:w="874" w:type="dxa"/>
          </w:tcPr>
          <w:p w14:paraId="5F26DA9B">
            <w:pPr>
              <w:spacing w:line="360" w:lineRule="auto"/>
              <w:jc w:val="center"/>
              <w:rPr>
                <w:szCs w:val="21"/>
              </w:rPr>
            </w:pPr>
          </w:p>
        </w:tc>
        <w:tc>
          <w:tcPr>
            <w:tcW w:w="1055" w:type="dxa"/>
          </w:tcPr>
          <w:p w14:paraId="1F424924">
            <w:pPr>
              <w:spacing w:line="360" w:lineRule="auto"/>
              <w:jc w:val="center"/>
              <w:rPr>
                <w:szCs w:val="21"/>
              </w:rPr>
            </w:pPr>
          </w:p>
        </w:tc>
        <w:tc>
          <w:tcPr>
            <w:tcW w:w="691" w:type="dxa"/>
          </w:tcPr>
          <w:p w14:paraId="52C0B6B4">
            <w:pPr>
              <w:spacing w:line="360" w:lineRule="auto"/>
              <w:jc w:val="center"/>
              <w:rPr>
                <w:szCs w:val="21"/>
              </w:rPr>
            </w:pPr>
          </w:p>
        </w:tc>
      </w:tr>
      <w:tr w14:paraId="254FF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1B75BB08">
            <w:pPr>
              <w:spacing w:line="360" w:lineRule="auto"/>
              <w:jc w:val="center"/>
              <w:rPr>
                <w:szCs w:val="21"/>
              </w:rPr>
            </w:pPr>
          </w:p>
        </w:tc>
        <w:tc>
          <w:tcPr>
            <w:tcW w:w="1086" w:type="dxa"/>
          </w:tcPr>
          <w:p w14:paraId="27C14A4A">
            <w:pPr>
              <w:spacing w:line="360" w:lineRule="auto"/>
              <w:jc w:val="center"/>
              <w:rPr>
                <w:szCs w:val="21"/>
              </w:rPr>
            </w:pPr>
          </w:p>
        </w:tc>
        <w:tc>
          <w:tcPr>
            <w:tcW w:w="761" w:type="dxa"/>
          </w:tcPr>
          <w:p w14:paraId="33FE527D">
            <w:pPr>
              <w:spacing w:line="360" w:lineRule="auto"/>
              <w:jc w:val="center"/>
              <w:rPr>
                <w:szCs w:val="21"/>
              </w:rPr>
            </w:pPr>
          </w:p>
        </w:tc>
        <w:tc>
          <w:tcPr>
            <w:tcW w:w="990" w:type="dxa"/>
          </w:tcPr>
          <w:p w14:paraId="3784AFBC">
            <w:pPr>
              <w:spacing w:line="360" w:lineRule="auto"/>
              <w:jc w:val="center"/>
              <w:rPr>
                <w:szCs w:val="21"/>
              </w:rPr>
            </w:pPr>
          </w:p>
        </w:tc>
        <w:tc>
          <w:tcPr>
            <w:tcW w:w="672" w:type="dxa"/>
          </w:tcPr>
          <w:p w14:paraId="074CC307">
            <w:pPr>
              <w:spacing w:line="360" w:lineRule="auto"/>
              <w:jc w:val="center"/>
              <w:rPr>
                <w:szCs w:val="21"/>
              </w:rPr>
            </w:pPr>
          </w:p>
        </w:tc>
        <w:tc>
          <w:tcPr>
            <w:tcW w:w="738" w:type="dxa"/>
          </w:tcPr>
          <w:p w14:paraId="7591EDD6">
            <w:pPr>
              <w:spacing w:line="360" w:lineRule="auto"/>
              <w:jc w:val="center"/>
              <w:rPr>
                <w:szCs w:val="21"/>
              </w:rPr>
            </w:pPr>
          </w:p>
        </w:tc>
        <w:tc>
          <w:tcPr>
            <w:tcW w:w="1212" w:type="dxa"/>
          </w:tcPr>
          <w:p w14:paraId="1310B046">
            <w:pPr>
              <w:spacing w:line="360" w:lineRule="auto"/>
              <w:jc w:val="center"/>
              <w:rPr>
                <w:szCs w:val="21"/>
              </w:rPr>
            </w:pPr>
          </w:p>
        </w:tc>
        <w:tc>
          <w:tcPr>
            <w:tcW w:w="874" w:type="dxa"/>
          </w:tcPr>
          <w:p w14:paraId="78998610">
            <w:pPr>
              <w:spacing w:line="360" w:lineRule="auto"/>
              <w:jc w:val="center"/>
              <w:rPr>
                <w:szCs w:val="21"/>
              </w:rPr>
            </w:pPr>
          </w:p>
        </w:tc>
        <w:tc>
          <w:tcPr>
            <w:tcW w:w="1055" w:type="dxa"/>
          </w:tcPr>
          <w:p w14:paraId="46A58F45">
            <w:pPr>
              <w:spacing w:line="360" w:lineRule="auto"/>
              <w:jc w:val="center"/>
              <w:rPr>
                <w:szCs w:val="21"/>
              </w:rPr>
            </w:pPr>
          </w:p>
        </w:tc>
        <w:tc>
          <w:tcPr>
            <w:tcW w:w="691" w:type="dxa"/>
          </w:tcPr>
          <w:p w14:paraId="6AAA693D">
            <w:pPr>
              <w:spacing w:line="360" w:lineRule="auto"/>
              <w:jc w:val="center"/>
              <w:rPr>
                <w:szCs w:val="21"/>
              </w:rPr>
            </w:pPr>
          </w:p>
        </w:tc>
      </w:tr>
      <w:tr w14:paraId="5E15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053825E0">
            <w:pPr>
              <w:spacing w:line="360" w:lineRule="auto"/>
              <w:jc w:val="center"/>
              <w:rPr>
                <w:szCs w:val="21"/>
              </w:rPr>
            </w:pPr>
          </w:p>
        </w:tc>
        <w:tc>
          <w:tcPr>
            <w:tcW w:w="1086" w:type="dxa"/>
          </w:tcPr>
          <w:p w14:paraId="2FC933CA">
            <w:pPr>
              <w:spacing w:line="360" w:lineRule="auto"/>
              <w:jc w:val="center"/>
              <w:rPr>
                <w:szCs w:val="21"/>
              </w:rPr>
            </w:pPr>
          </w:p>
        </w:tc>
        <w:tc>
          <w:tcPr>
            <w:tcW w:w="761" w:type="dxa"/>
          </w:tcPr>
          <w:p w14:paraId="1302FE36">
            <w:pPr>
              <w:spacing w:line="360" w:lineRule="auto"/>
              <w:jc w:val="center"/>
              <w:rPr>
                <w:szCs w:val="21"/>
              </w:rPr>
            </w:pPr>
          </w:p>
        </w:tc>
        <w:tc>
          <w:tcPr>
            <w:tcW w:w="990" w:type="dxa"/>
          </w:tcPr>
          <w:p w14:paraId="4076D373">
            <w:pPr>
              <w:spacing w:line="360" w:lineRule="auto"/>
              <w:jc w:val="center"/>
              <w:rPr>
                <w:szCs w:val="21"/>
              </w:rPr>
            </w:pPr>
          </w:p>
        </w:tc>
        <w:tc>
          <w:tcPr>
            <w:tcW w:w="672" w:type="dxa"/>
          </w:tcPr>
          <w:p w14:paraId="73AAEC5A">
            <w:pPr>
              <w:spacing w:line="360" w:lineRule="auto"/>
              <w:jc w:val="center"/>
              <w:rPr>
                <w:szCs w:val="21"/>
              </w:rPr>
            </w:pPr>
          </w:p>
        </w:tc>
        <w:tc>
          <w:tcPr>
            <w:tcW w:w="738" w:type="dxa"/>
          </w:tcPr>
          <w:p w14:paraId="09AE2059">
            <w:pPr>
              <w:spacing w:line="360" w:lineRule="auto"/>
              <w:jc w:val="center"/>
              <w:rPr>
                <w:szCs w:val="21"/>
              </w:rPr>
            </w:pPr>
          </w:p>
        </w:tc>
        <w:tc>
          <w:tcPr>
            <w:tcW w:w="1212" w:type="dxa"/>
          </w:tcPr>
          <w:p w14:paraId="6234CF8F">
            <w:pPr>
              <w:spacing w:line="360" w:lineRule="auto"/>
              <w:jc w:val="center"/>
              <w:rPr>
                <w:szCs w:val="21"/>
              </w:rPr>
            </w:pPr>
          </w:p>
        </w:tc>
        <w:tc>
          <w:tcPr>
            <w:tcW w:w="874" w:type="dxa"/>
          </w:tcPr>
          <w:p w14:paraId="054C1D85">
            <w:pPr>
              <w:spacing w:line="360" w:lineRule="auto"/>
              <w:jc w:val="center"/>
              <w:rPr>
                <w:szCs w:val="21"/>
              </w:rPr>
            </w:pPr>
          </w:p>
        </w:tc>
        <w:tc>
          <w:tcPr>
            <w:tcW w:w="1055" w:type="dxa"/>
          </w:tcPr>
          <w:p w14:paraId="2C45CACC">
            <w:pPr>
              <w:spacing w:line="360" w:lineRule="auto"/>
              <w:jc w:val="center"/>
              <w:rPr>
                <w:szCs w:val="21"/>
              </w:rPr>
            </w:pPr>
          </w:p>
        </w:tc>
        <w:tc>
          <w:tcPr>
            <w:tcW w:w="691" w:type="dxa"/>
          </w:tcPr>
          <w:p w14:paraId="6F3729EE">
            <w:pPr>
              <w:spacing w:line="360" w:lineRule="auto"/>
              <w:jc w:val="center"/>
              <w:rPr>
                <w:szCs w:val="21"/>
              </w:rPr>
            </w:pPr>
          </w:p>
        </w:tc>
      </w:tr>
      <w:tr w14:paraId="3718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28213476">
            <w:pPr>
              <w:spacing w:line="360" w:lineRule="auto"/>
              <w:jc w:val="center"/>
              <w:rPr>
                <w:szCs w:val="21"/>
              </w:rPr>
            </w:pPr>
          </w:p>
        </w:tc>
        <w:tc>
          <w:tcPr>
            <w:tcW w:w="1086" w:type="dxa"/>
          </w:tcPr>
          <w:p w14:paraId="296DDAF1">
            <w:pPr>
              <w:spacing w:line="360" w:lineRule="auto"/>
              <w:jc w:val="center"/>
              <w:rPr>
                <w:szCs w:val="21"/>
              </w:rPr>
            </w:pPr>
          </w:p>
        </w:tc>
        <w:tc>
          <w:tcPr>
            <w:tcW w:w="761" w:type="dxa"/>
          </w:tcPr>
          <w:p w14:paraId="118A6841">
            <w:pPr>
              <w:spacing w:line="360" w:lineRule="auto"/>
              <w:jc w:val="center"/>
              <w:rPr>
                <w:szCs w:val="21"/>
              </w:rPr>
            </w:pPr>
          </w:p>
        </w:tc>
        <w:tc>
          <w:tcPr>
            <w:tcW w:w="990" w:type="dxa"/>
          </w:tcPr>
          <w:p w14:paraId="3011EFBF">
            <w:pPr>
              <w:spacing w:line="360" w:lineRule="auto"/>
              <w:jc w:val="center"/>
              <w:rPr>
                <w:szCs w:val="21"/>
              </w:rPr>
            </w:pPr>
          </w:p>
        </w:tc>
        <w:tc>
          <w:tcPr>
            <w:tcW w:w="672" w:type="dxa"/>
          </w:tcPr>
          <w:p w14:paraId="074A158C">
            <w:pPr>
              <w:spacing w:line="360" w:lineRule="auto"/>
              <w:jc w:val="center"/>
              <w:rPr>
                <w:szCs w:val="21"/>
              </w:rPr>
            </w:pPr>
          </w:p>
        </w:tc>
        <w:tc>
          <w:tcPr>
            <w:tcW w:w="738" w:type="dxa"/>
          </w:tcPr>
          <w:p w14:paraId="72E83238">
            <w:pPr>
              <w:spacing w:line="360" w:lineRule="auto"/>
              <w:jc w:val="center"/>
              <w:rPr>
                <w:szCs w:val="21"/>
              </w:rPr>
            </w:pPr>
          </w:p>
        </w:tc>
        <w:tc>
          <w:tcPr>
            <w:tcW w:w="1212" w:type="dxa"/>
          </w:tcPr>
          <w:p w14:paraId="495BD7CE">
            <w:pPr>
              <w:spacing w:line="360" w:lineRule="auto"/>
              <w:jc w:val="center"/>
              <w:rPr>
                <w:szCs w:val="21"/>
              </w:rPr>
            </w:pPr>
          </w:p>
        </w:tc>
        <w:tc>
          <w:tcPr>
            <w:tcW w:w="874" w:type="dxa"/>
          </w:tcPr>
          <w:p w14:paraId="3B420204">
            <w:pPr>
              <w:spacing w:line="360" w:lineRule="auto"/>
              <w:jc w:val="center"/>
              <w:rPr>
                <w:szCs w:val="21"/>
              </w:rPr>
            </w:pPr>
          </w:p>
        </w:tc>
        <w:tc>
          <w:tcPr>
            <w:tcW w:w="1055" w:type="dxa"/>
          </w:tcPr>
          <w:p w14:paraId="6E07AB0B">
            <w:pPr>
              <w:spacing w:line="360" w:lineRule="auto"/>
              <w:jc w:val="center"/>
              <w:rPr>
                <w:szCs w:val="21"/>
              </w:rPr>
            </w:pPr>
          </w:p>
        </w:tc>
        <w:tc>
          <w:tcPr>
            <w:tcW w:w="691" w:type="dxa"/>
          </w:tcPr>
          <w:p w14:paraId="5C64CDBF">
            <w:pPr>
              <w:spacing w:line="360" w:lineRule="auto"/>
              <w:jc w:val="center"/>
              <w:rPr>
                <w:szCs w:val="21"/>
              </w:rPr>
            </w:pPr>
          </w:p>
        </w:tc>
      </w:tr>
      <w:tr w14:paraId="14E6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46EB5AFA">
            <w:pPr>
              <w:spacing w:line="360" w:lineRule="auto"/>
              <w:jc w:val="center"/>
              <w:rPr>
                <w:szCs w:val="21"/>
              </w:rPr>
            </w:pPr>
          </w:p>
        </w:tc>
        <w:tc>
          <w:tcPr>
            <w:tcW w:w="1086" w:type="dxa"/>
          </w:tcPr>
          <w:p w14:paraId="521FE258">
            <w:pPr>
              <w:spacing w:line="360" w:lineRule="auto"/>
              <w:jc w:val="center"/>
              <w:rPr>
                <w:szCs w:val="21"/>
              </w:rPr>
            </w:pPr>
          </w:p>
        </w:tc>
        <w:tc>
          <w:tcPr>
            <w:tcW w:w="761" w:type="dxa"/>
          </w:tcPr>
          <w:p w14:paraId="33961AEF">
            <w:pPr>
              <w:spacing w:line="360" w:lineRule="auto"/>
              <w:jc w:val="center"/>
              <w:rPr>
                <w:szCs w:val="21"/>
              </w:rPr>
            </w:pPr>
          </w:p>
        </w:tc>
        <w:tc>
          <w:tcPr>
            <w:tcW w:w="990" w:type="dxa"/>
          </w:tcPr>
          <w:p w14:paraId="5D3AD6D0">
            <w:pPr>
              <w:spacing w:line="360" w:lineRule="auto"/>
              <w:jc w:val="center"/>
              <w:rPr>
                <w:szCs w:val="21"/>
              </w:rPr>
            </w:pPr>
          </w:p>
        </w:tc>
        <w:tc>
          <w:tcPr>
            <w:tcW w:w="672" w:type="dxa"/>
          </w:tcPr>
          <w:p w14:paraId="05A22AB6">
            <w:pPr>
              <w:spacing w:line="360" w:lineRule="auto"/>
              <w:jc w:val="center"/>
              <w:rPr>
                <w:szCs w:val="21"/>
              </w:rPr>
            </w:pPr>
          </w:p>
        </w:tc>
        <w:tc>
          <w:tcPr>
            <w:tcW w:w="738" w:type="dxa"/>
          </w:tcPr>
          <w:p w14:paraId="5CAFB39F">
            <w:pPr>
              <w:spacing w:line="360" w:lineRule="auto"/>
              <w:jc w:val="center"/>
              <w:rPr>
                <w:szCs w:val="21"/>
              </w:rPr>
            </w:pPr>
          </w:p>
        </w:tc>
        <w:tc>
          <w:tcPr>
            <w:tcW w:w="1212" w:type="dxa"/>
          </w:tcPr>
          <w:p w14:paraId="574A752A">
            <w:pPr>
              <w:spacing w:line="360" w:lineRule="auto"/>
              <w:jc w:val="center"/>
              <w:rPr>
                <w:szCs w:val="21"/>
              </w:rPr>
            </w:pPr>
          </w:p>
        </w:tc>
        <w:tc>
          <w:tcPr>
            <w:tcW w:w="874" w:type="dxa"/>
          </w:tcPr>
          <w:p w14:paraId="37D2AD2F">
            <w:pPr>
              <w:spacing w:line="360" w:lineRule="auto"/>
              <w:jc w:val="center"/>
              <w:rPr>
                <w:szCs w:val="21"/>
              </w:rPr>
            </w:pPr>
          </w:p>
        </w:tc>
        <w:tc>
          <w:tcPr>
            <w:tcW w:w="1055" w:type="dxa"/>
          </w:tcPr>
          <w:p w14:paraId="3811147A">
            <w:pPr>
              <w:spacing w:line="360" w:lineRule="auto"/>
              <w:jc w:val="center"/>
              <w:rPr>
                <w:szCs w:val="21"/>
              </w:rPr>
            </w:pPr>
          </w:p>
        </w:tc>
        <w:tc>
          <w:tcPr>
            <w:tcW w:w="691" w:type="dxa"/>
          </w:tcPr>
          <w:p w14:paraId="5DC3C38E">
            <w:pPr>
              <w:spacing w:line="360" w:lineRule="auto"/>
              <w:jc w:val="center"/>
              <w:rPr>
                <w:szCs w:val="21"/>
              </w:rPr>
            </w:pPr>
          </w:p>
        </w:tc>
      </w:tr>
      <w:tr w14:paraId="3A711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384DC7A1">
            <w:pPr>
              <w:spacing w:line="360" w:lineRule="auto"/>
              <w:jc w:val="center"/>
              <w:rPr>
                <w:szCs w:val="21"/>
              </w:rPr>
            </w:pPr>
          </w:p>
        </w:tc>
        <w:tc>
          <w:tcPr>
            <w:tcW w:w="1086" w:type="dxa"/>
          </w:tcPr>
          <w:p w14:paraId="54268603">
            <w:pPr>
              <w:spacing w:line="360" w:lineRule="auto"/>
              <w:jc w:val="center"/>
              <w:rPr>
                <w:szCs w:val="21"/>
              </w:rPr>
            </w:pPr>
          </w:p>
        </w:tc>
        <w:tc>
          <w:tcPr>
            <w:tcW w:w="761" w:type="dxa"/>
          </w:tcPr>
          <w:p w14:paraId="336150C4">
            <w:pPr>
              <w:spacing w:line="360" w:lineRule="auto"/>
              <w:jc w:val="center"/>
              <w:rPr>
                <w:szCs w:val="21"/>
              </w:rPr>
            </w:pPr>
          </w:p>
        </w:tc>
        <w:tc>
          <w:tcPr>
            <w:tcW w:w="990" w:type="dxa"/>
          </w:tcPr>
          <w:p w14:paraId="681699B9">
            <w:pPr>
              <w:spacing w:line="360" w:lineRule="auto"/>
              <w:jc w:val="center"/>
              <w:rPr>
                <w:szCs w:val="21"/>
              </w:rPr>
            </w:pPr>
          </w:p>
        </w:tc>
        <w:tc>
          <w:tcPr>
            <w:tcW w:w="672" w:type="dxa"/>
          </w:tcPr>
          <w:p w14:paraId="06E53325">
            <w:pPr>
              <w:spacing w:line="360" w:lineRule="auto"/>
              <w:jc w:val="center"/>
              <w:rPr>
                <w:szCs w:val="21"/>
              </w:rPr>
            </w:pPr>
          </w:p>
        </w:tc>
        <w:tc>
          <w:tcPr>
            <w:tcW w:w="738" w:type="dxa"/>
          </w:tcPr>
          <w:p w14:paraId="5930A77F">
            <w:pPr>
              <w:spacing w:line="360" w:lineRule="auto"/>
              <w:jc w:val="center"/>
              <w:rPr>
                <w:szCs w:val="21"/>
              </w:rPr>
            </w:pPr>
          </w:p>
        </w:tc>
        <w:tc>
          <w:tcPr>
            <w:tcW w:w="1212" w:type="dxa"/>
          </w:tcPr>
          <w:p w14:paraId="7FD38FCA">
            <w:pPr>
              <w:spacing w:line="360" w:lineRule="auto"/>
              <w:jc w:val="center"/>
              <w:rPr>
                <w:szCs w:val="21"/>
              </w:rPr>
            </w:pPr>
          </w:p>
        </w:tc>
        <w:tc>
          <w:tcPr>
            <w:tcW w:w="874" w:type="dxa"/>
          </w:tcPr>
          <w:p w14:paraId="5675653C">
            <w:pPr>
              <w:spacing w:line="360" w:lineRule="auto"/>
              <w:jc w:val="center"/>
              <w:rPr>
                <w:szCs w:val="21"/>
              </w:rPr>
            </w:pPr>
          </w:p>
        </w:tc>
        <w:tc>
          <w:tcPr>
            <w:tcW w:w="1055" w:type="dxa"/>
          </w:tcPr>
          <w:p w14:paraId="55EED006">
            <w:pPr>
              <w:spacing w:line="360" w:lineRule="auto"/>
              <w:jc w:val="center"/>
              <w:rPr>
                <w:szCs w:val="21"/>
              </w:rPr>
            </w:pPr>
          </w:p>
        </w:tc>
        <w:tc>
          <w:tcPr>
            <w:tcW w:w="691" w:type="dxa"/>
          </w:tcPr>
          <w:p w14:paraId="4BF08974">
            <w:pPr>
              <w:spacing w:line="360" w:lineRule="auto"/>
              <w:jc w:val="center"/>
              <w:rPr>
                <w:szCs w:val="21"/>
              </w:rPr>
            </w:pPr>
          </w:p>
        </w:tc>
      </w:tr>
      <w:tr w14:paraId="2F026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54DEC44E">
            <w:pPr>
              <w:spacing w:line="360" w:lineRule="auto"/>
              <w:jc w:val="center"/>
              <w:rPr>
                <w:szCs w:val="21"/>
              </w:rPr>
            </w:pPr>
          </w:p>
        </w:tc>
        <w:tc>
          <w:tcPr>
            <w:tcW w:w="1086" w:type="dxa"/>
          </w:tcPr>
          <w:p w14:paraId="3D282DFE">
            <w:pPr>
              <w:spacing w:line="360" w:lineRule="auto"/>
              <w:jc w:val="center"/>
              <w:rPr>
                <w:szCs w:val="21"/>
              </w:rPr>
            </w:pPr>
          </w:p>
        </w:tc>
        <w:tc>
          <w:tcPr>
            <w:tcW w:w="761" w:type="dxa"/>
          </w:tcPr>
          <w:p w14:paraId="3352BB7A">
            <w:pPr>
              <w:spacing w:line="360" w:lineRule="auto"/>
              <w:jc w:val="center"/>
              <w:rPr>
                <w:szCs w:val="21"/>
              </w:rPr>
            </w:pPr>
          </w:p>
        </w:tc>
        <w:tc>
          <w:tcPr>
            <w:tcW w:w="990" w:type="dxa"/>
          </w:tcPr>
          <w:p w14:paraId="5ADAF071">
            <w:pPr>
              <w:spacing w:line="360" w:lineRule="auto"/>
              <w:jc w:val="center"/>
              <w:rPr>
                <w:szCs w:val="21"/>
              </w:rPr>
            </w:pPr>
          </w:p>
        </w:tc>
        <w:tc>
          <w:tcPr>
            <w:tcW w:w="672" w:type="dxa"/>
          </w:tcPr>
          <w:p w14:paraId="6C4831FF">
            <w:pPr>
              <w:spacing w:line="360" w:lineRule="auto"/>
              <w:jc w:val="center"/>
              <w:rPr>
                <w:szCs w:val="21"/>
              </w:rPr>
            </w:pPr>
          </w:p>
        </w:tc>
        <w:tc>
          <w:tcPr>
            <w:tcW w:w="738" w:type="dxa"/>
          </w:tcPr>
          <w:p w14:paraId="7E243B31">
            <w:pPr>
              <w:spacing w:line="360" w:lineRule="auto"/>
              <w:jc w:val="center"/>
              <w:rPr>
                <w:szCs w:val="21"/>
              </w:rPr>
            </w:pPr>
          </w:p>
        </w:tc>
        <w:tc>
          <w:tcPr>
            <w:tcW w:w="1212" w:type="dxa"/>
          </w:tcPr>
          <w:p w14:paraId="62EA9F1E">
            <w:pPr>
              <w:spacing w:line="360" w:lineRule="auto"/>
              <w:jc w:val="center"/>
              <w:rPr>
                <w:szCs w:val="21"/>
              </w:rPr>
            </w:pPr>
          </w:p>
        </w:tc>
        <w:tc>
          <w:tcPr>
            <w:tcW w:w="874" w:type="dxa"/>
          </w:tcPr>
          <w:p w14:paraId="47B32EA1">
            <w:pPr>
              <w:spacing w:line="360" w:lineRule="auto"/>
              <w:jc w:val="center"/>
              <w:rPr>
                <w:szCs w:val="21"/>
              </w:rPr>
            </w:pPr>
          </w:p>
        </w:tc>
        <w:tc>
          <w:tcPr>
            <w:tcW w:w="1055" w:type="dxa"/>
          </w:tcPr>
          <w:p w14:paraId="137BE9A0">
            <w:pPr>
              <w:spacing w:line="360" w:lineRule="auto"/>
              <w:jc w:val="center"/>
              <w:rPr>
                <w:szCs w:val="21"/>
              </w:rPr>
            </w:pPr>
          </w:p>
        </w:tc>
        <w:tc>
          <w:tcPr>
            <w:tcW w:w="691" w:type="dxa"/>
          </w:tcPr>
          <w:p w14:paraId="6591B99B">
            <w:pPr>
              <w:spacing w:line="360" w:lineRule="auto"/>
              <w:jc w:val="center"/>
              <w:rPr>
                <w:szCs w:val="21"/>
              </w:rPr>
            </w:pPr>
          </w:p>
        </w:tc>
      </w:tr>
      <w:tr w14:paraId="4A59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318F3E1F">
            <w:pPr>
              <w:spacing w:line="360" w:lineRule="auto"/>
              <w:jc w:val="center"/>
              <w:rPr>
                <w:szCs w:val="21"/>
              </w:rPr>
            </w:pPr>
          </w:p>
        </w:tc>
        <w:tc>
          <w:tcPr>
            <w:tcW w:w="1086" w:type="dxa"/>
          </w:tcPr>
          <w:p w14:paraId="0250CD5C">
            <w:pPr>
              <w:spacing w:line="360" w:lineRule="auto"/>
              <w:jc w:val="center"/>
              <w:rPr>
                <w:szCs w:val="21"/>
              </w:rPr>
            </w:pPr>
          </w:p>
        </w:tc>
        <w:tc>
          <w:tcPr>
            <w:tcW w:w="761" w:type="dxa"/>
          </w:tcPr>
          <w:p w14:paraId="7F4ABA20">
            <w:pPr>
              <w:spacing w:line="360" w:lineRule="auto"/>
              <w:jc w:val="center"/>
              <w:rPr>
                <w:szCs w:val="21"/>
              </w:rPr>
            </w:pPr>
          </w:p>
        </w:tc>
        <w:tc>
          <w:tcPr>
            <w:tcW w:w="990" w:type="dxa"/>
          </w:tcPr>
          <w:p w14:paraId="686B103A">
            <w:pPr>
              <w:spacing w:line="360" w:lineRule="auto"/>
              <w:jc w:val="center"/>
              <w:rPr>
                <w:szCs w:val="21"/>
              </w:rPr>
            </w:pPr>
          </w:p>
        </w:tc>
        <w:tc>
          <w:tcPr>
            <w:tcW w:w="672" w:type="dxa"/>
          </w:tcPr>
          <w:p w14:paraId="1D57EC36">
            <w:pPr>
              <w:spacing w:line="360" w:lineRule="auto"/>
              <w:jc w:val="center"/>
              <w:rPr>
                <w:szCs w:val="21"/>
              </w:rPr>
            </w:pPr>
          </w:p>
        </w:tc>
        <w:tc>
          <w:tcPr>
            <w:tcW w:w="738" w:type="dxa"/>
          </w:tcPr>
          <w:p w14:paraId="4F1DE2A7">
            <w:pPr>
              <w:spacing w:line="360" w:lineRule="auto"/>
              <w:jc w:val="center"/>
              <w:rPr>
                <w:szCs w:val="21"/>
              </w:rPr>
            </w:pPr>
          </w:p>
        </w:tc>
        <w:tc>
          <w:tcPr>
            <w:tcW w:w="1212" w:type="dxa"/>
          </w:tcPr>
          <w:p w14:paraId="2024F7B7">
            <w:pPr>
              <w:spacing w:line="360" w:lineRule="auto"/>
              <w:jc w:val="center"/>
              <w:rPr>
                <w:szCs w:val="21"/>
              </w:rPr>
            </w:pPr>
          </w:p>
        </w:tc>
        <w:tc>
          <w:tcPr>
            <w:tcW w:w="874" w:type="dxa"/>
          </w:tcPr>
          <w:p w14:paraId="65A8C87A">
            <w:pPr>
              <w:spacing w:line="360" w:lineRule="auto"/>
              <w:jc w:val="center"/>
              <w:rPr>
                <w:szCs w:val="21"/>
              </w:rPr>
            </w:pPr>
          </w:p>
        </w:tc>
        <w:tc>
          <w:tcPr>
            <w:tcW w:w="1055" w:type="dxa"/>
          </w:tcPr>
          <w:p w14:paraId="7E853EE0">
            <w:pPr>
              <w:spacing w:line="360" w:lineRule="auto"/>
              <w:jc w:val="center"/>
              <w:rPr>
                <w:szCs w:val="21"/>
              </w:rPr>
            </w:pPr>
          </w:p>
        </w:tc>
        <w:tc>
          <w:tcPr>
            <w:tcW w:w="691" w:type="dxa"/>
          </w:tcPr>
          <w:p w14:paraId="50C9F566">
            <w:pPr>
              <w:spacing w:line="360" w:lineRule="auto"/>
              <w:jc w:val="center"/>
              <w:rPr>
                <w:szCs w:val="21"/>
              </w:rPr>
            </w:pPr>
          </w:p>
        </w:tc>
      </w:tr>
      <w:tr w14:paraId="27E1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526A8F8D">
            <w:pPr>
              <w:spacing w:line="360" w:lineRule="auto"/>
              <w:jc w:val="center"/>
              <w:rPr>
                <w:szCs w:val="21"/>
              </w:rPr>
            </w:pPr>
          </w:p>
        </w:tc>
        <w:tc>
          <w:tcPr>
            <w:tcW w:w="1086" w:type="dxa"/>
          </w:tcPr>
          <w:p w14:paraId="4F5EF192">
            <w:pPr>
              <w:spacing w:line="360" w:lineRule="auto"/>
              <w:jc w:val="center"/>
              <w:rPr>
                <w:szCs w:val="21"/>
              </w:rPr>
            </w:pPr>
          </w:p>
        </w:tc>
        <w:tc>
          <w:tcPr>
            <w:tcW w:w="761" w:type="dxa"/>
          </w:tcPr>
          <w:p w14:paraId="7D13F967">
            <w:pPr>
              <w:spacing w:line="360" w:lineRule="auto"/>
              <w:jc w:val="center"/>
              <w:rPr>
                <w:szCs w:val="21"/>
              </w:rPr>
            </w:pPr>
          </w:p>
        </w:tc>
        <w:tc>
          <w:tcPr>
            <w:tcW w:w="990" w:type="dxa"/>
          </w:tcPr>
          <w:p w14:paraId="7E84D24B">
            <w:pPr>
              <w:spacing w:line="360" w:lineRule="auto"/>
              <w:jc w:val="center"/>
              <w:rPr>
                <w:szCs w:val="21"/>
              </w:rPr>
            </w:pPr>
          </w:p>
        </w:tc>
        <w:tc>
          <w:tcPr>
            <w:tcW w:w="672" w:type="dxa"/>
          </w:tcPr>
          <w:p w14:paraId="55D1EB49">
            <w:pPr>
              <w:spacing w:line="360" w:lineRule="auto"/>
              <w:jc w:val="center"/>
              <w:rPr>
                <w:szCs w:val="21"/>
              </w:rPr>
            </w:pPr>
          </w:p>
        </w:tc>
        <w:tc>
          <w:tcPr>
            <w:tcW w:w="738" w:type="dxa"/>
          </w:tcPr>
          <w:p w14:paraId="5155191A">
            <w:pPr>
              <w:spacing w:line="360" w:lineRule="auto"/>
              <w:jc w:val="center"/>
              <w:rPr>
                <w:szCs w:val="21"/>
              </w:rPr>
            </w:pPr>
          </w:p>
        </w:tc>
        <w:tc>
          <w:tcPr>
            <w:tcW w:w="1212" w:type="dxa"/>
          </w:tcPr>
          <w:p w14:paraId="5D424879">
            <w:pPr>
              <w:spacing w:line="360" w:lineRule="auto"/>
              <w:jc w:val="center"/>
              <w:rPr>
                <w:szCs w:val="21"/>
              </w:rPr>
            </w:pPr>
          </w:p>
        </w:tc>
        <w:tc>
          <w:tcPr>
            <w:tcW w:w="874" w:type="dxa"/>
          </w:tcPr>
          <w:p w14:paraId="6F616E88">
            <w:pPr>
              <w:spacing w:line="360" w:lineRule="auto"/>
              <w:jc w:val="center"/>
              <w:rPr>
                <w:szCs w:val="21"/>
              </w:rPr>
            </w:pPr>
          </w:p>
        </w:tc>
        <w:tc>
          <w:tcPr>
            <w:tcW w:w="1055" w:type="dxa"/>
          </w:tcPr>
          <w:p w14:paraId="01628AE0">
            <w:pPr>
              <w:spacing w:line="360" w:lineRule="auto"/>
              <w:jc w:val="center"/>
              <w:rPr>
                <w:szCs w:val="21"/>
              </w:rPr>
            </w:pPr>
          </w:p>
        </w:tc>
        <w:tc>
          <w:tcPr>
            <w:tcW w:w="691" w:type="dxa"/>
          </w:tcPr>
          <w:p w14:paraId="062A7B17">
            <w:pPr>
              <w:spacing w:line="360" w:lineRule="auto"/>
              <w:jc w:val="center"/>
              <w:rPr>
                <w:szCs w:val="21"/>
              </w:rPr>
            </w:pPr>
          </w:p>
        </w:tc>
      </w:tr>
      <w:tr w14:paraId="1672C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0F27C11E">
            <w:pPr>
              <w:spacing w:line="360" w:lineRule="auto"/>
              <w:jc w:val="center"/>
              <w:rPr>
                <w:szCs w:val="21"/>
              </w:rPr>
            </w:pPr>
          </w:p>
        </w:tc>
        <w:tc>
          <w:tcPr>
            <w:tcW w:w="1086" w:type="dxa"/>
          </w:tcPr>
          <w:p w14:paraId="041D5278">
            <w:pPr>
              <w:spacing w:line="360" w:lineRule="auto"/>
              <w:jc w:val="center"/>
              <w:rPr>
                <w:szCs w:val="21"/>
              </w:rPr>
            </w:pPr>
          </w:p>
        </w:tc>
        <w:tc>
          <w:tcPr>
            <w:tcW w:w="761" w:type="dxa"/>
          </w:tcPr>
          <w:p w14:paraId="78D274AD">
            <w:pPr>
              <w:spacing w:line="360" w:lineRule="auto"/>
              <w:jc w:val="center"/>
              <w:rPr>
                <w:szCs w:val="21"/>
              </w:rPr>
            </w:pPr>
          </w:p>
        </w:tc>
        <w:tc>
          <w:tcPr>
            <w:tcW w:w="990" w:type="dxa"/>
          </w:tcPr>
          <w:p w14:paraId="0D7EB102">
            <w:pPr>
              <w:spacing w:line="360" w:lineRule="auto"/>
              <w:jc w:val="center"/>
              <w:rPr>
                <w:szCs w:val="21"/>
              </w:rPr>
            </w:pPr>
          </w:p>
        </w:tc>
        <w:tc>
          <w:tcPr>
            <w:tcW w:w="672" w:type="dxa"/>
          </w:tcPr>
          <w:p w14:paraId="431BFE3D">
            <w:pPr>
              <w:spacing w:line="360" w:lineRule="auto"/>
              <w:jc w:val="center"/>
              <w:rPr>
                <w:szCs w:val="21"/>
              </w:rPr>
            </w:pPr>
          </w:p>
        </w:tc>
        <w:tc>
          <w:tcPr>
            <w:tcW w:w="738" w:type="dxa"/>
          </w:tcPr>
          <w:p w14:paraId="15BE6311">
            <w:pPr>
              <w:spacing w:line="360" w:lineRule="auto"/>
              <w:jc w:val="center"/>
              <w:rPr>
                <w:szCs w:val="21"/>
              </w:rPr>
            </w:pPr>
          </w:p>
        </w:tc>
        <w:tc>
          <w:tcPr>
            <w:tcW w:w="1212" w:type="dxa"/>
          </w:tcPr>
          <w:p w14:paraId="783C4D0D">
            <w:pPr>
              <w:spacing w:line="360" w:lineRule="auto"/>
              <w:jc w:val="center"/>
              <w:rPr>
                <w:szCs w:val="21"/>
              </w:rPr>
            </w:pPr>
          </w:p>
        </w:tc>
        <w:tc>
          <w:tcPr>
            <w:tcW w:w="874" w:type="dxa"/>
          </w:tcPr>
          <w:p w14:paraId="2F536964">
            <w:pPr>
              <w:spacing w:line="360" w:lineRule="auto"/>
              <w:jc w:val="center"/>
              <w:rPr>
                <w:szCs w:val="21"/>
              </w:rPr>
            </w:pPr>
          </w:p>
        </w:tc>
        <w:tc>
          <w:tcPr>
            <w:tcW w:w="1055" w:type="dxa"/>
          </w:tcPr>
          <w:p w14:paraId="63D36B38">
            <w:pPr>
              <w:spacing w:line="360" w:lineRule="auto"/>
              <w:jc w:val="center"/>
              <w:rPr>
                <w:szCs w:val="21"/>
              </w:rPr>
            </w:pPr>
          </w:p>
        </w:tc>
        <w:tc>
          <w:tcPr>
            <w:tcW w:w="691" w:type="dxa"/>
          </w:tcPr>
          <w:p w14:paraId="0949BBDF">
            <w:pPr>
              <w:spacing w:line="360" w:lineRule="auto"/>
              <w:jc w:val="center"/>
              <w:rPr>
                <w:szCs w:val="21"/>
              </w:rPr>
            </w:pPr>
          </w:p>
        </w:tc>
      </w:tr>
      <w:tr w14:paraId="69AD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59CBE06E">
            <w:pPr>
              <w:spacing w:line="360" w:lineRule="auto"/>
              <w:jc w:val="center"/>
              <w:rPr>
                <w:szCs w:val="21"/>
              </w:rPr>
            </w:pPr>
          </w:p>
        </w:tc>
        <w:tc>
          <w:tcPr>
            <w:tcW w:w="1086" w:type="dxa"/>
          </w:tcPr>
          <w:p w14:paraId="687C0AB7">
            <w:pPr>
              <w:spacing w:line="360" w:lineRule="auto"/>
              <w:jc w:val="center"/>
              <w:rPr>
                <w:szCs w:val="21"/>
              </w:rPr>
            </w:pPr>
          </w:p>
        </w:tc>
        <w:tc>
          <w:tcPr>
            <w:tcW w:w="761" w:type="dxa"/>
          </w:tcPr>
          <w:p w14:paraId="292895B1">
            <w:pPr>
              <w:spacing w:line="360" w:lineRule="auto"/>
              <w:jc w:val="center"/>
              <w:rPr>
                <w:szCs w:val="21"/>
              </w:rPr>
            </w:pPr>
          </w:p>
        </w:tc>
        <w:tc>
          <w:tcPr>
            <w:tcW w:w="990" w:type="dxa"/>
          </w:tcPr>
          <w:p w14:paraId="6E7E5D2F">
            <w:pPr>
              <w:spacing w:line="360" w:lineRule="auto"/>
              <w:jc w:val="center"/>
              <w:rPr>
                <w:szCs w:val="21"/>
              </w:rPr>
            </w:pPr>
          </w:p>
        </w:tc>
        <w:tc>
          <w:tcPr>
            <w:tcW w:w="672" w:type="dxa"/>
          </w:tcPr>
          <w:p w14:paraId="5B0AB2F7">
            <w:pPr>
              <w:spacing w:line="360" w:lineRule="auto"/>
              <w:jc w:val="center"/>
              <w:rPr>
                <w:szCs w:val="21"/>
              </w:rPr>
            </w:pPr>
          </w:p>
        </w:tc>
        <w:tc>
          <w:tcPr>
            <w:tcW w:w="738" w:type="dxa"/>
          </w:tcPr>
          <w:p w14:paraId="53F54692">
            <w:pPr>
              <w:spacing w:line="360" w:lineRule="auto"/>
              <w:jc w:val="center"/>
              <w:rPr>
                <w:szCs w:val="21"/>
              </w:rPr>
            </w:pPr>
          </w:p>
        </w:tc>
        <w:tc>
          <w:tcPr>
            <w:tcW w:w="1212" w:type="dxa"/>
          </w:tcPr>
          <w:p w14:paraId="4D4345CF">
            <w:pPr>
              <w:spacing w:line="360" w:lineRule="auto"/>
              <w:jc w:val="center"/>
              <w:rPr>
                <w:szCs w:val="21"/>
              </w:rPr>
            </w:pPr>
          </w:p>
        </w:tc>
        <w:tc>
          <w:tcPr>
            <w:tcW w:w="874" w:type="dxa"/>
          </w:tcPr>
          <w:p w14:paraId="48386809">
            <w:pPr>
              <w:spacing w:line="360" w:lineRule="auto"/>
              <w:jc w:val="center"/>
              <w:rPr>
                <w:szCs w:val="21"/>
              </w:rPr>
            </w:pPr>
          </w:p>
        </w:tc>
        <w:tc>
          <w:tcPr>
            <w:tcW w:w="1055" w:type="dxa"/>
          </w:tcPr>
          <w:p w14:paraId="3A2F4EB4">
            <w:pPr>
              <w:spacing w:line="360" w:lineRule="auto"/>
              <w:jc w:val="center"/>
              <w:rPr>
                <w:szCs w:val="21"/>
              </w:rPr>
            </w:pPr>
          </w:p>
        </w:tc>
        <w:tc>
          <w:tcPr>
            <w:tcW w:w="691" w:type="dxa"/>
          </w:tcPr>
          <w:p w14:paraId="37E5A14D">
            <w:pPr>
              <w:spacing w:line="360" w:lineRule="auto"/>
              <w:jc w:val="center"/>
              <w:rPr>
                <w:szCs w:val="21"/>
              </w:rPr>
            </w:pPr>
          </w:p>
        </w:tc>
      </w:tr>
      <w:tr w14:paraId="0884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14:paraId="1249E949">
            <w:pPr>
              <w:spacing w:line="360" w:lineRule="auto"/>
              <w:jc w:val="center"/>
              <w:rPr>
                <w:szCs w:val="21"/>
              </w:rPr>
            </w:pPr>
          </w:p>
        </w:tc>
        <w:tc>
          <w:tcPr>
            <w:tcW w:w="1086" w:type="dxa"/>
          </w:tcPr>
          <w:p w14:paraId="249437B2">
            <w:pPr>
              <w:spacing w:line="360" w:lineRule="auto"/>
              <w:jc w:val="center"/>
              <w:rPr>
                <w:szCs w:val="21"/>
              </w:rPr>
            </w:pPr>
          </w:p>
        </w:tc>
        <w:tc>
          <w:tcPr>
            <w:tcW w:w="761" w:type="dxa"/>
          </w:tcPr>
          <w:p w14:paraId="08AFBEDF">
            <w:pPr>
              <w:spacing w:line="360" w:lineRule="auto"/>
              <w:jc w:val="center"/>
              <w:rPr>
                <w:szCs w:val="21"/>
              </w:rPr>
            </w:pPr>
          </w:p>
        </w:tc>
        <w:tc>
          <w:tcPr>
            <w:tcW w:w="990" w:type="dxa"/>
          </w:tcPr>
          <w:p w14:paraId="0BF6FE10">
            <w:pPr>
              <w:spacing w:line="360" w:lineRule="auto"/>
              <w:jc w:val="center"/>
              <w:rPr>
                <w:szCs w:val="21"/>
              </w:rPr>
            </w:pPr>
          </w:p>
        </w:tc>
        <w:tc>
          <w:tcPr>
            <w:tcW w:w="672" w:type="dxa"/>
          </w:tcPr>
          <w:p w14:paraId="63406500">
            <w:pPr>
              <w:spacing w:line="360" w:lineRule="auto"/>
              <w:jc w:val="center"/>
              <w:rPr>
                <w:szCs w:val="21"/>
              </w:rPr>
            </w:pPr>
          </w:p>
        </w:tc>
        <w:tc>
          <w:tcPr>
            <w:tcW w:w="738" w:type="dxa"/>
          </w:tcPr>
          <w:p w14:paraId="37F9DAED">
            <w:pPr>
              <w:spacing w:line="360" w:lineRule="auto"/>
              <w:jc w:val="center"/>
              <w:rPr>
                <w:szCs w:val="21"/>
              </w:rPr>
            </w:pPr>
          </w:p>
        </w:tc>
        <w:tc>
          <w:tcPr>
            <w:tcW w:w="1212" w:type="dxa"/>
          </w:tcPr>
          <w:p w14:paraId="41770A07">
            <w:pPr>
              <w:spacing w:line="360" w:lineRule="auto"/>
              <w:jc w:val="center"/>
              <w:rPr>
                <w:szCs w:val="21"/>
              </w:rPr>
            </w:pPr>
          </w:p>
        </w:tc>
        <w:tc>
          <w:tcPr>
            <w:tcW w:w="874" w:type="dxa"/>
          </w:tcPr>
          <w:p w14:paraId="33198117">
            <w:pPr>
              <w:spacing w:line="360" w:lineRule="auto"/>
              <w:jc w:val="center"/>
              <w:rPr>
                <w:szCs w:val="21"/>
              </w:rPr>
            </w:pPr>
          </w:p>
        </w:tc>
        <w:tc>
          <w:tcPr>
            <w:tcW w:w="1055" w:type="dxa"/>
          </w:tcPr>
          <w:p w14:paraId="5D99A977">
            <w:pPr>
              <w:spacing w:line="360" w:lineRule="auto"/>
              <w:jc w:val="center"/>
              <w:rPr>
                <w:szCs w:val="21"/>
              </w:rPr>
            </w:pPr>
          </w:p>
        </w:tc>
        <w:tc>
          <w:tcPr>
            <w:tcW w:w="691" w:type="dxa"/>
          </w:tcPr>
          <w:p w14:paraId="663A0390">
            <w:pPr>
              <w:spacing w:line="360" w:lineRule="auto"/>
              <w:jc w:val="center"/>
              <w:rPr>
                <w:szCs w:val="21"/>
              </w:rPr>
            </w:pPr>
          </w:p>
        </w:tc>
      </w:tr>
    </w:tbl>
    <w:p w14:paraId="054D24DB">
      <w:pPr>
        <w:spacing w:line="360" w:lineRule="auto"/>
        <w:rPr>
          <w:rFonts w:eastAsia="黑体"/>
          <w:sz w:val="20"/>
          <w:szCs w:val="20"/>
        </w:rPr>
      </w:pPr>
    </w:p>
    <w:p w14:paraId="241394A5">
      <w:pPr>
        <w:pStyle w:val="2"/>
        <w:spacing w:line="360" w:lineRule="auto"/>
        <w:jc w:val="center"/>
        <w:rPr>
          <w:sz w:val="20"/>
          <w:szCs w:val="20"/>
        </w:rPr>
      </w:pPr>
      <w:bookmarkStart w:id="557" w:name="_Toc179632818"/>
      <w:bookmarkStart w:id="558" w:name="_Toc152045798"/>
      <w:bookmarkStart w:id="559" w:name="_Toc144974866"/>
      <w:bookmarkStart w:id="560" w:name="_Toc300835230"/>
      <w:bookmarkStart w:id="561" w:name="_Toc152042587"/>
      <w:r>
        <w:rPr>
          <w:rFonts w:hint="eastAsia"/>
        </w:rPr>
        <w:t>（七）</w:t>
      </w:r>
      <w:r>
        <w:t>拟配备本</w:t>
      </w:r>
      <w:r>
        <w:rPr>
          <w:rFonts w:hint="eastAsia"/>
        </w:rPr>
        <w:t>项目</w:t>
      </w:r>
      <w:r>
        <w:t>的试验和检测仪器设备表</w:t>
      </w:r>
      <w:bookmarkEnd w:id="557"/>
      <w:bookmarkEnd w:id="558"/>
      <w:bookmarkEnd w:id="559"/>
      <w:bookmarkEnd w:id="560"/>
      <w:bookmarkEnd w:id="561"/>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14:paraId="79A08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14:paraId="0C420453">
            <w:pPr>
              <w:spacing w:line="360" w:lineRule="auto"/>
              <w:rPr>
                <w:szCs w:val="21"/>
              </w:rPr>
            </w:pPr>
            <w:r>
              <w:rPr>
                <w:szCs w:val="21"/>
              </w:rPr>
              <w:t>序号</w:t>
            </w:r>
          </w:p>
        </w:tc>
        <w:tc>
          <w:tcPr>
            <w:tcW w:w="1087" w:type="dxa"/>
            <w:vAlign w:val="center"/>
          </w:tcPr>
          <w:p w14:paraId="3B59A84A">
            <w:pPr>
              <w:spacing w:line="360" w:lineRule="auto"/>
              <w:jc w:val="center"/>
              <w:rPr>
                <w:szCs w:val="21"/>
              </w:rPr>
            </w:pPr>
            <w:r>
              <w:rPr>
                <w:szCs w:val="21"/>
              </w:rPr>
              <w:t>仪器设备名称</w:t>
            </w:r>
          </w:p>
        </w:tc>
        <w:tc>
          <w:tcPr>
            <w:tcW w:w="760" w:type="dxa"/>
            <w:vAlign w:val="center"/>
          </w:tcPr>
          <w:p w14:paraId="4DBDD932">
            <w:pPr>
              <w:spacing w:line="360" w:lineRule="auto"/>
              <w:jc w:val="center"/>
              <w:rPr>
                <w:szCs w:val="21"/>
              </w:rPr>
            </w:pPr>
            <w:r>
              <w:rPr>
                <w:szCs w:val="21"/>
              </w:rPr>
              <w:t>型号</w:t>
            </w:r>
          </w:p>
          <w:p w14:paraId="6ED3B584">
            <w:pPr>
              <w:spacing w:line="360" w:lineRule="auto"/>
              <w:jc w:val="center"/>
              <w:rPr>
                <w:szCs w:val="21"/>
              </w:rPr>
            </w:pPr>
            <w:r>
              <w:rPr>
                <w:szCs w:val="21"/>
              </w:rPr>
              <w:t>规格</w:t>
            </w:r>
          </w:p>
        </w:tc>
        <w:tc>
          <w:tcPr>
            <w:tcW w:w="991" w:type="dxa"/>
            <w:vAlign w:val="center"/>
          </w:tcPr>
          <w:p w14:paraId="69A3B822">
            <w:pPr>
              <w:spacing w:line="360" w:lineRule="auto"/>
              <w:jc w:val="center"/>
              <w:rPr>
                <w:szCs w:val="21"/>
              </w:rPr>
            </w:pPr>
            <w:r>
              <w:rPr>
                <w:szCs w:val="21"/>
              </w:rPr>
              <w:t>数量</w:t>
            </w:r>
          </w:p>
        </w:tc>
        <w:tc>
          <w:tcPr>
            <w:tcW w:w="672" w:type="dxa"/>
            <w:vAlign w:val="center"/>
          </w:tcPr>
          <w:p w14:paraId="431F8C31">
            <w:pPr>
              <w:spacing w:line="360" w:lineRule="auto"/>
              <w:jc w:val="center"/>
              <w:rPr>
                <w:szCs w:val="21"/>
              </w:rPr>
            </w:pPr>
            <w:r>
              <w:rPr>
                <w:szCs w:val="21"/>
              </w:rPr>
              <w:t>国别</w:t>
            </w:r>
          </w:p>
          <w:p w14:paraId="43D2F6B7">
            <w:pPr>
              <w:spacing w:line="360" w:lineRule="auto"/>
              <w:jc w:val="center"/>
              <w:rPr>
                <w:szCs w:val="21"/>
              </w:rPr>
            </w:pPr>
            <w:r>
              <w:rPr>
                <w:szCs w:val="21"/>
              </w:rPr>
              <w:t>产地</w:t>
            </w:r>
          </w:p>
        </w:tc>
        <w:tc>
          <w:tcPr>
            <w:tcW w:w="738" w:type="dxa"/>
            <w:vAlign w:val="center"/>
          </w:tcPr>
          <w:p w14:paraId="1F1C2946">
            <w:pPr>
              <w:spacing w:line="360" w:lineRule="auto"/>
              <w:jc w:val="center"/>
              <w:rPr>
                <w:szCs w:val="21"/>
              </w:rPr>
            </w:pPr>
            <w:r>
              <w:rPr>
                <w:szCs w:val="21"/>
              </w:rPr>
              <w:t>制造</w:t>
            </w:r>
          </w:p>
          <w:p w14:paraId="3D399F72">
            <w:pPr>
              <w:spacing w:line="360" w:lineRule="auto"/>
              <w:jc w:val="center"/>
              <w:rPr>
                <w:szCs w:val="21"/>
              </w:rPr>
            </w:pPr>
            <w:r>
              <w:rPr>
                <w:szCs w:val="21"/>
              </w:rPr>
              <w:t>年份</w:t>
            </w:r>
          </w:p>
        </w:tc>
        <w:tc>
          <w:tcPr>
            <w:tcW w:w="1212" w:type="dxa"/>
            <w:vAlign w:val="center"/>
          </w:tcPr>
          <w:p w14:paraId="4CCFD081">
            <w:pPr>
              <w:spacing w:line="360" w:lineRule="auto"/>
              <w:jc w:val="center"/>
              <w:rPr>
                <w:szCs w:val="21"/>
              </w:rPr>
            </w:pPr>
            <w:r>
              <w:rPr>
                <w:szCs w:val="21"/>
              </w:rPr>
              <w:t>已使用台时数</w:t>
            </w:r>
          </w:p>
        </w:tc>
        <w:tc>
          <w:tcPr>
            <w:tcW w:w="1653" w:type="dxa"/>
            <w:vAlign w:val="center"/>
          </w:tcPr>
          <w:p w14:paraId="5550E148">
            <w:pPr>
              <w:spacing w:line="360" w:lineRule="auto"/>
              <w:jc w:val="center"/>
              <w:rPr>
                <w:szCs w:val="21"/>
              </w:rPr>
            </w:pPr>
            <w:r>
              <w:rPr>
                <w:szCs w:val="21"/>
              </w:rPr>
              <w:t>用途</w:t>
            </w:r>
          </w:p>
        </w:tc>
        <w:tc>
          <w:tcPr>
            <w:tcW w:w="688" w:type="dxa"/>
            <w:vAlign w:val="center"/>
          </w:tcPr>
          <w:p w14:paraId="2373CE79">
            <w:pPr>
              <w:spacing w:line="360" w:lineRule="auto"/>
              <w:jc w:val="center"/>
              <w:rPr>
                <w:szCs w:val="21"/>
              </w:rPr>
            </w:pPr>
            <w:r>
              <w:rPr>
                <w:szCs w:val="21"/>
              </w:rPr>
              <w:t>备注</w:t>
            </w:r>
          </w:p>
        </w:tc>
      </w:tr>
      <w:tr w14:paraId="6454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14:paraId="5C767FD2">
            <w:pPr>
              <w:spacing w:line="360" w:lineRule="auto"/>
              <w:jc w:val="center"/>
              <w:rPr>
                <w:szCs w:val="21"/>
              </w:rPr>
            </w:pPr>
          </w:p>
        </w:tc>
        <w:tc>
          <w:tcPr>
            <w:tcW w:w="1087" w:type="dxa"/>
            <w:vAlign w:val="center"/>
          </w:tcPr>
          <w:p w14:paraId="2E1B7625">
            <w:pPr>
              <w:spacing w:line="360" w:lineRule="auto"/>
              <w:jc w:val="center"/>
              <w:rPr>
                <w:szCs w:val="21"/>
              </w:rPr>
            </w:pPr>
          </w:p>
        </w:tc>
        <w:tc>
          <w:tcPr>
            <w:tcW w:w="760" w:type="dxa"/>
            <w:vAlign w:val="center"/>
          </w:tcPr>
          <w:p w14:paraId="20794150">
            <w:pPr>
              <w:spacing w:line="360" w:lineRule="auto"/>
              <w:jc w:val="center"/>
              <w:rPr>
                <w:szCs w:val="21"/>
              </w:rPr>
            </w:pPr>
          </w:p>
        </w:tc>
        <w:tc>
          <w:tcPr>
            <w:tcW w:w="991" w:type="dxa"/>
            <w:vAlign w:val="center"/>
          </w:tcPr>
          <w:p w14:paraId="456AD92B">
            <w:pPr>
              <w:spacing w:line="360" w:lineRule="auto"/>
              <w:jc w:val="center"/>
              <w:rPr>
                <w:szCs w:val="21"/>
              </w:rPr>
            </w:pPr>
          </w:p>
        </w:tc>
        <w:tc>
          <w:tcPr>
            <w:tcW w:w="672" w:type="dxa"/>
            <w:vAlign w:val="center"/>
          </w:tcPr>
          <w:p w14:paraId="346ED9C7">
            <w:pPr>
              <w:spacing w:line="360" w:lineRule="auto"/>
              <w:jc w:val="center"/>
              <w:rPr>
                <w:szCs w:val="21"/>
              </w:rPr>
            </w:pPr>
          </w:p>
        </w:tc>
        <w:tc>
          <w:tcPr>
            <w:tcW w:w="738" w:type="dxa"/>
            <w:vAlign w:val="center"/>
          </w:tcPr>
          <w:p w14:paraId="5DE9AE6C">
            <w:pPr>
              <w:spacing w:line="360" w:lineRule="auto"/>
              <w:jc w:val="center"/>
              <w:rPr>
                <w:szCs w:val="21"/>
              </w:rPr>
            </w:pPr>
          </w:p>
        </w:tc>
        <w:tc>
          <w:tcPr>
            <w:tcW w:w="1212" w:type="dxa"/>
            <w:vAlign w:val="center"/>
          </w:tcPr>
          <w:p w14:paraId="5E64C57A">
            <w:pPr>
              <w:spacing w:line="360" w:lineRule="auto"/>
              <w:jc w:val="center"/>
              <w:rPr>
                <w:szCs w:val="21"/>
              </w:rPr>
            </w:pPr>
          </w:p>
        </w:tc>
        <w:tc>
          <w:tcPr>
            <w:tcW w:w="1653" w:type="dxa"/>
            <w:vAlign w:val="center"/>
          </w:tcPr>
          <w:p w14:paraId="0B40AD47">
            <w:pPr>
              <w:spacing w:line="360" w:lineRule="auto"/>
              <w:jc w:val="center"/>
              <w:rPr>
                <w:szCs w:val="21"/>
              </w:rPr>
            </w:pPr>
          </w:p>
        </w:tc>
        <w:tc>
          <w:tcPr>
            <w:tcW w:w="688" w:type="dxa"/>
            <w:vAlign w:val="center"/>
          </w:tcPr>
          <w:p w14:paraId="0E405646">
            <w:pPr>
              <w:spacing w:line="360" w:lineRule="auto"/>
              <w:jc w:val="center"/>
              <w:rPr>
                <w:szCs w:val="21"/>
              </w:rPr>
            </w:pPr>
          </w:p>
        </w:tc>
      </w:tr>
      <w:tr w14:paraId="10632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14:paraId="60310B7C">
            <w:pPr>
              <w:spacing w:line="360" w:lineRule="auto"/>
              <w:jc w:val="center"/>
              <w:rPr>
                <w:szCs w:val="21"/>
              </w:rPr>
            </w:pPr>
          </w:p>
        </w:tc>
        <w:tc>
          <w:tcPr>
            <w:tcW w:w="1087" w:type="dxa"/>
            <w:vAlign w:val="center"/>
          </w:tcPr>
          <w:p w14:paraId="1BDDF045">
            <w:pPr>
              <w:spacing w:line="360" w:lineRule="auto"/>
              <w:jc w:val="center"/>
              <w:rPr>
                <w:szCs w:val="21"/>
              </w:rPr>
            </w:pPr>
          </w:p>
        </w:tc>
        <w:tc>
          <w:tcPr>
            <w:tcW w:w="760" w:type="dxa"/>
            <w:vAlign w:val="center"/>
          </w:tcPr>
          <w:p w14:paraId="424C3BD3">
            <w:pPr>
              <w:spacing w:line="360" w:lineRule="auto"/>
              <w:jc w:val="center"/>
              <w:rPr>
                <w:szCs w:val="21"/>
              </w:rPr>
            </w:pPr>
          </w:p>
        </w:tc>
        <w:tc>
          <w:tcPr>
            <w:tcW w:w="991" w:type="dxa"/>
            <w:vAlign w:val="center"/>
          </w:tcPr>
          <w:p w14:paraId="5A31CB3A">
            <w:pPr>
              <w:spacing w:line="360" w:lineRule="auto"/>
              <w:jc w:val="center"/>
              <w:rPr>
                <w:szCs w:val="21"/>
              </w:rPr>
            </w:pPr>
          </w:p>
        </w:tc>
        <w:tc>
          <w:tcPr>
            <w:tcW w:w="672" w:type="dxa"/>
            <w:vAlign w:val="center"/>
          </w:tcPr>
          <w:p w14:paraId="3AF27305">
            <w:pPr>
              <w:spacing w:line="360" w:lineRule="auto"/>
              <w:jc w:val="center"/>
              <w:rPr>
                <w:szCs w:val="21"/>
              </w:rPr>
            </w:pPr>
          </w:p>
        </w:tc>
        <w:tc>
          <w:tcPr>
            <w:tcW w:w="738" w:type="dxa"/>
            <w:vAlign w:val="center"/>
          </w:tcPr>
          <w:p w14:paraId="0D2FAF55">
            <w:pPr>
              <w:spacing w:line="360" w:lineRule="auto"/>
              <w:jc w:val="center"/>
              <w:rPr>
                <w:szCs w:val="21"/>
              </w:rPr>
            </w:pPr>
          </w:p>
        </w:tc>
        <w:tc>
          <w:tcPr>
            <w:tcW w:w="1212" w:type="dxa"/>
            <w:vAlign w:val="center"/>
          </w:tcPr>
          <w:p w14:paraId="40D07003">
            <w:pPr>
              <w:spacing w:line="360" w:lineRule="auto"/>
              <w:jc w:val="center"/>
              <w:rPr>
                <w:szCs w:val="21"/>
              </w:rPr>
            </w:pPr>
          </w:p>
        </w:tc>
        <w:tc>
          <w:tcPr>
            <w:tcW w:w="1653" w:type="dxa"/>
            <w:vAlign w:val="center"/>
          </w:tcPr>
          <w:p w14:paraId="7E312B5C">
            <w:pPr>
              <w:spacing w:line="360" w:lineRule="auto"/>
              <w:jc w:val="center"/>
              <w:rPr>
                <w:szCs w:val="21"/>
              </w:rPr>
            </w:pPr>
          </w:p>
        </w:tc>
        <w:tc>
          <w:tcPr>
            <w:tcW w:w="688" w:type="dxa"/>
            <w:vAlign w:val="center"/>
          </w:tcPr>
          <w:p w14:paraId="052E948B">
            <w:pPr>
              <w:spacing w:line="360" w:lineRule="auto"/>
              <w:jc w:val="center"/>
              <w:rPr>
                <w:szCs w:val="21"/>
              </w:rPr>
            </w:pPr>
          </w:p>
        </w:tc>
      </w:tr>
      <w:tr w14:paraId="779B8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7317CD52">
            <w:pPr>
              <w:spacing w:line="360" w:lineRule="auto"/>
              <w:jc w:val="center"/>
              <w:rPr>
                <w:szCs w:val="21"/>
              </w:rPr>
            </w:pPr>
          </w:p>
        </w:tc>
        <w:tc>
          <w:tcPr>
            <w:tcW w:w="1087" w:type="dxa"/>
          </w:tcPr>
          <w:p w14:paraId="597AFF01">
            <w:pPr>
              <w:spacing w:line="360" w:lineRule="auto"/>
              <w:jc w:val="center"/>
              <w:rPr>
                <w:szCs w:val="21"/>
              </w:rPr>
            </w:pPr>
          </w:p>
        </w:tc>
        <w:tc>
          <w:tcPr>
            <w:tcW w:w="760" w:type="dxa"/>
          </w:tcPr>
          <w:p w14:paraId="124248CC">
            <w:pPr>
              <w:spacing w:line="360" w:lineRule="auto"/>
              <w:jc w:val="center"/>
              <w:rPr>
                <w:szCs w:val="21"/>
              </w:rPr>
            </w:pPr>
          </w:p>
        </w:tc>
        <w:tc>
          <w:tcPr>
            <w:tcW w:w="991" w:type="dxa"/>
          </w:tcPr>
          <w:p w14:paraId="4DD1AAF4">
            <w:pPr>
              <w:spacing w:line="360" w:lineRule="auto"/>
              <w:jc w:val="center"/>
              <w:rPr>
                <w:szCs w:val="21"/>
              </w:rPr>
            </w:pPr>
          </w:p>
        </w:tc>
        <w:tc>
          <w:tcPr>
            <w:tcW w:w="672" w:type="dxa"/>
          </w:tcPr>
          <w:p w14:paraId="698FA16D">
            <w:pPr>
              <w:spacing w:line="360" w:lineRule="auto"/>
              <w:jc w:val="center"/>
              <w:rPr>
                <w:szCs w:val="21"/>
              </w:rPr>
            </w:pPr>
          </w:p>
        </w:tc>
        <w:tc>
          <w:tcPr>
            <w:tcW w:w="738" w:type="dxa"/>
          </w:tcPr>
          <w:p w14:paraId="72544088">
            <w:pPr>
              <w:spacing w:line="360" w:lineRule="auto"/>
              <w:jc w:val="center"/>
              <w:rPr>
                <w:szCs w:val="21"/>
              </w:rPr>
            </w:pPr>
          </w:p>
        </w:tc>
        <w:tc>
          <w:tcPr>
            <w:tcW w:w="1212" w:type="dxa"/>
          </w:tcPr>
          <w:p w14:paraId="7DA5B8C6">
            <w:pPr>
              <w:spacing w:line="360" w:lineRule="auto"/>
              <w:jc w:val="center"/>
              <w:rPr>
                <w:szCs w:val="21"/>
              </w:rPr>
            </w:pPr>
          </w:p>
        </w:tc>
        <w:tc>
          <w:tcPr>
            <w:tcW w:w="1653" w:type="dxa"/>
          </w:tcPr>
          <w:p w14:paraId="051907ED">
            <w:pPr>
              <w:spacing w:line="360" w:lineRule="auto"/>
              <w:jc w:val="center"/>
              <w:rPr>
                <w:szCs w:val="21"/>
              </w:rPr>
            </w:pPr>
          </w:p>
        </w:tc>
        <w:tc>
          <w:tcPr>
            <w:tcW w:w="688" w:type="dxa"/>
          </w:tcPr>
          <w:p w14:paraId="42C61ECC">
            <w:pPr>
              <w:spacing w:line="360" w:lineRule="auto"/>
              <w:jc w:val="center"/>
              <w:rPr>
                <w:szCs w:val="21"/>
              </w:rPr>
            </w:pPr>
          </w:p>
        </w:tc>
      </w:tr>
      <w:tr w14:paraId="30AE0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13B71E0A">
            <w:pPr>
              <w:spacing w:line="360" w:lineRule="auto"/>
              <w:jc w:val="center"/>
              <w:rPr>
                <w:szCs w:val="21"/>
              </w:rPr>
            </w:pPr>
          </w:p>
        </w:tc>
        <w:tc>
          <w:tcPr>
            <w:tcW w:w="1087" w:type="dxa"/>
          </w:tcPr>
          <w:p w14:paraId="1723ACA9">
            <w:pPr>
              <w:spacing w:line="360" w:lineRule="auto"/>
              <w:jc w:val="center"/>
              <w:rPr>
                <w:szCs w:val="21"/>
              </w:rPr>
            </w:pPr>
          </w:p>
        </w:tc>
        <w:tc>
          <w:tcPr>
            <w:tcW w:w="760" w:type="dxa"/>
          </w:tcPr>
          <w:p w14:paraId="0FAE1374">
            <w:pPr>
              <w:spacing w:line="360" w:lineRule="auto"/>
              <w:jc w:val="center"/>
              <w:rPr>
                <w:szCs w:val="21"/>
              </w:rPr>
            </w:pPr>
          </w:p>
        </w:tc>
        <w:tc>
          <w:tcPr>
            <w:tcW w:w="991" w:type="dxa"/>
          </w:tcPr>
          <w:p w14:paraId="299C8ABA">
            <w:pPr>
              <w:spacing w:line="360" w:lineRule="auto"/>
              <w:jc w:val="center"/>
              <w:rPr>
                <w:szCs w:val="21"/>
              </w:rPr>
            </w:pPr>
          </w:p>
        </w:tc>
        <w:tc>
          <w:tcPr>
            <w:tcW w:w="672" w:type="dxa"/>
          </w:tcPr>
          <w:p w14:paraId="4E301DEC">
            <w:pPr>
              <w:spacing w:line="360" w:lineRule="auto"/>
              <w:jc w:val="center"/>
              <w:rPr>
                <w:szCs w:val="21"/>
              </w:rPr>
            </w:pPr>
          </w:p>
        </w:tc>
        <w:tc>
          <w:tcPr>
            <w:tcW w:w="738" w:type="dxa"/>
          </w:tcPr>
          <w:p w14:paraId="6647FCF9">
            <w:pPr>
              <w:spacing w:line="360" w:lineRule="auto"/>
              <w:jc w:val="center"/>
              <w:rPr>
                <w:szCs w:val="21"/>
              </w:rPr>
            </w:pPr>
          </w:p>
        </w:tc>
        <w:tc>
          <w:tcPr>
            <w:tcW w:w="1212" w:type="dxa"/>
          </w:tcPr>
          <w:p w14:paraId="23D5DCCF">
            <w:pPr>
              <w:spacing w:line="360" w:lineRule="auto"/>
              <w:jc w:val="center"/>
              <w:rPr>
                <w:szCs w:val="21"/>
              </w:rPr>
            </w:pPr>
          </w:p>
        </w:tc>
        <w:tc>
          <w:tcPr>
            <w:tcW w:w="1653" w:type="dxa"/>
          </w:tcPr>
          <w:p w14:paraId="0B32526B">
            <w:pPr>
              <w:spacing w:line="360" w:lineRule="auto"/>
              <w:jc w:val="center"/>
              <w:rPr>
                <w:szCs w:val="21"/>
              </w:rPr>
            </w:pPr>
          </w:p>
        </w:tc>
        <w:tc>
          <w:tcPr>
            <w:tcW w:w="688" w:type="dxa"/>
          </w:tcPr>
          <w:p w14:paraId="52F2C92B">
            <w:pPr>
              <w:spacing w:line="360" w:lineRule="auto"/>
              <w:jc w:val="center"/>
              <w:rPr>
                <w:szCs w:val="21"/>
              </w:rPr>
            </w:pPr>
          </w:p>
        </w:tc>
      </w:tr>
      <w:tr w14:paraId="0D744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190D47DB">
            <w:pPr>
              <w:spacing w:line="360" w:lineRule="auto"/>
              <w:jc w:val="center"/>
              <w:rPr>
                <w:szCs w:val="21"/>
              </w:rPr>
            </w:pPr>
          </w:p>
        </w:tc>
        <w:tc>
          <w:tcPr>
            <w:tcW w:w="1087" w:type="dxa"/>
          </w:tcPr>
          <w:p w14:paraId="54CE36B5">
            <w:pPr>
              <w:spacing w:line="360" w:lineRule="auto"/>
              <w:jc w:val="center"/>
              <w:rPr>
                <w:szCs w:val="21"/>
              </w:rPr>
            </w:pPr>
          </w:p>
        </w:tc>
        <w:tc>
          <w:tcPr>
            <w:tcW w:w="760" w:type="dxa"/>
          </w:tcPr>
          <w:p w14:paraId="5FD330FB">
            <w:pPr>
              <w:spacing w:line="360" w:lineRule="auto"/>
              <w:jc w:val="center"/>
              <w:rPr>
                <w:szCs w:val="21"/>
              </w:rPr>
            </w:pPr>
          </w:p>
        </w:tc>
        <w:tc>
          <w:tcPr>
            <w:tcW w:w="991" w:type="dxa"/>
          </w:tcPr>
          <w:p w14:paraId="543A78B3">
            <w:pPr>
              <w:spacing w:line="360" w:lineRule="auto"/>
              <w:jc w:val="center"/>
              <w:rPr>
                <w:szCs w:val="21"/>
              </w:rPr>
            </w:pPr>
          </w:p>
        </w:tc>
        <w:tc>
          <w:tcPr>
            <w:tcW w:w="672" w:type="dxa"/>
          </w:tcPr>
          <w:p w14:paraId="3CAC9072">
            <w:pPr>
              <w:spacing w:line="360" w:lineRule="auto"/>
              <w:jc w:val="center"/>
              <w:rPr>
                <w:szCs w:val="21"/>
              </w:rPr>
            </w:pPr>
          </w:p>
        </w:tc>
        <w:tc>
          <w:tcPr>
            <w:tcW w:w="738" w:type="dxa"/>
          </w:tcPr>
          <w:p w14:paraId="2F9E0FF1">
            <w:pPr>
              <w:spacing w:line="360" w:lineRule="auto"/>
              <w:jc w:val="center"/>
              <w:rPr>
                <w:szCs w:val="21"/>
              </w:rPr>
            </w:pPr>
          </w:p>
        </w:tc>
        <w:tc>
          <w:tcPr>
            <w:tcW w:w="1212" w:type="dxa"/>
          </w:tcPr>
          <w:p w14:paraId="7304F1A6">
            <w:pPr>
              <w:spacing w:line="360" w:lineRule="auto"/>
              <w:jc w:val="center"/>
              <w:rPr>
                <w:szCs w:val="21"/>
              </w:rPr>
            </w:pPr>
          </w:p>
        </w:tc>
        <w:tc>
          <w:tcPr>
            <w:tcW w:w="1653" w:type="dxa"/>
          </w:tcPr>
          <w:p w14:paraId="3A4AF597">
            <w:pPr>
              <w:spacing w:line="360" w:lineRule="auto"/>
              <w:jc w:val="center"/>
              <w:rPr>
                <w:szCs w:val="21"/>
              </w:rPr>
            </w:pPr>
          </w:p>
        </w:tc>
        <w:tc>
          <w:tcPr>
            <w:tcW w:w="688" w:type="dxa"/>
          </w:tcPr>
          <w:p w14:paraId="39F04FFB">
            <w:pPr>
              <w:spacing w:line="360" w:lineRule="auto"/>
              <w:jc w:val="center"/>
              <w:rPr>
                <w:szCs w:val="21"/>
              </w:rPr>
            </w:pPr>
          </w:p>
        </w:tc>
      </w:tr>
      <w:tr w14:paraId="1C4E2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20B8B870">
            <w:pPr>
              <w:spacing w:line="360" w:lineRule="auto"/>
              <w:jc w:val="center"/>
              <w:rPr>
                <w:szCs w:val="21"/>
              </w:rPr>
            </w:pPr>
          </w:p>
        </w:tc>
        <w:tc>
          <w:tcPr>
            <w:tcW w:w="1087" w:type="dxa"/>
          </w:tcPr>
          <w:p w14:paraId="1B972039">
            <w:pPr>
              <w:spacing w:line="360" w:lineRule="auto"/>
              <w:jc w:val="center"/>
              <w:rPr>
                <w:szCs w:val="21"/>
              </w:rPr>
            </w:pPr>
          </w:p>
        </w:tc>
        <w:tc>
          <w:tcPr>
            <w:tcW w:w="760" w:type="dxa"/>
          </w:tcPr>
          <w:p w14:paraId="493BB16C">
            <w:pPr>
              <w:spacing w:line="360" w:lineRule="auto"/>
              <w:jc w:val="center"/>
              <w:rPr>
                <w:szCs w:val="21"/>
              </w:rPr>
            </w:pPr>
          </w:p>
        </w:tc>
        <w:tc>
          <w:tcPr>
            <w:tcW w:w="991" w:type="dxa"/>
          </w:tcPr>
          <w:p w14:paraId="42584AF1">
            <w:pPr>
              <w:spacing w:line="360" w:lineRule="auto"/>
              <w:jc w:val="center"/>
              <w:rPr>
                <w:szCs w:val="21"/>
              </w:rPr>
            </w:pPr>
          </w:p>
        </w:tc>
        <w:tc>
          <w:tcPr>
            <w:tcW w:w="672" w:type="dxa"/>
          </w:tcPr>
          <w:p w14:paraId="6B930D61">
            <w:pPr>
              <w:spacing w:line="360" w:lineRule="auto"/>
              <w:jc w:val="center"/>
              <w:rPr>
                <w:szCs w:val="21"/>
              </w:rPr>
            </w:pPr>
          </w:p>
        </w:tc>
        <w:tc>
          <w:tcPr>
            <w:tcW w:w="738" w:type="dxa"/>
          </w:tcPr>
          <w:p w14:paraId="0CD6EB86">
            <w:pPr>
              <w:spacing w:line="360" w:lineRule="auto"/>
              <w:jc w:val="center"/>
              <w:rPr>
                <w:szCs w:val="21"/>
              </w:rPr>
            </w:pPr>
          </w:p>
        </w:tc>
        <w:tc>
          <w:tcPr>
            <w:tcW w:w="1212" w:type="dxa"/>
          </w:tcPr>
          <w:p w14:paraId="6AD5CA00">
            <w:pPr>
              <w:spacing w:line="360" w:lineRule="auto"/>
              <w:jc w:val="center"/>
              <w:rPr>
                <w:szCs w:val="21"/>
              </w:rPr>
            </w:pPr>
          </w:p>
        </w:tc>
        <w:tc>
          <w:tcPr>
            <w:tcW w:w="1653" w:type="dxa"/>
          </w:tcPr>
          <w:p w14:paraId="0CBFB3DE">
            <w:pPr>
              <w:spacing w:line="360" w:lineRule="auto"/>
              <w:jc w:val="center"/>
              <w:rPr>
                <w:szCs w:val="21"/>
              </w:rPr>
            </w:pPr>
          </w:p>
        </w:tc>
        <w:tc>
          <w:tcPr>
            <w:tcW w:w="688" w:type="dxa"/>
          </w:tcPr>
          <w:p w14:paraId="5C9DF911">
            <w:pPr>
              <w:spacing w:line="360" w:lineRule="auto"/>
              <w:jc w:val="center"/>
              <w:rPr>
                <w:szCs w:val="21"/>
              </w:rPr>
            </w:pPr>
          </w:p>
        </w:tc>
      </w:tr>
      <w:tr w14:paraId="3B8D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6916C3D3">
            <w:pPr>
              <w:spacing w:line="360" w:lineRule="auto"/>
              <w:jc w:val="center"/>
              <w:rPr>
                <w:szCs w:val="21"/>
              </w:rPr>
            </w:pPr>
          </w:p>
        </w:tc>
        <w:tc>
          <w:tcPr>
            <w:tcW w:w="1087" w:type="dxa"/>
          </w:tcPr>
          <w:p w14:paraId="44C6EBB1">
            <w:pPr>
              <w:spacing w:line="360" w:lineRule="auto"/>
              <w:jc w:val="center"/>
              <w:rPr>
                <w:szCs w:val="21"/>
              </w:rPr>
            </w:pPr>
          </w:p>
        </w:tc>
        <w:tc>
          <w:tcPr>
            <w:tcW w:w="760" w:type="dxa"/>
          </w:tcPr>
          <w:p w14:paraId="66630E09">
            <w:pPr>
              <w:spacing w:line="360" w:lineRule="auto"/>
              <w:jc w:val="center"/>
              <w:rPr>
                <w:szCs w:val="21"/>
              </w:rPr>
            </w:pPr>
          </w:p>
        </w:tc>
        <w:tc>
          <w:tcPr>
            <w:tcW w:w="991" w:type="dxa"/>
          </w:tcPr>
          <w:p w14:paraId="7D589131">
            <w:pPr>
              <w:spacing w:line="360" w:lineRule="auto"/>
              <w:jc w:val="center"/>
              <w:rPr>
                <w:szCs w:val="21"/>
              </w:rPr>
            </w:pPr>
          </w:p>
        </w:tc>
        <w:tc>
          <w:tcPr>
            <w:tcW w:w="672" w:type="dxa"/>
          </w:tcPr>
          <w:p w14:paraId="09E50371">
            <w:pPr>
              <w:spacing w:line="360" w:lineRule="auto"/>
              <w:jc w:val="center"/>
              <w:rPr>
                <w:szCs w:val="21"/>
              </w:rPr>
            </w:pPr>
          </w:p>
        </w:tc>
        <w:tc>
          <w:tcPr>
            <w:tcW w:w="738" w:type="dxa"/>
          </w:tcPr>
          <w:p w14:paraId="14968DA7">
            <w:pPr>
              <w:spacing w:line="360" w:lineRule="auto"/>
              <w:jc w:val="center"/>
              <w:rPr>
                <w:szCs w:val="21"/>
              </w:rPr>
            </w:pPr>
          </w:p>
        </w:tc>
        <w:tc>
          <w:tcPr>
            <w:tcW w:w="1212" w:type="dxa"/>
          </w:tcPr>
          <w:p w14:paraId="1A9A982B">
            <w:pPr>
              <w:spacing w:line="360" w:lineRule="auto"/>
              <w:jc w:val="center"/>
              <w:rPr>
                <w:szCs w:val="21"/>
              </w:rPr>
            </w:pPr>
          </w:p>
        </w:tc>
        <w:tc>
          <w:tcPr>
            <w:tcW w:w="1653" w:type="dxa"/>
          </w:tcPr>
          <w:p w14:paraId="34444A14">
            <w:pPr>
              <w:spacing w:line="360" w:lineRule="auto"/>
              <w:jc w:val="center"/>
              <w:rPr>
                <w:szCs w:val="21"/>
              </w:rPr>
            </w:pPr>
          </w:p>
        </w:tc>
        <w:tc>
          <w:tcPr>
            <w:tcW w:w="688" w:type="dxa"/>
          </w:tcPr>
          <w:p w14:paraId="4CA07EDE">
            <w:pPr>
              <w:spacing w:line="360" w:lineRule="auto"/>
              <w:jc w:val="center"/>
              <w:rPr>
                <w:szCs w:val="21"/>
              </w:rPr>
            </w:pPr>
          </w:p>
        </w:tc>
      </w:tr>
      <w:tr w14:paraId="0E271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03E23275">
            <w:pPr>
              <w:spacing w:line="360" w:lineRule="auto"/>
              <w:jc w:val="center"/>
              <w:rPr>
                <w:szCs w:val="21"/>
              </w:rPr>
            </w:pPr>
          </w:p>
        </w:tc>
        <w:tc>
          <w:tcPr>
            <w:tcW w:w="1087" w:type="dxa"/>
          </w:tcPr>
          <w:p w14:paraId="1F42EFC8">
            <w:pPr>
              <w:spacing w:line="360" w:lineRule="auto"/>
              <w:jc w:val="center"/>
              <w:rPr>
                <w:szCs w:val="21"/>
              </w:rPr>
            </w:pPr>
          </w:p>
        </w:tc>
        <w:tc>
          <w:tcPr>
            <w:tcW w:w="760" w:type="dxa"/>
          </w:tcPr>
          <w:p w14:paraId="238B020F">
            <w:pPr>
              <w:spacing w:line="360" w:lineRule="auto"/>
              <w:jc w:val="center"/>
              <w:rPr>
                <w:szCs w:val="21"/>
              </w:rPr>
            </w:pPr>
          </w:p>
        </w:tc>
        <w:tc>
          <w:tcPr>
            <w:tcW w:w="991" w:type="dxa"/>
          </w:tcPr>
          <w:p w14:paraId="7B4249A8">
            <w:pPr>
              <w:spacing w:line="360" w:lineRule="auto"/>
              <w:jc w:val="center"/>
              <w:rPr>
                <w:szCs w:val="21"/>
              </w:rPr>
            </w:pPr>
          </w:p>
        </w:tc>
        <w:tc>
          <w:tcPr>
            <w:tcW w:w="672" w:type="dxa"/>
          </w:tcPr>
          <w:p w14:paraId="3BA96696">
            <w:pPr>
              <w:spacing w:line="360" w:lineRule="auto"/>
              <w:jc w:val="center"/>
              <w:rPr>
                <w:szCs w:val="21"/>
              </w:rPr>
            </w:pPr>
          </w:p>
        </w:tc>
        <w:tc>
          <w:tcPr>
            <w:tcW w:w="738" w:type="dxa"/>
          </w:tcPr>
          <w:p w14:paraId="2D0D25C5">
            <w:pPr>
              <w:spacing w:line="360" w:lineRule="auto"/>
              <w:jc w:val="center"/>
              <w:rPr>
                <w:szCs w:val="21"/>
              </w:rPr>
            </w:pPr>
          </w:p>
        </w:tc>
        <w:tc>
          <w:tcPr>
            <w:tcW w:w="1212" w:type="dxa"/>
          </w:tcPr>
          <w:p w14:paraId="6DA91B45">
            <w:pPr>
              <w:spacing w:line="360" w:lineRule="auto"/>
              <w:jc w:val="center"/>
              <w:rPr>
                <w:szCs w:val="21"/>
              </w:rPr>
            </w:pPr>
          </w:p>
        </w:tc>
        <w:tc>
          <w:tcPr>
            <w:tcW w:w="1653" w:type="dxa"/>
          </w:tcPr>
          <w:p w14:paraId="58894953">
            <w:pPr>
              <w:spacing w:line="360" w:lineRule="auto"/>
              <w:jc w:val="center"/>
              <w:rPr>
                <w:szCs w:val="21"/>
              </w:rPr>
            </w:pPr>
          </w:p>
        </w:tc>
        <w:tc>
          <w:tcPr>
            <w:tcW w:w="688" w:type="dxa"/>
          </w:tcPr>
          <w:p w14:paraId="68373730">
            <w:pPr>
              <w:spacing w:line="360" w:lineRule="auto"/>
              <w:jc w:val="center"/>
              <w:rPr>
                <w:szCs w:val="21"/>
              </w:rPr>
            </w:pPr>
          </w:p>
        </w:tc>
      </w:tr>
      <w:tr w14:paraId="2ED95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5EDFE572">
            <w:pPr>
              <w:spacing w:line="360" w:lineRule="auto"/>
              <w:jc w:val="center"/>
              <w:rPr>
                <w:szCs w:val="21"/>
              </w:rPr>
            </w:pPr>
          </w:p>
        </w:tc>
        <w:tc>
          <w:tcPr>
            <w:tcW w:w="1087" w:type="dxa"/>
          </w:tcPr>
          <w:p w14:paraId="56034241">
            <w:pPr>
              <w:spacing w:line="360" w:lineRule="auto"/>
              <w:jc w:val="center"/>
              <w:rPr>
                <w:szCs w:val="21"/>
              </w:rPr>
            </w:pPr>
          </w:p>
        </w:tc>
        <w:tc>
          <w:tcPr>
            <w:tcW w:w="760" w:type="dxa"/>
          </w:tcPr>
          <w:p w14:paraId="2F007BE4">
            <w:pPr>
              <w:spacing w:line="360" w:lineRule="auto"/>
              <w:jc w:val="center"/>
              <w:rPr>
                <w:szCs w:val="21"/>
              </w:rPr>
            </w:pPr>
          </w:p>
        </w:tc>
        <w:tc>
          <w:tcPr>
            <w:tcW w:w="991" w:type="dxa"/>
          </w:tcPr>
          <w:p w14:paraId="07A9D9D5">
            <w:pPr>
              <w:spacing w:line="360" w:lineRule="auto"/>
              <w:jc w:val="center"/>
              <w:rPr>
                <w:szCs w:val="21"/>
              </w:rPr>
            </w:pPr>
          </w:p>
        </w:tc>
        <w:tc>
          <w:tcPr>
            <w:tcW w:w="672" w:type="dxa"/>
          </w:tcPr>
          <w:p w14:paraId="672539E8">
            <w:pPr>
              <w:spacing w:line="360" w:lineRule="auto"/>
              <w:jc w:val="center"/>
              <w:rPr>
                <w:szCs w:val="21"/>
              </w:rPr>
            </w:pPr>
          </w:p>
        </w:tc>
        <w:tc>
          <w:tcPr>
            <w:tcW w:w="738" w:type="dxa"/>
          </w:tcPr>
          <w:p w14:paraId="293BFE28">
            <w:pPr>
              <w:spacing w:line="360" w:lineRule="auto"/>
              <w:jc w:val="center"/>
              <w:rPr>
                <w:szCs w:val="21"/>
              </w:rPr>
            </w:pPr>
          </w:p>
        </w:tc>
        <w:tc>
          <w:tcPr>
            <w:tcW w:w="1212" w:type="dxa"/>
          </w:tcPr>
          <w:p w14:paraId="0A72837C">
            <w:pPr>
              <w:spacing w:line="360" w:lineRule="auto"/>
              <w:jc w:val="center"/>
              <w:rPr>
                <w:szCs w:val="21"/>
              </w:rPr>
            </w:pPr>
          </w:p>
        </w:tc>
        <w:tc>
          <w:tcPr>
            <w:tcW w:w="1653" w:type="dxa"/>
          </w:tcPr>
          <w:p w14:paraId="4550BE55">
            <w:pPr>
              <w:spacing w:line="360" w:lineRule="auto"/>
              <w:jc w:val="center"/>
              <w:rPr>
                <w:szCs w:val="21"/>
              </w:rPr>
            </w:pPr>
          </w:p>
        </w:tc>
        <w:tc>
          <w:tcPr>
            <w:tcW w:w="688" w:type="dxa"/>
          </w:tcPr>
          <w:p w14:paraId="570AB013">
            <w:pPr>
              <w:spacing w:line="360" w:lineRule="auto"/>
              <w:jc w:val="center"/>
              <w:rPr>
                <w:szCs w:val="21"/>
              </w:rPr>
            </w:pPr>
          </w:p>
        </w:tc>
      </w:tr>
      <w:tr w14:paraId="4D2D6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41A6A2F7">
            <w:pPr>
              <w:spacing w:line="360" w:lineRule="auto"/>
              <w:jc w:val="center"/>
              <w:rPr>
                <w:szCs w:val="21"/>
              </w:rPr>
            </w:pPr>
          </w:p>
        </w:tc>
        <w:tc>
          <w:tcPr>
            <w:tcW w:w="1087" w:type="dxa"/>
          </w:tcPr>
          <w:p w14:paraId="2E0CCD78">
            <w:pPr>
              <w:spacing w:line="360" w:lineRule="auto"/>
              <w:jc w:val="center"/>
              <w:rPr>
                <w:szCs w:val="21"/>
              </w:rPr>
            </w:pPr>
          </w:p>
        </w:tc>
        <w:tc>
          <w:tcPr>
            <w:tcW w:w="760" w:type="dxa"/>
          </w:tcPr>
          <w:p w14:paraId="366288F7">
            <w:pPr>
              <w:spacing w:line="360" w:lineRule="auto"/>
              <w:jc w:val="center"/>
              <w:rPr>
                <w:szCs w:val="21"/>
              </w:rPr>
            </w:pPr>
          </w:p>
        </w:tc>
        <w:tc>
          <w:tcPr>
            <w:tcW w:w="991" w:type="dxa"/>
          </w:tcPr>
          <w:p w14:paraId="0E099E33">
            <w:pPr>
              <w:spacing w:line="360" w:lineRule="auto"/>
              <w:jc w:val="center"/>
              <w:rPr>
                <w:szCs w:val="21"/>
              </w:rPr>
            </w:pPr>
          </w:p>
        </w:tc>
        <w:tc>
          <w:tcPr>
            <w:tcW w:w="672" w:type="dxa"/>
          </w:tcPr>
          <w:p w14:paraId="147481A2">
            <w:pPr>
              <w:spacing w:line="360" w:lineRule="auto"/>
              <w:jc w:val="center"/>
              <w:rPr>
                <w:szCs w:val="21"/>
              </w:rPr>
            </w:pPr>
          </w:p>
        </w:tc>
        <w:tc>
          <w:tcPr>
            <w:tcW w:w="738" w:type="dxa"/>
          </w:tcPr>
          <w:p w14:paraId="32944783">
            <w:pPr>
              <w:spacing w:line="360" w:lineRule="auto"/>
              <w:jc w:val="center"/>
              <w:rPr>
                <w:szCs w:val="21"/>
              </w:rPr>
            </w:pPr>
          </w:p>
        </w:tc>
        <w:tc>
          <w:tcPr>
            <w:tcW w:w="1212" w:type="dxa"/>
          </w:tcPr>
          <w:p w14:paraId="76FF5F7F">
            <w:pPr>
              <w:spacing w:line="360" w:lineRule="auto"/>
              <w:jc w:val="center"/>
              <w:rPr>
                <w:szCs w:val="21"/>
              </w:rPr>
            </w:pPr>
          </w:p>
        </w:tc>
        <w:tc>
          <w:tcPr>
            <w:tcW w:w="1653" w:type="dxa"/>
          </w:tcPr>
          <w:p w14:paraId="6CE0638E">
            <w:pPr>
              <w:spacing w:line="360" w:lineRule="auto"/>
              <w:jc w:val="center"/>
              <w:rPr>
                <w:szCs w:val="21"/>
              </w:rPr>
            </w:pPr>
          </w:p>
        </w:tc>
        <w:tc>
          <w:tcPr>
            <w:tcW w:w="688" w:type="dxa"/>
          </w:tcPr>
          <w:p w14:paraId="78C1F20D">
            <w:pPr>
              <w:spacing w:line="360" w:lineRule="auto"/>
              <w:jc w:val="center"/>
              <w:rPr>
                <w:szCs w:val="21"/>
              </w:rPr>
            </w:pPr>
          </w:p>
        </w:tc>
      </w:tr>
      <w:tr w14:paraId="7A6AF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1E698208">
            <w:pPr>
              <w:spacing w:line="360" w:lineRule="auto"/>
              <w:jc w:val="center"/>
              <w:rPr>
                <w:szCs w:val="21"/>
              </w:rPr>
            </w:pPr>
          </w:p>
        </w:tc>
        <w:tc>
          <w:tcPr>
            <w:tcW w:w="1087" w:type="dxa"/>
          </w:tcPr>
          <w:p w14:paraId="47BD3EFD">
            <w:pPr>
              <w:spacing w:line="360" w:lineRule="auto"/>
              <w:jc w:val="center"/>
              <w:rPr>
                <w:szCs w:val="21"/>
              </w:rPr>
            </w:pPr>
          </w:p>
        </w:tc>
        <w:tc>
          <w:tcPr>
            <w:tcW w:w="760" w:type="dxa"/>
          </w:tcPr>
          <w:p w14:paraId="70371647">
            <w:pPr>
              <w:spacing w:line="360" w:lineRule="auto"/>
              <w:jc w:val="center"/>
              <w:rPr>
                <w:szCs w:val="21"/>
              </w:rPr>
            </w:pPr>
          </w:p>
        </w:tc>
        <w:tc>
          <w:tcPr>
            <w:tcW w:w="991" w:type="dxa"/>
          </w:tcPr>
          <w:p w14:paraId="1F1F054A">
            <w:pPr>
              <w:spacing w:line="360" w:lineRule="auto"/>
              <w:jc w:val="center"/>
              <w:rPr>
                <w:szCs w:val="21"/>
              </w:rPr>
            </w:pPr>
          </w:p>
        </w:tc>
        <w:tc>
          <w:tcPr>
            <w:tcW w:w="672" w:type="dxa"/>
          </w:tcPr>
          <w:p w14:paraId="11A7C646">
            <w:pPr>
              <w:spacing w:line="360" w:lineRule="auto"/>
              <w:jc w:val="center"/>
              <w:rPr>
                <w:szCs w:val="21"/>
              </w:rPr>
            </w:pPr>
          </w:p>
        </w:tc>
        <w:tc>
          <w:tcPr>
            <w:tcW w:w="738" w:type="dxa"/>
          </w:tcPr>
          <w:p w14:paraId="47382B40">
            <w:pPr>
              <w:spacing w:line="360" w:lineRule="auto"/>
              <w:jc w:val="center"/>
              <w:rPr>
                <w:szCs w:val="21"/>
              </w:rPr>
            </w:pPr>
          </w:p>
        </w:tc>
        <w:tc>
          <w:tcPr>
            <w:tcW w:w="1212" w:type="dxa"/>
          </w:tcPr>
          <w:p w14:paraId="3D1FFCC5">
            <w:pPr>
              <w:spacing w:line="360" w:lineRule="auto"/>
              <w:jc w:val="center"/>
              <w:rPr>
                <w:szCs w:val="21"/>
              </w:rPr>
            </w:pPr>
          </w:p>
        </w:tc>
        <w:tc>
          <w:tcPr>
            <w:tcW w:w="1653" w:type="dxa"/>
          </w:tcPr>
          <w:p w14:paraId="40B8AD3B">
            <w:pPr>
              <w:spacing w:line="360" w:lineRule="auto"/>
              <w:jc w:val="center"/>
              <w:rPr>
                <w:szCs w:val="21"/>
              </w:rPr>
            </w:pPr>
          </w:p>
        </w:tc>
        <w:tc>
          <w:tcPr>
            <w:tcW w:w="688" w:type="dxa"/>
          </w:tcPr>
          <w:p w14:paraId="3ECF37D5">
            <w:pPr>
              <w:spacing w:line="360" w:lineRule="auto"/>
              <w:jc w:val="center"/>
              <w:rPr>
                <w:szCs w:val="21"/>
              </w:rPr>
            </w:pPr>
          </w:p>
        </w:tc>
      </w:tr>
      <w:tr w14:paraId="09A4B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433A878B">
            <w:pPr>
              <w:spacing w:line="360" w:lineRule="auto"/>
              <w:jc w:val="center"/>
              <w:rPr>
                <w:szCs w:val="21"/>
              </w:rPr>
            </w:pPr>
          </w:p>
        </w:tc>
        <w:tc>
          <w:tcPr>
            <w:tcW w:w="1087" w:type="dxa"/>
          </w:tcPr>
          <w:p w14:paraId="7F8F6688">
            <w:pPr>
              <w:spacing w:line="360" w:lineRule="auto"/>
              <w:jc w:val="center"/>
              <w:rPr>
                <w:szCs w:val="21"/>
              </w:rPr>
            </w:pPr>
          </w:p>
        </w:tc>
        <w:tc>
          <w:tcPr>
            <w:tcW w:w="760" w:type="dxa"/>
          </w:tcPr>
          <w:p w14:paraId="48AE1144">
            <w:pPr>
              <w:spacing w:line="360" w:lineRule="auto"/>
              <w:jc w:val="center"/>
              <w:rPr>
                <w:szCs w:val="21"/>
              </w:rPr>
            </w:pPr>
          </w:p>
        </w:tc>
        <w:tc>
          <w:tcPr>
            <w:tcW w:w="991" w:type="dxa"/>
          </w:tcPr>
          <w:p w14:paraId="0A60DB40">
            <w:pPr>
              <w:spacing w:line="360" w:lineRule="auto"/>
              <w:jc w:val="center"/>
              <w:rPr>
                <w:szCs w:val="21"/>
              </w:rPr>
            </w:pPr>
          </w:p>
        </w:tc>
        <w:tc>
          <w:tcPr>
            <w:tcW w:w="672" w:type="dxa"/>
          </w:tcPr>
          <w:p w14:paraId="07FA2675">
            <w:pPr>
              <w:spacing w:line="360" w:lineRule="auto"/>
              <w:jc w:val="center"/>
              <w:rPr>
                <w:szCs w:val="21"/>
              </w:rPr>
            </w:pPr>
          </w:p>
        </w:tc>
        <w:tc>
          <w:tcPr>
            <w:tcW w:w="738" w:type="dxa"/>
          </w:tcPr>
          <w:p w14:paraId="2624D577">
            <w:pPr>
              <w:spacing w:line="360" w:lineRule="auto"/>
              <w:jc w:val="center"/>
              <w:rPr>
                <w:szCs w:val="21"/>
              </w:rPr>
            </w:pPr>
          </w:p>
        </w:tc>
        <w:tc>
          <w:tcPr>
            <w:tcW w:w="1212" w:type="dxa"/>
          </w:tcPr>
          <w:p w14:paraId="3BB3ADD0">
            <w:pPr>
              <w:spacing w:line="360" w:lineRule="auto"/>
              <w:jc w:val="center"/>
              <w:rPr>
                <w:szCs w:val="21"/>
              </w:rPr>
            </w:pPr>
          </w:p>
        </w:tc>
        <w:tc>
          <w:tcPr>
            <w:tcW w:w="1653" w:type="dxa"/>
          </w:tcPr>
          <w:p w14:paraId="3C9AA4DB">
            <w:pPr>
              <w:spacing w:line="360" w:lineRule="auto"/>
              <w:jc w:val="center"/>
              <w:rPr>
                <w:szCs w:val="21"/>
              </w:rPr>
            </w:pPr>
          </w:p>
        </w:tc>
        <w:tc>
          <w:tcPr>
            <w:tcW w:w="688" w:type="dxa"/>
          </w:tcPr>
          <w:p w14:paraId="0022F015">
            <w:pPr>
              <w:spacing w:line="360" w:lineRule="auto"/>
              <w:jc w:val="center"/>
              <w:rPr>
                <w:szCs w:val="21"/>
              </w:rPr>
            </w:pPr>
          </w:p>
        </w:tc>
      </w:tr>
      <w:tr w14:paraId="6044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41ECB4DF">
            <w:pPr>
              <w:spacing w:line="360" w:lineRule="auto"/>
              <w:jc w:val="center"/>
              <w:rPr>
                <w:szCs w:val="21"/>
              </w:rPr>
            </w:pPr>
          </w:p>
        </w:tc>
        <w:tc>
          <w:tcPr>
            <w:tcW w:w="1087" w:type="dxa"/>
          </w:tcPr>
          <w:p w14:paraId="369D1B1F">
            <w:pPr>
              <w:spacing w:line="360" w:lineRule="auto"/>
              <w:jc w:val="center"/>
              <w:rPr>
                <w:szCs w:val="21"/>
              </w:rPr>
            </w:pPr>
          </w:p>
        </w:tc>
        <w:tc>
          <w:tcPr>
            <w:tcW w:w="760" w:type="dxa"/>
          </w:tcPr>
          <w:p w14:paraId="38B84AF8">
            <w:pPr>
              <w:spacing w:line="360" w:lineRule="auto"/>
              <w:jc w:val="center"/>
              <w:rPr>
                <w:szCs w:val="21"/>
              </w:rPr>
            </w:pPr>
          </w:p>
        </w:tc>
        <w:tc>
          <w:tcPr>
            <w:tcW w:w="991" w:type="dxa"/>
          </w:tcPr>
          <w:p w14:paraId="0347880C">
            <w:pPr>
              <w:spacing w:line="360" w:lineRule="auto"/>
              <w:jc w:val="center"/>
              <w:rPr>
                <w:szCs w:val="21"/>
              </w:rPr>
            </w:pPr>
          </w:p>
        </w:tc>
        <w:tc>
          <w:tcPr>
            <w:tcW w:w="672" w:type="dxa"/>
          </w:tcPr>
          <w:p w14:paraId="176C38F3">
            <w:pPr>
              <w:spacing w:line="360" w:lineRule="auto"/>
              <w:jc w:val="center"/>
              <w:rPr>
                <w:szCs w:val="21"/>
              </w:rPr>
            </w:pPr>
          </w:p>
        </w:tc>
        <w:tc>
          <w:tcPr>
            <w:tcW w:w="738" w:type="dxa"/>
          </w:tcPr>
          <w:p w14:paraId="31321FB6">
            <w:pPr>
              <w:spacing w:line="360" w:lineRule="auto"/>
              <w:jc w:val="center"/>
              <w:rPr>
                <w:szCs w:val="21"/>
              </w:rPr>
            </w:pPr>
          </w:p>
        </w:tc>
        <w:tc>
          <w:tcPr>
            <w:tcW w:w="1212" w:type="dxa"/>
          </w:tcPr>
          <w:p w14:paraId="52123769">
            <w:pPr>
              <w:spacing w:line="360" w:lineRule="auto"/>
              <w:jc w:val="center"/>
              <w:rPr>
                <w:szCs w:val="21"/>
              </w:rPr>
            </w:pPr>
          </w:p>
        </w:tc>
        <w:tc>
          <w:tcPr>
            <w:tcW w:w="1653" w:type="dxa"/>
          </w:tcPr>
          <w:p w14:paraId="022C6CCD">
            <w:pPr>
              <w:spacing w:line="360" w:lineRule="auto"/>
              <w:jc w:val="center"/>
              <w:rPr>
                <w:szCs w:val="21"/>
              </w:rPr>
            </w:pPr>
          </w:p>
        </w:tc>
        <w:tc>
          <w:tcPr>
            <w:tcW w:w="688" w:type="dxa"/>
          </w:tcPr>
          <w:p w14:paraId="2F5DF959">
            <w:pPr>
              <w:spacing w:line="360" w:lineRule="auto"/>
              <w:jc w:val="center"/>
              <w:rPr>
                <w:szCs w:val="21"/>
              </w:rPr>
            </w:pPr>
          </w:p>
        </w:tc>
      </w:tr>
      <w:tr w14:paraId="54E83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5E3D5CF3">
            <w:pPr>
              <w:spacing w:line="360" w:lineRule="auto"/>
              <w:jc w:val="center"/>
              <w:rPr>
                <w:szCs w:val="21"/>
              </w:rPr>
            </w:pPr>
          </w:p>
        </w:tc>
        <w:tc>
          <w:tcPr>
            <w:tcW w:w="1087" w:type="dxa"/>
          </w:tcPr>
          <w:p w14:paraId="1DB8D9F7">
            <w:pPr>
              <w:spacing w:line="360" w:lineRule="auto"/>
              <w:jc w:val="center"/>
              <w:rPr>
                <w:szCs w:val="21"/>
              </w:rPr>
            </w:pPr>
          </w:p>
        </w:tc>
        <w:tc>
          <w:tcPr>
            <w:tcW w:w="760" w:type="dxa"/>
          </w:tcPr>
          <w:p w14:paraId="5CF6B9DE">
            <w:pPr>
              <w:spacing w:line="360" w:lineRule="auto"/>
              <w:jc w:val="center"/>
              <w:rPr>
                <w:szCs w:val="21"/>
              </w:rPr>
            </w:pPr>
          </w:p>
        </w:tc>
        <w:tc>
          <w:tcPr>
            <w:tcW w:w="991" w:type="dxa"/>
          </w:tcPr>
          <w:p w14:paraId="45C7C919">
            <w:pPr>
              <w:spacing w:line="360" w:lineRule="auto"/>
              <w:jc w:val="center"/>
              <w:rPr>
                <w:szCs w:val="21"/>
              </w:rPr>
            </w:pPr>
          </w:p>
        </w:tc>
        <w:tc>
          <w:tcPr>
            <w:tcW w:w="672" w:type="dxa"/>
          </w:tcPr>
          <w:p w14:paraId="03D25142">
            <w:pPr>
              <w:spacing w:line="360" w:lineRule="auto"/>
              <w:jc w:val="center"/>
              <w:rPr>
                <w:szCs w:val="21"/>
              </w:rPr>
            </w:pPr>
          </w:p>
        </w:tc>
        <w:tc>
          <w:tcPr>
            <w:tcW w:w="738" w:type="dxa"/>
          </w:tcPr>
          <w:p w14:paraId="4EE17933">
            <w:pPr>
              <w:spacing w:line="360" w:lineRule="auto"/>
              <w:jc w:val="center"/>
              <w:rPr>
                <w:szCs w:val="21"/>
              </w:rPr>
            </w:pPr>
          </w:p>
        </w:tc>
        <w:tc>
          <w:tcPr>
            <w:tcW w:w="1212" w:type="dxa"/>
          </w:tcPr>
          <w:p w14:paraId="48C37638">
            <w:pPr>
              <w:spacing w:line="360" w:lineRule="auto"/>
              <w:jc w:val="center"/>
              <w:rPr>
                <w:szCs w:val="21"/>
              </w:rPr>
            </w:pPr>
          </w:p>
        </w:tc>
        <w:tc>
          <w:tcPr>
            <w:tcW w:w="1653" w:type="dxa"/>
          </w:tcPr>
          <w:p w14:paraId="15706BD7">
            <w:pPr>
              <w:spacing w:line="360" w:lineRule="auto"/>
              <w:jc w:val="center"/>
              <w:rPr>
                <w:szCs w:val="21"/>
              </w:rPr>
            </w:pPr>
          </w:p>
        </w:tc>
        <w:tc>
          <w:tcPr>
            <w:tcW w:w="688" w:type="dxa"/>
          </w:tcPr>
          <w:p w14:paraId="322C8D73">
            <w:pPr>
              <w:spacing w:line="360" w:lineRule="auto"/>
              <w:jc w:val="center"/>
              <w:rPr>
                <w:szCs w:val="21"/>
              </w:rPr>
            </w:pPr>
          </w:p>
        </w:tc>
      </w:tr>
      <w:tr w14:paraId="3594F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202442C5">
            <w:pPr>
              <w:spacing w:line="360" w:lineRule="auto"/>
              <w:jc w:val="center"/>
              <w:rPr>
                <w:szCs w:val="21"/>
              </w:rPr>
            </w:pPr>
          </w:p>
        </w:tc>
        <w:tc>
          <w:tcPr>
            <w:tcW w:w="1087" w:type="dxa"/>
          </w:tcPr>
          <w:p w14:paraId="4242E755">
            <w:pPr>
              <w:spacing w:line="360" w:lineRule="auto"/>
              <w:jc w:val="center"/>
              <w:rPr>
                <w:szCs w:val="21"/>
              </w:rPr>
            </w:pPr>
          </w:p>
        </w:tc>
        <w:tc>
          <w:tcPr>
            <w:tcW w:w="760" w:type="dxa"/>
          </w:tcPr>
          <w:p w14:paraId="371C088B">
            <w:pPr>
              <w:spacing w:line="360" w:lineRule="auto"/>
              <w:jc w:val="center"/>
              <w:rPr>
                <w:szCs w:val="21"/>
              </w:rPr>
            </w:pPr>
          </w:p>
        </w:tc>
        <w:tc>
          <w:tcPr>
            <w:tcW w:w="991" w:type="dxa"/>
          </w:tcPr>
          <w:p w14:paraId="44997594">
            <w:pPr>
              <w:spacing w:line="360" w:lineRule="auto"/>
              <w:jc w:val="center"/>
              <w:rPr>
                <w:szCs w:val="21"/>
              </w:rPr>
            </w:pPr>
          </w:p>
        </w:tc>
        <w:tc>
          <w:tcPr>
            <w:tcW w:w="672" w:type="dxa"/>
          </w:tcPr>
          <w:p w14:paraId="216C45ED">
            <w:pPr>
              <w:spacing w:line="360" w:lineRule="auto"/>
              <w:jc w:val="center"/>
              <w:rPr>
                <w:szCs w:val="21"/>
              </w:rPr>
            </w:pPr>
          </w:p>
        </w:tc>
        <w:tc>
          <w:tcPr>
            <w:tcW w:w="738" w:type="dxa"/>
          </w:tcPr>
          <w:p w14:paraId="745384A8">
            <w:pPr>
              <w:spacing w:line="360" w:lineRule="auto"/>
              <w:jc w:val="center"/>
              <w:rPr>
                <w:szCs w:val="21"/>
              </w:rPr>
            </w:pPr>
          </w:p>
        </w:tc>
        <w:tc>
          <w:tcPr>
            <w:tcW w:w="1212" w:type="dxa"/>
          </w:tcPr>
          <w:p w14:paraId="5B4834E1">
            <w:pPr>
              <w:spacing w:line="360" w:lineRule="auto"/>
              <w:jc w:val="center"/>
              <w:rPr>
                <w:szCs w:val="21"/>
              </w:rPr>
            </w:pPr>
          </w:p>
        </w:tc>
        <w:tc>
          <w:tcPr>
            <w:tcW w:w="1653" w:type="dxa"/>
          </w:tcPr>
          <w:p w14:paraId="1CFAE7C3">
            <w:pPr>
              <w:spacing w:line="360" w:lineRule="auto"/>
              <w:jc w:val="center"/>
              <w:rPr>
                <w:szCs w:val="21"/>
              </w:rPr>
            </w:pPr>
          </w:p>
        </w:tc>
        <w:tc>
          <w:tcPr>
            <w:tcW w:w="688" w:type="dxa"/>
          </w:tcPr>
          <w:p w14:paraId="1A076235">
            <w:pPr>
              <w:spacing w:line="360" w:lineRule="auto"/>
              <w:jc w:val="center"/>
              <w:rPr>
                <w:szCs w:val="21"/>
              </w:rPr>
            </w:pPr>
          </w:p>
        </w:tc>
      </w:tr>
      <w:tr w14:paraId="1C612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689EFC5B">
            <w:pPr>
              <w:spacing w:line="360" w:lineRule="auto"/>
              <w:jc w:val="center"/>
              <w:rPr>
                <w:szCs w:val="21"/>
              </w:rPr>
            </w:pPr>
          </w:p>
        </w:tc>
        <w:tc>
          <w:tcPr>
            <w:tcW w:w="1087" w:type="dxa"/>
          </w:tcPr>
          <w:p w14:paraId="04F7E5AA">
            <w:pPr>
              <w:spacing w:line="360" w:lineRule="auto"/>
              <w:jc w:val="center"/>
              <w:rPr>
                <w:szCs w:val="21"/>
              </w:rPr>
            </w:pPr>
          </w:p>
        </w:tc>
        <w:tc>
          <w:tcPr>
            <w:tcW w:w="760" w:type="dxa"/>
          </w:tcPr>
          <w:p w14:paraId="4C8271E3">
            <w:pPr>
              <w:spacing w:line="360" w:lineRule="auto"/>
              <w:jc w:val="center"/>
              <w:rPr>
                <w:szCs w:val="21"/>
              </w:rPr>
            </w:pPr>
          </w:p>
        </w:tc>
        <w:tc>
          <w:tcPr>
            <w:tcW w:w="991" w:type="dxa"/>
          </w:tcPr>
          <w:p w14:paraId="1F4C8C5F">
            <w:pPr>
              <w:spacing w:line="360" w:lineRule="auto"/>
              <w:jc w:val="center"/>
              <w:rPr>
                <w:szCs w:val="21"/>
              </w:rPr>
            </w:pPr>
          </w:p>
        </w:tc>
        <w:tc>
          <w:tcPr>
            <w:tcW w:w="672" w:type="dxa"/>
          </w:tcPr>
          <w:p w14:paraId="7227FC68">
            <w:pPr>
              <w:spacing w:line="360" w:lineRule="auto"/>
              <w:jc w:val="center"/>
              <w:rPr>
                <w:szCs w:val="21"/>
              </w:rPr>
            </w:pPr>
          </w:p>
        </w:tc>
        <w:tc>
          <w:tcPr>
            <w:tcW w:w="738" w:type="dxa"/>
          </w:tcPr>
          <w:p w14:paraId="51D3395C">
            <w:pPr>
              <w:spacing w:line="360" w:lineRule="auto"/>
              <w:jc w:val="center"/>
              <w:rPr>
                <w:szCs w:val="21"/>
              </w:rPr>
            </w:pPr>
          </w:p>
        </w:tc>
        <w:tc>
          <w:tcPr>
            <w:tcW w:w="1212" w:type="dxa"/>
          </w:tcPr>
          <w:p w14:paraId="61BD0B42">
            <w:pPr>
              <w:spacing w:line="360" w:lineRule="auto"/>
              <w:jc w:val="center"/>
              <w:rPr>
                <w:szCs w:val="21"/>
              </w:rPr>
            </w:pPr>
          </w:p>
        </w:tc>
        <w:tc>
          <w:tcPr>
            <w:tcW w:w="1653" w:type="dxa"/>
          </w:tcPr>
          <w:p w14:paraId="5F723F2D">
            <w:pPr>
              <w:spacing w:line="360" w:lineRule="auto"/>
              <w:jc w:val="center"/>
              <w:rPr>
                <w:szCs w:val="21"/>
              </w:rPr>
            </w:pPr>
          </w:p>
        </w:tc>
        <w:tc>
          <w:tcPr>
            <w:tcW w:w="688" w:type="dxa"/>
          </w:tcPr>
          <w:p w14:paraId="71B19CD2">
            <w:pPr>
              <w:spacing w:line="360" w:lineRule="auto"/>
              <w:jc w:val="center"/>
              <w:rPr>
                <w:szCs w:val="21"/>
              </w:rPr>
            </w:pPr>
          </w:p>
        </w:tc>
      </w:tr>
      <w:tr w14:paraId="1309A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387F5B03">
            <w:pPr>
              <w:spacing w:line="360" w:lineRule="auto"/>
              <w:jc w:val="center"/>
              <w:rPr>
                <w:szCs w:val="21"/>
              </w:rPr>
            </w:pPr>
          </w:p>
        </w:tc>
        <w:tc>
          <w:tcPr>
            <w:tcW w:w="1087" w:type="dxa"/>
          </w:tcPr>
          <w:p w14:paraId="613A81AF">
            <w:pPr>
              <w:spacing w:line="360" w:lineRule="auto"/>
              <w:jc w:val="center"/>
              <w:rPr>
                <w:szCs w:val="21"/>
              </w:rPr>
            </w:pPr>
          </w:p>
        </w:tc>
        <w:tc>
          <w:tcPr>
            <w:tcW w:w="760" w:type="dxa"/>
          </w:tcPr>
          <w:p w14:paraId="0C9B42D5">
            <w:pPr>
              <w:spacing w:line="360" w:lineRule="auto"/>
              <w:jc w:val="center"/>
              <w:rPr>
                <w:szCs w:val="21"/>
              </w:rPr>
            </w:pPr>
          </w:p>
        </w:tc>
        <w:tc>
          <w:tcPr>
            <w:tcW w:w="991" w:type="dxa"/>
          </w:tcPr>
          <w:p w14:paraId="07D27D5E">
            <w:pPr>
              <w:spacing w:line="360" w:lineRule="auto"/>
              <w:jc w:val="center"/>
              <w:rPr>
                <w:szCs w:val="21"/>
              </w:rPr>
            </w:pPr>
          </w:p>
        </w:tc>
        <w:tc>
          <w:tcPr>
            <w:tcW w:w="672" w:type="dxa"/>
          </w:tcPr>
          <w:p w14:paraId="6231F293">
            <w:pPr>
              <w:spacing w:line="360" w:lineRule="auto"/>
              <w:jc w:val="center"/>
              <w:rPr>
                <w:szCs w:val="21"/>
              </w:rPr>
            </w:pPr>
          </w:p>
        </w:tc>
        <w:tc>
          <w:tcPr>
            <w:tcW w:w="738" w:type="dxa"/>
          </w:tcPr>
          <w:p w14:paraId="17307579">
            <w:pPr>
              <w:spacing w:line="360" w:lineRule="auto"/>
              <w:jc w:val="center"/>
              <w:rPr>
                <w:szCs w:val="21"/>
              </w:rPr>
            </w:pPr>
          </w:p>
        </w:tc>
        <w:tc>
          <w:tcPr>
            <w:tcW w:w="1212" w:type="dxa"/>
          </w:tcPr>
          <w:p w14:paraId="0CDD9D4D">
            <w:pPr>
              <w:spacing w:line="360" w:lineRule="auto"/>
              <w:jc w:val="center"/>
              <w:rPr>
                <w:szCs w:val="21"/>
              </w:rPr>
            </w:pPr>
          </w:p>
        </w:tc>
        <w:tc>
          <w:tcPr>
            <w:tcW w:w="1653" w:type="dxa"/>
          </w:tcPr>
          <w:p w14:paraId="70AF525C">
            <w:pPr>
              <w:spacing w:line="360" w:lineRule="auto"/>
              <w:jc w:val="center"/>
              <w:rPr>
                <w:szCs w:val="21"/>
              </w:rPr>
            </w:pPr>
          </w:p>
        </w:tc>
        <w:tc>
          <w:tcPr>
            <w:tcW w:w="688" w:type="dxa"/>
          </w:tcPr>
          <w:p w14:paraId="067A364F">
            <w:pPr>
              <w:spacing w:line="360" w:lineRule="auto"/>
              <w:jc w:val="center"/>
              <w:rPr>
                <w:szCs w:val="21"/>
              </w:rPr>
            </w:pPr>
          </w:p>
        </w:tc>
      </w:tr>
      <w:tr w14:paraId="115F0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3EE1EDC5">
            <w:pPr>
              <w:spacing w:line="360" w:lineRule="auto"/>
              <w:jc w:val="center"/>
              <w:rPr>
                <w:szCs w:val="21"/>
              </w:rPr>
            </w:pPr>
          </w:p>
        </w:tc>
        <w:tc>
          <w:tcPr>
            <w:tcW w:w="1087" w:type="dxa"/>
          </w:tcPr>
          <w:p w14:paraId="6731FAF2">
            <w:pPr>
              <w:spacing w:line="360" w:lineRule="auto"/>
              <w:jc w:val="center"/>
              <w:rPr>
                <w:szCs w:val="21"/>
              </w:rPr>
            </w:pPr>
          </w:p>
        </w:tc>
        <w:tc>
          <w:tcPr>
            <w:tcW w:w="760" w:type="dxa"/>
          </w:tcPr>
          <w:p w14:paraId="7792209D">
            <w:pPr>
              <w:spacing w:line="360" w:lineRule="auto"/>
              <w:jc w:val="center"/>
              <w:rPr>
                <w:szCs w:val="21"/>
              </w:rPr>
            </w:pPr>
          </w:p>
        </w:tc>
        <w:tc>
          <w:tcPr>
            <w:tcW w:w="991" w:type="dxa"/>
          </w:tcPr>
          <w:p w14:paraId="757E15B5">
            <w:pPr>
              <w:spacing w:line="360" w:lineRule="auto"/>
              <w:jc w:val="center"/>
              <w:rPr>
                <w:szCs w:val="21"/>
              </w:rPr>
            </w:pPr>
          </w:p>
        </w:tc>
        <w:tc>
          <w:tcPr>
            <w:tcW w:w="672" w:type="dxa"/>
          </w:tcPr>
          <w:p w14:paraId="2EBDC557">
            <w:pPr>
              <w:spacing w:line="360" w:lineRule="auto"/>
              <w:jc w:val="center"/>
              <w:rPr>
                <w:szCs w:val="21"/>
              </w:rPr>
            </w:pPr>
          </w:p>
        </w:tc>
        <w:tc>
          <w:tcPr>
            <w:tcW w:w="738" w:type="dxa"/>
          </w:tcPr>
          <w:p w14:paraId="590EE101">
            <w:pPr>
              <w:spacing w:line="360" w:lineRule="auto"/>
              <w:jc w:val="center"/>
              <w:rPr>
                <w:szCs w:val="21"/>
              </w:rPr>
            </w:pPr>
          </w:p>
        </w:tc>
        <w:tc>
          <w:tcPr>
            <w:tcW w:w="1212" w:type="dxa"/>
          </w:tcPr>
          <w:p w14:paraId="7707564F">
            <w:pPr>
              <w:spacing w:line="360" w:lineRule="auto"/>
              <w:jc w:val="center"/>
              <w:rPr>
                <w:szCs w:val="21"/>
              </w:rPr>
            </w:pPr>
          </w:p>
        </w:tc>
        <w:tc>
          <w:tcPr>
            <w:tcW w:w="1653" w:type="dxa"/>
          </w:tcPr>
          <w:p w14:paraId="13CB01F9">
            <w:pPr>
              <w:spacing w:line="360" w:lineRule="auto"/>
              <w:jc w:val="center"/>
              <w:rPr>
                <w:szCs w:val="21"/>
              </w:rPr>
            </w:pPr>
          </w:p>
        </w:tc>
        <w:tc>
          <w:tcPr>
            <w:tcW w:w="688" w:type="dxa"/>
          </w:tcPr>
          <w:p w14:paraId="78B6D5BA">
            <w:pPr>
              <w:spacing w:line="360" w:lineRule="auto"/>
              <w:jc w:val="center"/>
              <w:rPr>
                <w:szCs w:val="21"/>
              </w:rPr>
            </w:pPr>
          </w:p>
        </w:tc>
      </w:tr>
      <w:tr w14:paraId="02928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464BDC73">
            <w:pPr>
              <w:spacing w:line="360" w:lineRule="auto"/>
              <w:jc w:val="center"/>
              <w:rPr>
                <w:szCs w:val="21"/>
              </w:rPr>
            </w:pPr>
          </w:p>
        </w:tc>
        <w:tc>
          <w:tcPr>
            <w:tcW w:w="1087" w:type="dxa"/>
          </w:tcPr>
          <w:p w14:paraId="4D21B930">
            <w:pPr>
              <w:spacing w:line="360" w:lineRule="auto"/>
              <w:jc w:val="center"/>
              <w:rPr>
                <w:szCs w:val="21"/>
              </w:rPr>
            </w:pPr>
          </w:p>
        </w:tc>
        <w:tc>
          <w:tcPr>
            <w:tcW w:w="760" w:type="dxa"/>
          </w:tcPr>
          <w:p w14:paraId="77707829">
            <w:pPr>
              <w:spacing w:line="360" w:lineRule="auto"/>
              <w:jc w:val="center"/>
              <w:rPr>
                <w:szCs w:val="21"/>
              </w:rPr>
            </w:pPr>
          </w:p>
        </w:tc>
        <w:tc>
          <w:tcPr>
            <w:tcW w:w="991" w:type="dxa"/>
          </w:tcPr>
          <w:p w14:paraId="0EB98C28">
            <w:pPr>
              <w:spacing w:line="360" w:lineRule="auto"/>
              <w:jc w:val="center"/>
              <w:rPr>
                <w:szCs w:val="21"/>
              </w:rPr>
            </w:pPr>
          </w:p>
        </w:tc>
        <w:tc>
          <w:tcPr>
            <w:tcW w:w="672" w:type="dxa"/>
          </w:tcPr>
          <w:p w14:paraId="2647BF71">
            <w:pPr>
              <w:spacing w:line="360" w:lineRule="auto"/>
              <w:jc w:val="center"/>
              <w:rPr>
                <w:szCs w:val="21"/>
              </w:rPr>
            </w:pPr>
          </w:p>
        </w:tc>
        <w:tc>
          <w:tcPr>
            <w:tcW w:w="738" w:type="dxa"/>
          </w:tcPr>
          <w:p w14:paraId="3F3D7136">
            <w:pPr>
              <w:spacing w:line="360" w:lineRule="auto"/>
              <w:jc w:val="center"/>
              <w:rPr>
                <w:szCs w:val="21"/>
              </w:rPr>
            </w:pPr>
          </w:p>
        </w:tc>
        <w:tc>
          <w:tcPr>
            <w:tcW w:w="1212" w:type="dxa"/>
          </w:tcPr>
          <w:p w14:paraId="36B47FA2">
            <w:pPr>
              <w:spacing w:line="360" w:lineRule="auto"/>
              <w:jc w:val="center"/>
              <w:rPr>
                <w:szCs w:val="21"/>
              </w:rPr>
            </w:pPr>
          </w:p>
        </w:tc>
        <w:tc>
          <w:tcPr>
            <w:tcW w:w="1653" w:type="dxa"/>
          </w:tcPr>
          <w:p w14:paraId="5B8B25BA">
            <w:pPr>
              <w:spacing w:line="360" w:lineRule="auto"/>
              <w:jc w:val="center"/>
              <w:rPr>
                <w:szCs w:val="21"/>
              </w:rPr>
            </w:pPr>
          </w:p>
        </w:tc>
        <w:tc>
          <w:tcPr>
            <w:tcW w:w="688" w:type="dxa"/>
          </w:tcPr>
          <w:p w14:paraId="5746EA3F">
            <w:pPr>
              <w:spacing w:line="360" w:lineRule="auto"/>
              <w:jc w:val="center"/>
              <w:rPr>
                <w:szCs w:val="21"/>
              </w:rPr>
            </w:pPr>
          </w:p>
        </w:tc>
      </w:tr>
      <w:tr w14:paraId="33CFB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340FD24C">
            <w:pPr>
              <w:spacing w:line="360" w:lineRule="auto"/>
              <w:jc w:val="center"/>
              <w:rPr>
                <w:szCs w:val="21"/>
              </w:rPr>
            </w:pPr>
          </w:p>
        </w:tc>
        <w:tc>
          <w:tcPr>
            <w:tcW w:w="1087" w:type="dxa"/>
          </w:tcPr>
          <w:p w14:paraId="48A93328">
            <w:pPr>
              <w:spacing w:line="360" w:lineRule="auto"/>
              <w:jc w:val="center"/>
              <w:rPr>
                <w:szCs w:val="21"/>
              </w:rPr>
            </w:pPr>
          </w:p>
        </w:tc>
        <w:tc>
          <w:tcPr>
            <w:tcW w:w="760" w:type="dxa"/>
          </w:tcPr>
          <w:p w14:paraId="581C166C">
            <w:pPr>
              <w:spacing w:line="360" w:lineRule="auto"/>
              <w:jc w:val="center"/>
              <w:rPr>
                <w:szCs w:val="21"/>
              </w:rPr>
            </w:pPr>
          </w:p>
        </w:tc>
        <w:tc>
          <w:tcPr>
            <w:tcW w:w="991" w:type="dxa"/>
          </w:tcPr>
          <w:p w14:paraId="4148DDB8">
            <w:pPr>
              <w:spacing w:line="360" w:lineRule="auto"/>
              <w:jc w:val="center"/>
              <w:rPr>
                <w:szCs w:val="21"/>
              </w:rPr>
            </w:pPr>
          </w:p>
        </w:tc>
        <w:tc>
          <w:tcPr>
            <w:tcW w:w="672" w:type="dxa"/>
          </w:tcPr>
          <w:p w14:paraId="39FA88D5">
            <w:pPr>
              <w:spacing w:line="360" w:lineRule="auto"/>
              <w:jc w:val="center"/>
              <w:rPr>
                <w:szCs w:val="21"/>
              </w:rPr>
            </w:pPr>
          </w:p>
        </w:tc>
        <w:tc>
          <w:tcPr>
            <w:tcW w:w="738" w:type="dxa"/>
          </w:tcPr>
          <w:p w14:paraId="253D9948">
            <w:pPr>
              <w:spacing w:line="360" w:lineRule="auto"/>
              <w:jc w:val="center"/>
              <w:rPr>
                <w:szCs w:val="21"/>
              </w:rPr>
            </w:pPr>
          </w:p>
        </w:tc>
        <w:tc>
          <w:tcPr>
            <w:tcW w:w="1212" w:type="dxa"/>
          </w:tcPr>
          <w:p w14:paraId="54EF26B6">
            <w:pPr>
              <w:spacing w:line="360" w:lineRule="auto"/>
              <w:jc w:val="center"/>
              <w:rPr>
                <w:szCs w:val="21"/>
              </w:rPr>
            </w:pPr>
          </w:p>
        </w:tc>
        <w:tc>
          <w:tcPr>
            <w:tcW w:w="1653" w:type="dxa"/>
          </w:tcPr>
          <w:p w14:paraId="211D7811">
            <w:pPr>
              <w:spacing w:line="360" w:lineRule="auto"/>
              <w:jc w:val="center"/>
              <w:rPr>
                <w:szCs w:val="21"/>
              </w:rPr>
            </w:pPr>
          </w:p>
        </w:tc>
        <w:tc>
          <w:tcPr>
            <w:tcW w:w="688" w:type="dxa"/>
          </w:tcPr>
          <w:p w14:paraId="298B5227">
            <w:pPr>
              <w:spacing w:line="360" w:lineRule="auto"/>
              <w:jc w:val="center"/>
              <w:rPr>
                <w:szCs w:val="21"/>
              </w:rPr>
            </w:pPr>
          </w:p>
        </w:tc>
      </w:tr>
      <w:tr w14:paraId="0A86B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58FE07BA">
            <w:pPr>
              <w:spacing w:line="360" w:lineRule="auto"/>
              <w:jc w:val="center"/>
              <w:rPr>
                <w:szCs w:val="21"/>
              </w:rPr>
            </w:pPr>
          </w:p>
        </w:tc>
        <w:tc>
          <w:tcPr>
            <w:tcW w:w="1087" w:type="dxa"/>
          </w:tcPr>
          <w:p w14:paraId="00443BB6">
            <w:pPr>
              <w:spacing w:line="360" w:lineRule="auto"/>
              <w:jc w:val="center"/>
              <w:rPr>
                <w:szCs w:val="21"/>
              </w:rPr>
            </w:pPr>
          </w:p>
        </w:tc>
        <w:tc>
          <w:tcPr>
            <w:tcW w:w="760" w:type="dxa"/>
          </w:tcPr>
          <w:p w14:paraId="59DF5154">
            <w:pPr>
              <w:spacing w:line="360" w:lineRule="auto"/>
              <w:jc w:val="center"/>
              <w:rPr>
                <w:szCs w:val="21"/>
              </w:rPr>
            </w:pPr>
          </w:p>
        </w:tc>
        <w:tc>
          <w:tcPr>
            <w:tcW w:w="991" w:type="dxa"/>
          </w:tcPr>
          <w:p w14:paraId="35CEA594">
            <w:pPr>
              <w:spacing w:line="360" w:lineRule="auto"/>
              <w:jc w:val="center"/>
              <w:rPr>
                <w:szCs w:val="21"/>
              </w:rPr>
            </w:pPr>
          </w:p>
        </w:tc>
        <w:tc>
          <w:tcPr>
            <w:tcW w:w="672" w:type="dxa"/>
          </w:tcPr>
          <w:p w14:paraId="7617A465">
            <w:pPr>
              <w:spacing w:line="360" w:lineRule="auto"/>
              <w:jc w:val="center"/>
              <w:rPr>
                <w:szCs w:val="21"/>
              </w:rPr>
            </w:pPr>
          </w:p>
        </w:tc>
        <w:tc>
          <w:tcPr>
            <w:tcW w:w="738" w:type="dxa"/>
          </w:tcPr>
          <w:p w14:paraId="7A299F3B">
            <w:pPr>
              <w:spacing w:line="360" w:lineRule="auto"/>
              <w:jc w:val="center"/>
              <w:rPr>
                <w:szCs w:val="21"/>
              </w:rPr>
            </w:pPr>
          </w:p>
        </w:tc>
        <w:tc>
          <w:tcPr>
            <w:tcW w:w="1212" w:type="dxa"/>
          </w:tcPr>
          <w:p w14:paraId="189D9431">
            <w:pPr>
              <w:spacing w:line="360" w:lineRule="auto"/>
              <w:jc w:val="center"/>
              <w:rPr>
                <w:szCs w:val="21"/>
              </w:rPr>
            </w:pPr>
          </w:p>
        </w:tc>
        <w:tc>
          <w:tcPr>
            <w:tcW w:w="1653" w:type="dxa"/>
          </w:tcPr>
          <w:p w14:paraId="39FEA6AA">
            <w:pPr>
              <w:spacing w:line="360" w:lineRule="auto"/>
              <w:jc w:val="center"/>
              <w:rPr>
                <w:szCs w:val="21"/>
              </w:rPr>
            </w:pPr>
          </w:p>
        </w:tc>
        <w:tc>
          <w:tcPr>
            <w:tcW w:w="688" w:type="dxa"/>
          </w:tcPr>
          <w:p w14:paraId="3C01300E">
            <w:pPr>
              <w:spacing w:line="360" w:lineRule="auto"/>
              <w:jc w:val="center"/>
              <w:rPr>
                <w:szCs w:val="21"/>
              </w:rPr>
            </w:pPr>
          </w:p>
        </w:tc>
      </w:tr>
      <w:tr w14:paraId="4E23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29F53B63">
            <w:pPr>
              <w:spacing w:line="360" w:lineRule="auto"/>
              <w:jc w:val="center"/>
              <w:rPr>
                <w:szCs w:val="21"/>
              </w:rPr>
            </w:pPr>
          </w:p>
        </w:tc>
        <w:tc>
          <w:tcPr>
            <w:tcW w:w="1087" w:type="dxa"/>
          </w:tcPr>
          <w:p w14:paraId="72EC778E">
            <w:pPr>
              <w:spacing w:line="360" w:lineRule="auto"/>
              <w:jc w:val="center"/>
              <w:rPr>
                <w:szCs w:val="21"/>
              </w:rPr>
            </w:pPr>
          </w:p>
        </w:tc>
        <w:tc>
          <w:tcPr>
            <w:tcW w:w="760" w:type="dxa"/>
          </w:tcPr>
          <w:p w14:paraId="59C9BCBD">
            <w:pPr>
              <w:spacing w:line="360" w:lineRule="auto"/>
              <w:jc w:val="center"/>
              <w:rPr>
                <w:szCs w:val="21"/>
              </w:rPr>
            </w:pPr>
          </w:p>
        </w:tc>
        <w:tc>
          <w:tcPr>
            <w:tcW w:w="991" w:type="dxa"/>
          </w:tcPr>
          <w:p w14:paraId="7A4459B0">
            <w:pPr>
              <w:spacing w:line="360" w:lineRule="auto"/>
              <w:jc w:val="center"/>
              <w:rPr>
                <w:szCs w:val="21"/>
              </w:rPr>
            </w:pPr>
          </w:p>
        </w:tc>
        <w:tc>
          <w:tcPr>
            <w:tcW w:w="672" w:type="dxa"/>
          </w:tcPr>
          <w:p w14:paraId="7BB90352">
            <w:pPr>
              <w:spacing w:line="360" w:lineRule="auto"/>
              <w:jc w:val="center"/>
              <w:rPr>
                <w:szCs w:val="21"/>
              </w:rPr>
            </w:pPr>
          </w:p>
        </w:tc>
        <w:tc>
          <w:tcPr>
            <w:tcW w:w="738" w:type="dxa"/>
          </w:tcPr>
          <w:p w14:paraId="380DF667">
            <w:pPr>
              <w:spacing w:line="360" w:lineRule="auto"/>
              <w:jc w:val="center"/>
              <w:rPr>
                <w:szCs w:val="21"/>
              </w:rPr>
            </w:pPr>
          </w:p>
        </w:tc>
        <w:tc>
          <w:tcPr>
            <w:tcW w:w="1212" w:type="dxa"/>
          </w:tcPr>
          <w:p w14:paraId="3F21A19B">
            <w:pPr>
              <w:spacing w:line="360" w:lineRule="auto"/>
              <w:jc w:val="center"/>
              <w:rPr>
                <w:szCs w:val="21"/>
              </w:rPr>
            </w:pPr>
          </w:p>
        </w:tc>
        <w:tc>
          <w:tcPr>
            <w:tcW w:w="1653" w:type="dxa"/>
          </w:tcPr>
          <w:p w14:paraId="542CEC99">
            <w:pPr>
              <w:spacing w:line="360" w:lineRule="auto"/>
              <w:jc w:val="center"/>
              <w:rPr>
                <w:szCs w:val="21"/>
              </w:rPr>
            </w:pPr>
          </w:p>
        </w:tc>
        <w:tc>
          <w:tcPr>
            <w:tcW w:w="688" w:type="dxa"/>
          </w:tcPr>
          <w:p w14:paraId="6D5BD60E">
            <w:pPr>
              <w:spacing w:line="360" w:lineRule="auto"/>
              <w:jc w:val="center"/>
              <w:rPr>
                <w:szCs w:val="21"/>
              </w:rPr>
            </w:pPr>
          </w:p>
        </w:tc>
      </w:tr>
      <w:tr w14:paraId="375A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14:paraId="2D8C5D13">
            <w:pPr>
              <w:spacing w:line="360" w:lineRule="auto"/>
              <w:jc w:val="center"/>
              <w:rPr>
                <w:szCs w:val="21"/>
              </w:rPr>
            </w:pPr>
          </w:p>
        </w:tc>
        <w:tc>
          <w:tcPr>
            <w:tcW w:w="1087" w:type="dxa"/>
          </w:tcPr>
          <w:p w14:paraId="6120276C">
            <w:pPr>
              <w:spacing w:line="360" w:lineRule="auto"/>
              <w:jc w:val="center"/>
              <w:rPr>
                <w:szCs w:val="21"/>
              </w:rPr>
            </w:pPr>
          </w:p>
        </w:tc>
        <w:tc>
          <w:tcPr>
            <w:tcW w:w="760" w:type="dxa"/>
          </w:tcPr>
          <w:p w14:paraId="4A151A7B">
            <w:pPr>
              <w:spacing w:line="360" w:lineRule="auto"/>
              <w:jc w:val="center"/>
              <w:rPr>
                <w:szCs w:val="21"/>
              </w:rPr>
            </w:pPr>
          </w:p>
        </w:tc>
        <w:tc>
          <w:tcPr>
            <w:tcW w:w="991" w:type="dxa"/>
          </w:tcPr>
          <w:p w14:paraId="6BDFF5B3">
            <w:pPr>
              <w:spacing w:line="360" w:lineRule="auto"/>
              <w:jc w:val="center"/>
              <w:rPr>
                <w:szCs w:val="21"/>
              </w:rPr>
            </w:pPr>
          </w:p>
        </w:tc>
        <w:tc>
          <w:tcPr>
            <w:tcW w:w="672" w:type="dxa"/>
          </w:tcPr>
          <w:p w14:paraId="7CB0332D">
            <w:pPr>
              <w:spacing w:line="360" w:lineRule="auto"/>
              <w:jc w:val="center"/>
              <w:rPr>
                <w:szCs w:val="21"/>
              </w:rPr>
            </w:pPr>
          </w:p>
        </w:tc>
        <w:tc>
          <w:tcPr>
            <w:tcW w:w="738" w:type="dxa"/>
          </w:tcPr>
          <w:p w14:paraId="5027288B">
            <w:pPr>
              <w:spacing w:line="360" w:lineRule="auto"/>
              <w:jc w:val="center"/>
              <w:rPr>
                <w:szCs w:val="21"/>
              </w:rPr>
            </w:pPr>
          </w:p>
        </w:tc>
        <w:tc>
          <w:tcPr>
            <w:tcW w:w="1212" w:type="dxa"/>
          </w:tcPr>
          <w:p w14:paraId="2A9235A4">
            <w:pPr>
              <w:spacing w:line="360" w:lineRule="auto"/>
              <w:jc w:val="center"/>
              <w:rPr>
                <w:szCs w:val="21"/>
              </w:rPr>
            </w:pPr>
          </w:p>
        </w:tc>
        <w:tc>
          <w:tcPr>
            <w:tcW w:w="1653" w:type="dxa"/>
          </w:tcPr>
          <w:p w14:paraId="26F178B6">
            <w:pPr>
              <w:spacing w:line="360" w:lineRule="auto"/>
              <w:jc w:val="center"/>
              <w:rPr>
                <w:szCs w:val="21"/>
              </w:rPr>
            </w:pPr>
          </w:p>
        </w:tc>
        <w:tc>
          <w:tcPr>
            <w:tcW w:w="688" w:type="dxa"/>
          </w:tcPr>
          <w:p w14:paraId="7E721A0B">
            <w:pPr>
              <w:spacing w:line="360" w:lineRule="auto"/>
              <w:jc w:val="center"/>
              <w:rPr>
                <w:szCs w:val="21"/>
              </w:rPr>
            </w:pPr>
          </w:p>
        </w:tc>
      </w:tr>
    </w:tbl>
    <w:p w14:paraId="4EB102D7">
      <w:pPr>
        <w:pStyle w:val="2"/>
        <w:spacing w:line="360" w:lineRule="auto"/>
        <w:jc w:val="center"/>
        <w:rPr>
          <w:sz w:val="23"/>
          <w:szCs w:val="23"/>
        </w:rPr>
      </w:pPr>
      <w:bookmarkStart w:id="562" w:name="_Toc152042593"/>
      <w:bookmarkStart w:id="563" w:name="_Toc179632824"/>
      <w:bookmarkStart w:id="564" w:name="_Toc144974872"/>
      <w:bookmarkStart w:id="565" w:name="_Toc152045804"/>
      <w:bookmarkStart w:id="566" w:name="_Toc300835231"/>
      <w:r>
        <w:t>（</w:t>
      </w:r>
      <w:r>
        <w:rPr>
          <w:rFonts w:hint="eastAsia"/>
        </w:rPr>
        <w:t>八</w:t>
      </w:r>
      <w:r>
        <w:t>）项目管理机构组成表</w:t>
      </w:r>
      <w:bookmarkEnd w:id="562"/>
      <w:bookmarkEnd w:id="563"/>
      <w:bookmarkEnd w:id="564"/>
      <w:bookmarkEnd w:id="565"/>
      <w:bookmarkEnd w:id="566"/>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1105"/>
        <w:gridCol w:w="1473"/>
        <w:gridCol w:w="886"/>
        <w:gridCol w:w="1814"/>
        <w:gridCol w:w="1204"/>
        <w:gridCol w:w="672"/>
      </w:tblGrid>
      <w:tr w14:paraId="6B751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restart"/>
            <w:vAlign w:val="center"/>
          </w:tcPr>
          <w:p w14:paraId="4B81865F">
            <w:pPr>
              <w:spacing w:line="360" w:lineRule="auto"/>
              <w:jc w:val="center"/>
              <w:rPr>
                <w:szCs w:val="21"/>
              </w:rPr>
            </w:pPr>
            <w:r>
              <w:rPr>
                <w:szCs w:val="21"/>
              </w:rPr>
              <w:t>职务</w:t>
            </w:r>
          </w:p>
        </w:tc>
        <w:tc>
          <w:tcPr>
            <w:tcW w:w="721" w:type="dxa"/>
            <w:vMerge w:val="restart"/>
            <w:vAlign w:val="center"/>
          </w:tcPr>
          <w:p w14:paraId="7239AAAA">
            <w:pPr>
              <w:spacing w:line="360" w:lineRule="auto"/>
              <w:jc w:val="center"/>
              <w:rPr>
                <w:szCs w:val="21"/>
              </w:rPr>
            </w:pPr>
            <w:r>
              <w:rPr>
                <w:szCs w:val="21"/>
              </w:rPr>
              <w:t>姓名</w:t>
            </w:r>
          </w:p>
        </w:tc>
        <w:tc>
          <w:tcPr>
            <w:tcW w:w="1105" w:type="dxa"/>
            <w:vMerge w:val="restart"/>
            <w:vAlign w:val="center"/>
          </w:tcPr>
          <w:p w14:paraId="726807F2">
            <w:pPr>
              <w:spacing w:line="360" w:lineRule="auto"/>
              <w:jc w:val="center"/>
              <w:rPr>
                <w:szCs w:val="21"/>
              </w:rPr>
            </w:pPr>
            <w:r>
              <w:rPr>
                <w:rFonts w:hint="eastAsia"/>
                <w:szCs w:val="21"/>
              </w:rPr>
              <w:t>专业技术</w:t>
            </w:r>
            <w:r>
              <w:rPr>
                <w:szCs w:val="21"/>
              </w:rPr>
              <w:t>职称</w:t>
            </w:r>
          </w:p>
        </w:tc>
        <w:tc>
          <w:tcPr>
            <w:tcW w:w="5377" w:type="dxa"/>
            <w:gridSpan w:val="4"/>
            <w:vAlign w:val="center"/>
          </w:tcPr>
          <w:p w14:paraId="15EEE0D8">
            <w:pPr>
              <w:spacing w:line="360" w:lineRule="auto"/>
              <w:jc w:val="center"/>
              <w:rPr>
                <w:szCs w:val="21"/>
              </w:rPr>
            </w:pPr>
            <w:r>
              <w:rPr>
                <w:szCs w:val="21"/>
              </w:rPr>
              <w:t>执业或职业资格证明</w:t>
            </w:r>
          </w:p>
        </w:tc>
        <w:tc>
          <w:tcPr>
            <w:tcW w:w="672" w:type="dxa"/>
            <w:vAlign w:val="center"/>
          </w:tcPr>
          <w:p w14:paraId="5EF4EA27">
            <w:pPr>
              <w:spacing w:line="360" w:lineRule="auto"/>
              <w:jc w:val="center"/>
              <w:rPr>
                <w:szCs w:val="21"/>
              </w:rPr>
            </w:pPr>
            <w:r>
              <w:rPr>
                <w:szCs w:val="21"/>
              </w:rPr>
              <w:t>备注</w:t>
            </w:r>
          </w:p>
        </w:tc>
      </w:tr>
      <w:tr w14:paraId="39EF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continue"/>
            <w:vAlign w:val="center"/>
          </w:tcPr>
          <w:p w14:paraId="36A1F889">
            <w:pPr>
              <w:spacing w:line="360" w:lineRule="auto"/>
              <w:jc w:val="center"/>
              <w:rPr>
                <w:szCs w:val="21"/>
              </w:rPr>
            </w:pPr>
          </w:p>
        </w:tc>
        <w:tc>
          <w:tcPr>
            <w:tcW w:w="721" w:type="dxa"/>
            <w:vMerge w:val="continue"/>
            <w:vAlign w:val="center"/>
          </w:tcPr>
          <w:p w14:paraId="31AE7DD4">
            <w:pPr>
              <w:spacing w:line="360" w:lineRule="auto"/>
              <w:jc w:val="center"/>
              <w:rPr>
                <w:szCs w:val="21"/>
              </w:rPr>
            </w:pPr>
          </w:p>
        </w:tc>
        <w:tc>
          <w:tcPr>
            <w:tcW w:w="1105" w:type="dxa"/>
            <w:vMerge w:val="continue"/>
            <w:vAlign w:val="center"/>
          </w:tcPr>
          <w:p w14:paraId="642C3B73">
            <w:pPr>
              <w:spacing w:line="360" w:lineRule="auto"/>
              <w:jc w:val="center"/>
              <w:rPr>
                <w:szCs w:val="21"/>
              </w:rPr>
            </w:pPr>
          </w:p>
        </w:tc>
        <w:tc>
          <w:tcPr>
            <w:tcW w:w="1473" w:type="dxa"/>
            <w:vAlign w:val="center"/>
          </w:tcPr>
          <w:p w14:paraId="28A3D9BD">
            <w:pPr>
              <w:spacing w:line="360" w:lineRule="auto"/>
              <w:jc w:val="center"/>
              <w:rPr>
                <w:szCs w:val="21"/>
              </w:rPr>
            </w:pPr>
            <w:r>
              <w:rPr>
                <w:szCs w:val="21"/>
              </w:rPr>
              <w:t>证书名称</w:t>
            </w:r>
          </w:p>
        </w:tc>
        <w:tc>
          <w:tcPr>
            <w:tcW w:w="886" w:type="dxa"/>
            <w:vAlign w:val="center"/>
          </w:tcPr>
          <w:p w14:paraId="39968A57">
            <w:pPr>
              <w:spacing w:line="360" w:lineRule="auto"/>
              <w:jc w:val="center"/>
              <w:rPr>
                <w:szCs w:val="21"/>
              </w:rPr>
            </w:pPr>
            <w:r>
              <w:rPr>
                <w:szCs w:val="21"/>
              </w:rPr>
              <w:t>级别</w:t>
            </w:r>
          </w:p>
        </w:tc>
        <w:tc>
          <w:tcPr>
            <w:tcW w:w="1814" w:type="dxa"/>
            <w:vAlign w:val="center"/>
          </w:tcPr>
          <w:p w14:paraId="4A5F5F7F">
            <w:pPr>
              <w:spacing w:line="360" w:lineRule="auto"/>
              <w:jc w:val="center"/>
              <w:rPr>
                <w:szCs w:val="21"/>
              </w:rPr>
            </w:pPr>
            <w:r>
              <w:rPr>
                <w:szCs w:val="21"/>
              </w:rPr>
              <w:t>证号</w:t>
            </w:r>
          </w:p>
        </w:tc>
        <w:tc>
          <w:tcPr>
            <w:tcW w:w="1204" w:type="dxa"/>
            <w:vAlign w:val="center"/>
          </w:tcPr>
          <w:p w14:paraId="3D5F1F80">
            <w:pPr>
              <w:spacing w:line="360" w:lineRule="auto"/>
              <w:jc w:val="center"/>
              <w:rPr>
                <w:szCs w:val="21"/>
              </w:rPr>
            </w:pPr>
            <w:r>
              <w:rPr>
                <w:szCs w:val="21"/>
              </w:rPr>
              <w:t>专业</w:t>
            </w:r>
          </w:p>
        </w:tc>
        <w:tc>
          <w:tcPr>
            <w:tcW w:w="672" w:type="dxa"/>
            <w:vAlign w:val="center"/>
          </w:tcPr>
          <w:p w14:paraId="4AF9B3E3">
            <w:pPr>
              <w:spacing w:line="360" w:lineRule="auto"/>
              <w:jc w:val="center"/>
              <w:rPr>
                <w:szCs w:val="21"/>
              </w:rPr>
            </w:pPr>
          </w:p>
        </w:tc>
      </w:tr>
      <w:tr w14:paraId="6A7F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14:paraId="2880CDA3">
            <w:pPr>
              <w:spacing w:line="360" w:lineRule="auto"/>
              <w:jc w:val="center"/>
              <w:rPr>
                <w:szCs w:val="21"/>
              </w:rPr>
            </w:pPr>
          </w:p>
        </w:tc>
        <w:tc>
          <w:tcPr>
            <w:tcW w:w="721" w:type="dxa"/>
            <w:vAlign w:val="center"/>
          </w:tcPr>
          <w:p w14:paraId="5538A51C">
            <w:pPr>
              <w:spacing w:line="360" w:lineRule="auto"/>
              <w:jc w:val="center"/>
              <w:rPr>
                <w:szCs w:val="21"/>
              </w:rPr>
            </w:pPr>
          </w:p>
        </w:tc>
        <w:tc>
          <w:tcPr>
            <w:tcW w:w="1105" w:type="dxa"/>
            <w:vAlign w:val="center"/>
          </w:tcPr>
          <w:p w14:paraId="7857F362">
            <w:pPr>
              <w:spacing w:line="360" w:lineRule="auto"/>
              <w:jc w:val="center"/>
              <w:rPr>
                <w:szCs w:val="21"/>
              </w:rPr>
            </w:pPr>
          </w:p>
        </w:tc>
        <w:tc>
          <w:tcPr>
            <w:tcW w:w="1473" w:type="dxa"/>
            <w:vAlign w:val="center"/>
          </w:tcPr>
          <w:p w14:paraId="25197AB3">
            <w:pPr>
              <w:spacing w:line="360" w:lineRule="auto"/>
              <w:jc w:val="center"/>
              <w:rPr>
                <w:szCs w:val="21"/>
              </w:rPr>
            </w:pPr>
          </w:p>
        </w:tc>
        <w:tc>
          <w:tcPr>
            <w:tcW w:w="886" w:type="dxa"/>
            <w:vAlign w:val="center"/>
          </w:tcPr>
          <w:p w14:paraId="46638B74">
            <w:pPr>
              <w:spacing w:line="360" w:lineRule="auto"/>
              <w:jc w:val="center"/>
              <w:rPr>
                <w:szCs w:val="21"/>
              </w:rPr>
            </w:pPr>
          </w:p>
        </w:tc>
        <w:tc>
          <w:tcPr>
            <w:tcW w:w="1814" w:type="dxa"/>
            <w:vAlign w:val="center"/>
          </w:tcPr>
          <w:p w14:paraId="14986A77">
            <w:pPr>
              <w:spacing w:line="360" w:lineRule="auto"/>
              <w:jc w:val="center"/>
              <w:rPr>
                <w:szCs w:val="21"/>
              </w:rPr>
            </w:pPr>
          </w:p>
        </w:tc>
        <w:tc>
          <w:tcPr>
            <w:tcW w:w="1204" w:type="dxa"/>
            <w:vAlign w:val="center"/>
          </w:tcPr>
          <w:p w14:paraId="4C1C0020">
            <w:pPr>
              <w:spacing w:line="360" w:lineRule="auto"/>
              <w:jc w:val="center"/>
              <w:rPr>
                <w:szCs w:val="21"/>
              </w:rPr>
            </w:pPr>
          </w:p>
        </w:tc>
        <w:tc>
          <w:tcPr>
            <w:tcW w:w="672" w:type="dxa"/>
            <w:vAlign w:val="center"/>
          </w:tcPr>
          <w:p w14:paraId="48523374">
            <w:pPr>
              <w:spacing w:line="360" w:lineRule="auto"/>
              <w:jc w:val="center"/>
              <w:rPr>
                <w:szCs w:val="21"/>
              </w:rPr>
            </w:pPr>
          </w:p>
        </w:tc>
      </w:tr>
      <w:tr w14:paraId="4104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457760F0">
            <w:pPr>
              <w:spacing w:line="360" w:lineRule="auto"/>
              <w:jc w:val="center"/>
              <w:rPr>
                <w:szCs w:val="21"/>
              </w:rPr>
            </w:pPr>
          </w:p>
        </w:tc>
        <w:tc>
          <w:tcPr>
            <w:tcW w:w="721" w:type="dxa"/>
          </w:tcPr>
          <w:p w14:paraId="4564B15D">
            <w:pPr>
              <w:spacing w:line="360" w:lineRule="auto"/>
              <w:jc w:val="center"/>
              <w:rPr>
                <w:szCs w:val="21"/>
              </w:rPr>
            </w:pPr>
          </w:p>
        </w:tc>
        <w:tc>
          <w:tcPr>
            <w:tcW w:w="1105" w:type="dxa"/>
          </w:tcPr>
          <w:p w14:paraId="00208AAD">
            <w:pPr>
              <w:spacing w:line="360" w:lineRule="auto"/>
              <w:jc w:val="center"/>
              <w:rPr>
                <w:szCs w:val="21"/>
              </w:rPr>
            </w:pPr>
          </w:p>
        </w:tc>
        <w:tc>
          <w:tcPr>
            <w:tcW w:w="1473" w:type="dxa"/>
          </w:tcPr>
          <w:p w14:paraId="07B79FC9">
            <w:pPr>
              <w:spacing w:line="360" w:lineRule="auto"/>
              <w:jc w:val="center"/>
              <w:rPr>
                <w:szCs w:val="21"/>
              </w:rPr>
            </w:pPr>
          </w:p>
        </w:tc>
        <w:tc>
          <w:tcPr>
            <w:tcW w:w="886" w:type="dxa"/>
          </w:tcPr>
          <w:p w14:paraId="67C722F0">
            <w:pPr>
              <w:spacing w:line="360" w:lineRule="auto"/>
              <w:jc w:val="center"/>
              <w:rPr>
                <w:szCs w:val="21"/>
              </w:rPr>
            </w:pPr>
          </w:p>
        </w:tc>
        <w:tc>
          <w:tcPr>
            <w:tcW w:w="1814" w:type="dxa"/>
          </w:tcPr>
          <w:p w14:paraId="7C24FEFD">
            <w:pPr>
              <w:spacing w:line="360" w:lineRule="auto"/>
              <w:jc w:val="center"/>
              <w:rPr>
                <w:szCs w:val="21"/>
              </w:rPr>
            </w:pPr>
          </w:p>
        </w:tc>
        <w:tc>
          <w:tcPr>
            <w:tcW w:w="1204" w:type="dxa"/>
          </w:tcPr>
          <w:p w14:paraId="7A7A910A">
            <w:pPr>
              <w:spacing w:line="360" w:lineRule="auto"/>
              <w:jc w:val="center"/>
              <w:rPr>
                <w:szCs w:val="21"/>
              </w:rPr>
            </w:pPr>
          </w:p>
        </w:tc>
        <w:tc>
          <w:tcPr>
            <w:tcW w:w="672" w:type="dxa"/>
          </w:tcPr>
          <w:p w14:paraId="5F20E8EE">
            <w:pPr>
              <w:spacing w:line="360" w:lineRule="auto"/>
              <w:jc w:val="center"/>
              <w:rPr>
                <w:szCs w:val="21"/>
              </w:rPr>
            </w:pPr>
          </w:p>
        </w:tc>
      </w:tr>
      <w:tr w14:paraId="1FCC6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63002D57">
            <w:pPr>
              <w:spacing w:line="360" w:lineRule="auto"/>
              <w:jc w:val="center"/>
              <w:rPr>
                <w:szCs w:val="21"/>
              </w:rPr>
            </w:pPr>
          </w:p>
        </w:tc>
        <w:tc>
          <w:tcPr>
            <w:tcW w:w="721" w:type="dxa"/>
          </w:tcPr>
          <w:p w14:paraId="5CCB04DD">
            <w:pPr>
              <w:spacing w:line="360" w:lineRule="auto"/>
              <w:jc w:val="center"/>
              <w:rPr>
                <w:szCs w:val="21"/>
              </w:rPr>
            </w:pPr>
          </w:p>
        </w:tc>
        <w:tc>
          <w:tcPr>
            <w:tcW w:w="1105" w:type="dxa"/>
          </w:tcPr>
          <w:p w14:paraId="384926F3">
            <w:pPr>
              <w:spacing w:line="360" w:lineRule="auto"/>
              <w:jc w:val="center"/>
              <w:rPr>
                <w:szCs w:val="21"/>
              </w:rPr>
            </w:pPr>
          </w:p>
        </w:tc>
        <w:tc>
          <w:tcPr>
            <w:tcW w:w="1473" w:type="dxa"/>
          </w:tcPr>
          <w:p w14:paraId="1CC3B8ED">
            <w:pPr>
              <w:spacing w:line="360" w:lineRule="auto"/>
              <w:jc w:val="center"/>
              <w:rPr>
                <w:szCs w:val="21"/>
              </w:rPr>
            </w:pPr>
          </w:p>
        </w:tc>
        <w:tc>
          <w:tcPr>
            <w:tcW w:w="886" w:type="dxa"/>
          </w:tcPr>
          <w:p w14:paraId="12BBD893">
            <w:pPr>
              <w:spacing w:line="360" w:lineRule="auto"/>
              <w:jc w:val="center"/>
              <w:rPr>
                <w:szCs w:val="21"/>
              </w:rPr>
            </w:pPr>
          </w:p>
        </w:tc>
        <w:tc>
          <w:tcPr>
            <w:tcW w:w="1814" w:type="dxa"/>
          </w:tcPr>
          <w:p w14:paraId="6F50A9DB">
            <w:pPr>
              <w:spacing w:line="360" w:lineRule="auto"/>
              <w:jc w:val="center"/>
              <w:rPr>
                <w:szCs w:val="21"/>
              </w:rPr>
            </w:pPr>
          </w:p>
        </w:tc>
        <w:tc>
          <w:tcPr>
            <w:tcW w:w="1204" w:type="dxa"/>
          </w:tcPr>
          <w:p w14:paraId="4BB10480">
            <w:pPr>
              <w:spacing w:line="360" w:lineRule="auto"/>
              <w:jc w:val="center"/>
              <w:rPr>
                <w:szCs w:val="21"/>
              </w:rPr>
            </w:pPr>
          </w:p>
        </w:tc>
        <w:tc>
          <w:tcPr>
            <w:tcW w:w="672" w:type="dxa"/>
          </w:tcPr>
          <w:p w14:paraId="734CA12B">
            <w:pPr>
              <w:spacing w:line="360" w:lineRule="auto"/>
              <w:jc w:val="center"/>
              <w:rPr>
                <w:szCs w:val="21"/>
              </w:rPr>
            </w:pPr>
          </w:p>
        </w:tc>
      </w:tr>
      <w:tr w14:paraId="4F96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296F6C62">
            <w:pPr>
              <w:spacing w:line="360" w:lineRule="auto"/>
              <w:jc w:val="center"/>
              <w:rPr>
                <w:szCs w:val="21"/>
              </w:rPr>
            </w:pPr>
          </w:p>
        </w:tc>
        <w:tc>
          <w:tcPr>
            <w:tcW w:w="721" w:type="dxa"/>
          </w:tcPr>
          <w:p w14:paraId="05B94420">
            <w:pPr>
              <w:spacing w:line="360" w:lineRule="auto"/>
              <w:jc w:val="center"/>
              <w:rPr>
                <w:szCs w:val="21"/>
              </w:rPr>
            </w:pPr>
          </w:p>
        </w:tc>
        <w:tc>
          <w:tcPr>
            <w:tcW w:w="1105" w:type="dxa"/>
          </w:tcPr>
          <w:p w14:paraId="7D9ED956">
            <w:pPr>
              <w:spacing w:line="360" w:lineRule="auto"/>
              <w:jc w:val="center"/>
              <w:rPr>
                <w:szCs w:val="21"/>
              </w:rPr>
            </w:pPr>
          </w:p>
        </w:tc>
        <w:tc>
          <w:tcPr>
            <w:tcW w:w="1473" w:type="dxa"/>
          </w:tcPr>
          <w:p w14:paraId="6384C43C">
            <w:pPr>
              <w:spacing w:line="360" w:lineRule="auto"/>
              <w:jc w:val="center"/>
              <w:rPr>
                <w:szCs w:val="21"/>
              </w:rPr>
            </w:pPr>
          </w:p>
        </w:tc>
        <w:tc>
          <w:tcPr>
            <w:tcW w:w="886" w:type="dxa"/>
          </w:tcPr>
          <w:p w14:paraId="0E2441AA">
            <w:pPr>
              <w:spacing w:line="360" w:lineRule="auto"/>
              <w:jc w:val="center"/>
              <w:rPr>
                <w:szCs w:val="21"/>
              </w:rPr>
            </w:pPr>
          </w:p>
        </w:tc>
        <w:tc>
          <w:tcPr>
            <w:tcW w:w="1814" w:type="dxa"/>
          </w:tcPr>
          <w:p w14:paraId="11D2F8D6">
            <w:pPr>
              <w:spacing w:line="360" w:lineRule="auto"/>
              <w:jc w:val="center"/>
              <w:rPr>
                <w:szCs w:val="21"/>
              </w:rPr>
            </w:pPr>
          </w:p>
        </w:tc>
        <w:tc>
          <w:tcPr>
            <w:tcW w:w="1204" w:type="dxa"/>
          </w:tcPr>
          <w:p w14:paraId="3F5609B3">
            <w:pPr>
              <w:spacing w:line="360" w:lineRule="auto"/>
              <w:jc w:val="center"/>
              <w:rPr>
                <w:szCs w:val="21"/>
              </w:rPr>
            </w:pPr>
          </w:p>
        </w:tc>
        <w:tc>
          <w:tcPr>
            <w:tcW w:w="672" w:type="dxa"/>
          </w:tcPr>
          <w:p w14:paraId="250C609A">
            <w:pPr>
              <w:spacing w:line="360" w:lineRule="auto"/>
              <w:jc w:val="center"/>
              <w:rPr>
                <w:szCs w:val="21"/>
              </w:rPr>
            </w:pPr>
          </w:p>
        </w:tc>
      </w:tr>
      <w:tr w14:paraId="46654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46408CD6">
            <w:pPr>
              <w:spacing w:line="360" w:lineRule="auto"/>
              <w:jc w:val="center"/>
              <w:rPr>
                <w:szCs w:val="21"/>
              </w:rPr>
            </w:pPr>
          </w:p>
        </w:tc>
        <w:tc>
          <w:tcPr>
            <w:tcW w:w="721" w:type="dxa"/>
          </w:tcPr>
          <w:p w14:paraId="4B8F19A4">
            <w:pPr>
              <w:spacing w:line="360" w:lineRule="auto"/>
              <w:jc w:val="center"/>
              <w:rPr>
                <w:szCs w:val="21"/>
              </w:rPr>
            </w:pPr>
          </w:p>
        </w:tc>
        <w:tc>
          <w:tcPr>
            <w:tcW w:w="1105" w:type="dxa"/>
          </w:tcPr>
          <w:p w14:paraId="269E0545">
            <w:pPr>
              <w:spacing w:line="360" w:lineRule="auto"/>
              <w:jc w:val="center"/>
              <w:rPr>
                <w:szCs w:val="21"/>
              </w:rPr>
            </w:pPr>
          </w:p>
        </w:tc>
        <w:tc>
          <w:tcPr>
            <w:tcW w:w="1473" w:type="dxa"/>
          </w:tcPr>
          <w:p w14:paraId="6FDE2248">
            <w:pPr>
              <w:spacing w:line="360" w:lineRule="auto"/>
              <w:jc w:val="center"/>
              <w:rPr>
                <w:szCs w:val="21"/>
              </w:rPr>
            </w:pPr>
          </w:p>
        </w:tc>
        <w:tc>
          <w:tcPr>
            <w:tcW w:w="886" w:type="dxa"/>
          </w:tcPr>
          <w:p w14:paraId="6BECB12C">
            <w:pPr>
              <w:spacing w:line="360" w:lineRule="auto"/>
              <w:jc w:val="center"/>
              <w:rPr>
                <w:szCs w:val="21"/>
              </w:rPr>
            </w:pPr>
          </w:p>
        </w:tc>
        <w:tc>
          <w:tcPr>
            <w:tcW w:w="1814" w:type="dxa"/>
          </w:tcPr>
          <w:p w14:paraId="1374C588">
            <w:pPr>
              <w:spacing w:line="360" w:lineRule="auto"/>
              <w:jc w:val="center"/>
              <w:rPr>
                <w:szCs w:val="21"/>
              </w:rPr>
            </w:pPr>
          </w:p>
        </w:tc>
        <w:tc>
          <w:tcPr>
            <w:tcW w:w="1204" w:type="dxa"/>
          </w:tcPr>
          <w:p w14:paraId="4DC6DF99">
            <w:pPr>
              <w:spacing w:line="360" w:lineRule="auto"/>
              <w:jc w:val="center"/>
              <w:rPr>
                <w:szCs w:val="21"/>
              </w:rPr>
            </w:pPr>
          </w:p>
        </w:tc>
        <w:tc>
          <w:tcPr>
            <w:tcW w:w="672" w:type="dxa"/>
          </w:tcPr>
          <w:p w14:paraId="2ECEEDF1">
            <w:pPr>
              <w:spacing w:line="360" w:lineRule="auto"/>
              <w:jc w:val="center"/>
              <w:rPr>
                <w:szCs w:val="21"/>
              </w:rPr>
            </w:pPr>
          </w:p>
        </w:tc>
      </w:tr>
      <w:tr w14:paraId="54B3C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0C98413A">
            <w:pPr>
              <w:spacing w:line="360" w:lineRule="auto"/>
              <w:jc w:val="center"/>
              <w:rPr>
                <w:szCs w:val="21"/>
              </w:rPr>
            </w:pPr>
          </w:p>
        </w:tc>
        <w:tc>
          <w:tcPr>
            <w:tcW w:w="721" w:type="dxa"/>
          </w:tcPr>
          <w:p w14:paraId="6BC0649D">
            <w:pPr>
              <w:spacing w:line="360" w:lineRule="auto"/>
              <w:jc w:val="center"/>
              <w:rPr>
                <w:szCs w:val="21"/>
              </w:rPr>
            </w:pPr>
          </w:p>
        </w:tc>
        <w:tc>
          <w:tcPr>
            <w:tcW w:w="1105" w:type="dxa"/>
          </w:tcPr>
          <w:p w14:paraId="16B7F6ED">
            <w:pPr>
              <w:spacing w:line="360" w:lineRule="auto"/>
              <w:jc w:val="center"/>
              <w:rPr>
                <w:szCs w:val="21"/>
              </w:rPr>
            </w:pPr>
          </w:p>
        </w:tc>
        <w:tc>
          <w:tcPr>
            <w:tcW w:w="1473" w:type="dxa"/>
          </w:tcPr>
          <w:p w14:paraId="368EEC14">
            <w:pPr>
              <w:spacing w:line="360" w:lineRule="auto"/>
              <w:jc w:val="center"/>
              <w:rPr>
                <w:szCs w:val="21"/>
              </w:rPr>
            </w:pPr>
          </w:p>
        </w:tc>
        <w:tc>
          <w:tcPr>
            <w:tcW w:w="886" w:type="dxa"/>
          </w:tcPr>
          <w:p w14:paraId="64A6FFA8">
            <w:pPr>
              <w:spacing w:line="360" w:lineRule="auto"/>
              <w:jc w:val="center"/>
              <w:rPr>
                <w:szCs w:val="21"/>
              </w:rPr>
            </w:pPr>
          </w:p>
        </w:tc>
        <w:tc>
          <w:tcPr>
            <w:tcW w:w="1814" w:type="dxa"/>
          </w:tcPr>
          <w:p w14:paraId="3B77D61C">
            <w:pPr>
              <w:spacing w:line="360" w:lineRule="auto"/>
              <w:jc w:val="center"/>
              <w:rPr>
                <w:szCs w:val="21"/>
              </w:rPr>
            </w:pPr>
          </w:p>
        </w:tc>
        <w:tc>
          <w:tcPr>
            <w:tcW w:w="1204" w:type="dxa"/>
          </w:tcPr>
          <w:p w14:paraId="4B8DA768">
            <w:pPr>
              <w:spacing w:line="360" w:lineRule="auto"/>
              <w:jc w:val="center"/>
              <w:rPr>
                <w:szCs w:val="21"/>
              </w:rPr>
            </w:pPr>
          </w:p>
        </w:tc>
        <w:tc>
          <w:tcPr>
            <w:tcW w:w="672" w:type="dxa"/>
          </w:tcPr>
          <w:p w14:paraId="436F7155">
            <w:pPr>
              <w:spacing w:line="360" w:lineRule="auto"/>
              <w:jc w:val="center"/>
              <w:rPr>
                <w:szCs w:val="21"/>
              </w:rPr>
            </w:pPr>
          </w:p>
        </w:tc>
      </w:tr>
      <w:tr w14:paraId="0D782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66DECCDB">
            <w:pPr>
              <w:spacing w:line="360" w:lineRule="auto"/>
              <w:jc w:val="center"/>
              <w:rPr>
                <w:szCs w:val="21"/>
              </w:rPr>
            </w:pPr>
          </w:p>
        </w:tc>
        <w:tc>
          <w:tcPr>
            <w:tcW w:w="721" w:type="dxa"/>
          </w:tcPr>
          <w:p w14:paraId="220AA63B">
            <w:pPr>
              <w:spacing w:line="360" w:lineRule="auto"/>
              <w:jc w:val="center"/>
              <w:rPr>
                <w:szCs w:val="21"/>
              </w:rPr>
            </w:pPr>
          </w:p>
        </w:tc>
        <w:tc>
          <w:tcPr>
            <w:tcW w:w="1105" w:type="dxa"/>
          </w:tcPr>
          <w:p w14:paraId="0DE41199">
            <w:pPr>
              <w:spacing w:line="360" w:lineRule="auto"/>
              <w:jc w:val="center"/>
              <w:rPr>
                <w:szCs w:val="21"/>
              </w:rPr>
            </w:pPr>
          </w:p>
        </w:tc>
        <w:tc>
          <w:tcPr>
            <w:tcW w:w="1473" w:type="dxa"/>
          </w:tcPr>
          <w:p w14:paraId="3A49A5A3">
            <w:pPr>
              <w:spacing w:line="360" w:lineRule="auto"/>
              <w:jc w:val="center"/>
              <w:rPr>
                <w:szCs w:val="21"/>
              </w:rPr>
            </w:pPr>
          </w:p>
        </w:tc>
        <w:tc>
          <w:tcPr>
            <w:tcW w:w="886" w:type="dxa"/>
          </w:tcPr>
          <w:p w14:paraId="1E39E15F">
            <w:pPr>
              <w:spacing w:line="360" w:lineRule="auto"/>
              <w:jc w:val="center"/>
              <w:rPr>
                <w:szCs w:val="21"/>
              </w:rPr>
            </w:pPr>
          </w:p>
        </w:tc>
        <w:tc>
          <w:tcPr>
            <w:tcW w:w="1814" w:type="dxa"/>
          </w:tcPr>
          <w:p w14:paraId="00205CB2">
            <w:pPr>
              <w:spacing w:line="360" w:lineRule="auto"/>
              <w:jc w:val="center"/>
              <w:rPr>
                <w:szCs w:val="21"/>
              </w:rPr>
            </w:pPr>
          </w:p>
        </w:tc>
        <w:tc>
          <w:tcPr>
            <w:tcW w:w="1204" w:type="dxa"/>
          </w:tcPr>
          <w:p w14:paraId="7870986C">
            <w:pPr>
              <w:spacing w:line="360" w:lineRule="auto"/>
              <w:jc w:val="center"/>
              <w:rPr>
                <w:szCs w:val="21"/>
              </w:rPr>
            </w:pPr>
          </w:p>
        </w:tc>
        <w:tc>
          <w:tcPr>
            <w:tcW w:w="672" w:type="dxa"/>
          </w:tcPr>
          <w:p w14:paraId="2CFFBE68">
            <w:pPr>
              <w:spacing w:line="360" w:lineRule="auto"/>
              <w:jc w:val="center"/>
              <w:rPr>
                <w:szCs w:val="21"/>
              </w:rPr>
            </w:pPr>
          </w:p>
        </w:tc>
      </w:tr>
      <w:tr w14:paraId="68CD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7C901096">
            <w:pPr>
              <w:spacing w:line="360" w:lineRule="auto"/>
              <w:jc w:val="center"/>
              <w:rPr>
                <w:szCs w:val="21"/>
              </w:rPr>
            </w:pPr>
          </w:p>
        </w:tc>
        <w:tc>
          <w:tcPr>
            <w:tcW w:w="721" w:type="dxa"/>
          </w:tcPr>
          <w:p w14:paraId="01028FC7">
            <w:pPr>
              <w:spacing w:line="360" w:lineRule="auto"/>
              <w:jc w:val="center"/>
              <w:rPr>
                <w:szCs w:val="21"/>
              </w:rPr>
            </w:pPr>
          </w:p>
        </w:tc>
        <w:tc>
          <w:tcPr>
            <w:tcW w:w="1105" w:type="dxa"/>
          </w:tcPr>
          <w:p w14:paraId="30CF8DA2">
            <w:pPr>
              <w:spacing w:line="360" w:lineRule="auto"/>
              <w:jc w:val="center"/>
              <w:rPr>
                <w:szCs w:val="21"/>
              </w:rPr>
            </w:pPr>
          </w:p>
        </w:tc>
        <w:tc>
          <w:tcPr>
            <w:tcW w:w="1473" w:type="dxa"/>
          </w:tcPr>
          <w:p w14:paraId="3BC269DD">
            <w:pPr>
              <w:spacing w:line="360" w:lineRule="auto"/>
              <w:jc w:val="center"/>
              <w:rPr>
                <w:szCs w:val="21"/>
              </w:rPr>
            </w:pPr>
          </w:p>
        </w:tc>
        <w:tc>
          <w:tcPr>
            <w:tcW w:w="886" w:type="dxa"/>
          </w:tcPr>
          <w:p w14:paraId="741CF0D3">
            <w:pPr>
              <w:spacing w:line="360" w:lineRule="auto"/>
              <w:jc w:val="center"/>
              <w:rPr>
                <w:szCs w:val="21"/>
              </w:rPr>
            </w:pPr>
          </w:p>
        </w:tc>
        <w:tc>
          <w:tcPr>
            <w:tcW w:w="1814" w:type="dxa"/>
          </w:tcPr>
          <w:p w14:paraId="4E44676D">
            <w:pPr>
              <w:spacing w:line="360" w:lineRule="auto"/>
              <w:jc w:val="center"/>
              <w:rPr>
                <w:szCs w:val="21"/>
              </w:rPr>
            </w:pPr>
          </w:p>
        </w:tc>
        <w:tc>
          <w:tcPr>
            <w:tcW w:w="1204" w:type="dxa"/>
          </w:tcPr>
          <w:p w14:paraId="72DA1782">
            <w:pPr>
              <w:spacing w:line="360" w:lineRule="auto"/>
              <w:jc w:val="center"/>
              <w:rPr>
                <w:szCs w:val="21"/>
              </w:rPr>
            </w:pPr>
          </w:p>
        </w:tc>
        <w:tc>
          <w:tcPr>
            <w:tcW w:w="672" w:type="dxa"/>
          </w:tcPr>
          <w:p w14:paraId="7D7B5B7D">
            <w:pPr>
              <w:spacing w:line="360" w:lineRule="auto"/>
              <w:jc w:val="center"/>
              <w:rPr>
                <w:szCs w:val="21"/>
              </w:rPr>
            </w:pPr>
          </w:p>
        </w:tc>
      </w:tr>
      <w:tr w14:paraId="3D556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38EC70AB">
            <w:pPr>
              <w:spacing w:line="360" w:lineRule="auto"/>
              <w:jc w:val="center"/>
              <w:rPr>
                <w:szCs w:val="21"/>
              </w:rPr>
            </w:pPr>
          </w:p>
        </w:tc>
        <w:tc>
          <w:tcPr>
            <w:tcW w:w="721" w:type="dxa"/>
          </w:tcPr>
          <w:p w14:paraId="2FFE7D3E">
            <w:pPr>
              <w:spacing w:line="360" w:lineRule="auto"/>
              <w:jc w:val="center"/>
              <w:rPr>
                <w:szCs w:val="21"/>
              </w:rPr>
            </w:pPr>
          </w:p>
        </w:tc>
        <w:tc>
          <w:tcPr>
            <w:tcW w:w="1105" w:type="dxa"/>
          </w:tcPr>
          <w:p w14:paraId="4456FFC5">
            <w:pPr>
              <w:spacing w:line="360" w:lineRule="auto"/>
              <w:jc w:val="center"/>
              <w:rPr>
                <w:szCs w:val="21"/>
              </w:rPr>
            </w:pPr>
          </w:p>
        </w:tc>
        <w:tc>
          <w:tcPr>
            <w:tcW w:w="1473" w:type="dxa"/>
          </w:tcPr>
          <w:p w14:paraId="3BD4EE16">
            <w:pPr>
              <w:spacing w:line="360" w:lineRule="auto"/>
              <w:jc w:val="center"/>
              <w:rPr>
                <w:szCs w:val="21"/>
              </w:rPr>
            </w:pPr>
          </w:p>
        </w:tc>
        <w:tc>
          <w:tcPr>
            <w:tcW w:w="886" w:type="dxa"/>
          </w:tcPr>
          <w:p w14:paraId="0E670604">
            <w:pPr>
              <w:spacing w:line="360" w:lineRule="auto"/>
              <w:jc w:val="center"/>
              <w:rPr>
                <w:szCs w:val="21"/>
              </w:rPr>
            </w:pPr>
          </w:p>
        </w:tc>
        <w:tc>
          <w:tcPr>
            <w:tcW w:w="1814" w:type="dxa"/>
          </w:tcPr>
          <w:p w14:paraId="785569E0">
            <w:pPr>
              <w:spacing w:line="360" w:lineRule="auto"/>
              <w:jc w:val="center"/>
              <w:rPr>
                <w:szCs w:val="21"/>
              </w:rPr>
            </w:pPr>
          </w:p>
        </w:tc>
        <w:tc>
          <w:tcPr>
            <w:tcW w:w="1204" w:type="dxa"/>
          </w:tcPr>
          <w:p w14:paraId="2BD9EF86">
            <w:pPr>
              <w:spacing w:line="360" w:lineRule="auto"/>
              <w:jc w:val="center"/>
              <w:rPr>
                <w:szCs w:val="21"/>
              </w:rPr>
            </w:pPr>
          </w:p>
        </w:tc>
        <w:tc>
          <w:tcPr>
            <w:tcW w:w="672" w:type="dxa"/>
          </w:tcPr>
          <w:p w14:paraId="77848281">
            <w:pPr>
              <w:spacing w:line="360" w:lineRule="auto"/>
              <w:jc w:val="center"/>
              <w:rPr>
                <w:szCs w:val="21"/>
              </w:rPr>
            </w:pPr>
          </w:p>
        </w:tc>
      </w:tr>
      <w:tr w14:paraId="5462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58743FBB">
            <w:pPr>
              <w:spacing w:line="360" w:lineRule="auto"/>
              <w:jc w:val="center"/>
              <w:rPr>
                <w:szCs w:val="21"/>
              </w:rPr>
            </w:pPr>
          </w:p>
        </w:tc>
        <w:tc>
          <w:tcPr>
            <w:tcW w:w="721" w:type="dxa"/>
          </w:tcPr>
          <w:p w14:paraId="161FCBD3">
            <w:pPr>
              <w:spacing w:line="360" w:lineRule="auto"/>
              <w:jc w:val="center"/>
              <w:rPr>
                <w:szCs w:val="21"/>
              </w:rPr>
            </w:pPr>
          </w:p>
        </w:tc>
        <w:tc>
          <w:tcPr>
            <w:tcW w:w="1105" w:type="dxa"/>
          </w:tcPr>
          <w:p w14:paraId="516E35DF">
            <w:pPr>
              <w:spacing w:line="360" w:lineRule="auto"/>
              <w:jc w:val="center"/>
              <w:rPr>
                <w:szCs w:val="21"/>
              </w:rPr>
            </w:pPr>
          </w:p>
        </w:tc>
        <w:tc>
          <w:tcPr>
            <w:tcW w:w="1473" w:type="dxa"/>
          </w:tcPr>
          <w:p w14:paraId="6DB0C9CE">
            <w:pPr>
              <w:spacing w:line="360" w:lineRule="auto"/>
              <w:jc w:val="center"/>
              <w:rPr>
                <w:szCs w:val="21"/>
              </w:rPr>
            </w:pPr>
          </w:p>
        </w:tc>
        <w:tc>
          <w:tcPr>
            <w:tcW w:w="886" w:type="dxa"/>
          </w:tcPr>
          <w:p w14:paraId="2DCD2B18">
            <w:pPr>
              <w:spacing w:line="360" w:lineRule="auto"/>
              <w:jc w:val="center"/>
              <w:rPr>
                <w:szCs w:val="21"/>
              </w:rPr>
            </w:pPr>
          </w:p>
        </w:tc>
        <w:tc>
          <w:tcPr>
            <w:tcW w:w="1814" w:type="dxa"/>
          </w:tcPr>
          <w:p w14:paraId="24CC4A33">
            <w:pPr>
              <w:spacing w:line="360" w:lineRule="auto"/>
              <w:jc w:val="center"/>
              <w:rPr>
                <w:szCs w:val="21"/>
              </w:rPr>
            </w:pPr>
          </w:p>
        </w:tc>
        <w:tc>
          <w:tcPr>
            <w:tcW w:w="1204" w:type="dxa"/>
          </w:tcPr>
          <w:p w14:paraId="12FFFAC8">
            <w:pPr>
              <w:spacing w:line="360" w:lineRule="auto"/>
              <w:jc w:val="center"/>
              <w:rPr>
                <w:szCs w:val="21"/>
              </w:rPr>
            </w:pPr>
          </w:p>
        </w:tc>
        <w:tc>
          <w:tcPr>
            <w:tcW w:w="672" w:type="dxa"/>
          </w:tcPr>
          <w:p w14:paraId="7D4922C3">
            <w:pPr>
              <w:spacing w:line="360" w:lineRule="auto"/>
              <w:jc w:val="center"/>
              <w:rPr>
                <w:szCs w:val="21"/>
              </w:rPr>
            </w:pPr>
          </w:p>
        </w:tc>
      </w:tr>
      <w:tr w14:paraId="0C302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31D3A39A">
            <w:pPr>
              <w:spacing w:line="360" w:lineRule="auto"/>
              <w:jc w:val="center"/>
              <w:rPr>
                <w:szCs w:val="21"/>
              </w:rPr>
            </w:pPr>
          </w:p>
        </w:tc>
        <w:tc>
          <w:tcPr>
            <w:tcW w:w="721" w:type="dxa"/>
          </w:tcPr>
          <w:p w14:paraId="34D12A23">
            <w:pPr>
              <w:spacing w:line="360" w:lineRule="auto"/>
              <w:jc w:val="center"/>
              <w:rPr>
                <w:szCs w:val="21"/>
              </w:rPr>
            </w:pPr>
          </w:p>
        </w:tc>
        <w:tc>
          <w:tcPr>
            <w:tcW w:w="1105" w:type="dxa"/>
          </w:tcPr>
          <w:p w14:paraId="0B70B411">
            <w:pPr>
              <w:spacing w:line="360" w:lineRule="auto"/>
              <w:jc w:val="center"/>
              <w:rPr>
                <w:szCs w:val="21"/>
              </w:rPr>
            </w:pPr>
          </w:p>
        </w:tc>
        <w:tc>
          <w:tcPr>
            <w:tcW w:w="1473" w:type="dxa"/>
          </w:tcPr>
          <w:p w14:paraId="130BFADE">
            <w:pPr>
              <w:spacing w:line="360" w:lineRule="auto"/>
              <w:jc w:val="center"/>
              <w:rPr>
                <w:szCs w:val="21"/>
              </w:rPr>
            </w:pPr>
          </w:p>
        </w:tc>
        <w:tc>
          <w:tcPr>
            <w:tcW w:w="886" w:type="dxa"/>
          </w:tcPr>
          <w:p w14:paraId="0AC84B30">
            <w:pPr>
              <w:spacing w:line="360" w:lineRule="auto"/>
              <w:jc w:val="center"/>
              <w:rPr>
                <w:szCs w:val="21"/>
              </w:rPr>
            </w:pPr>
          </w:p>
        </w:tc>
        <w:tc>
          <w:tcPr>
            <w:tcW w:w="1814" w:type="dxa"/>
          </w:tcPr>
          <w:p w14:paraId="3299C26C">
            <w:pPr>
              <w:spacing w:line="360" w:lineRule="auto"/>
              <w:jc w:val="center"/>
              <w:rPr>
                <w:szCs w:val="21"/>
              </w:rPr>
            </w:pPr>
          </w:p>
        </w:tc>
        <w:tc>
          <w:tcPr>
            <w:tcW w:w="1204" w:type="dxa"/>
          </w:tcPr>
          <w:p w14:paraId="7E979BA9">
            <w:pPr>
              <w:spacing w:line="360" w:lineRule="auto"/>
              <w:jc w:val="center"/>
              <w:rPr>
                <w:szCs w:val="21"/>
              </w:rPr>
            </w:pPr>
          </w:p>
        </w:tc>
        <w:tc>
          <w:tcPr>
            <w:tcW w:w="672" w:type="dxa"/>
          </w:tcPr>
          <w:p w14:paraId="2596B0D4">
            <w:pPr>
              <w:spacing w:line="360" w:lineRule="auto"/>
              <w:jc w:val="center"/>
              <w:rPr>
                <w:szCs w:val="21"/>
              </w:rPr>
            </w:pPr>
          </w:p>
        </w:tc>
      </w:tr>
      <w:tr w14:paraId="271F0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17DFA1C1">
            <w:pPr>
              <w:spacing w:line="360" w:lineRule="auto"/>
              <w:jc w:val="center"/>
              <w:rPr>
                <w:szCs w:val="21"/>
              </w:rPr>
            </w:pPr>
          </w:p>
        </w:tc>
        <w:tc>
          <w:tcPr>
            <w:tcW w:w="721" w:type="dxa"/>
          </w:tcPr>
          <w:p w14:paraId="7D4C2DA6">
            <w:pPr>
              <w:spacing w:line="360" w:lineRule="auto"/>
              <w:jc w:val="center"/>
              <w:rPr>
                <w:szCs w:val="21"/>
              </w:rPr>
            </w:pPr>
          </w:p>
        </w:tc>
        <w:tc>
          <w:tcPr>
            <w:tcW w:w="1105" w:type="dxa"/>
          </w:tcPr>
          <w:p w14:paraId="287FDEB6">
            <w:pPr>
              <w:spacing w:line="360" w:lineRule="auto"/>
              <w:jc w:val="center"/>
              <w:rPr>
                <w:szCs w:val="21"/>
              </w:rPr>
            </w:pPr>
          </w:p>
        </w:tc>
        <w:tc>
          <w:tcPr>
            <w:tcW w:w="1473" w:type="dxa"/>
          </w:tcPr>
          <w:p w14:paraId="65E55B87">
            <w:pPr>
              <w:spacing w:line="360" w:lineRule="auto"/>
              <w:jc w:val="center"/>
              <w:rPr>
                <w:szCs w:val="21"/>
              </w:rPr>
            </w:pPr>
          </w:p>
        </w:tc>
        <w:tc>
          <w:tcPr>
            <w:tcW w:w="886" w:type="dxa"/>
          </w:tcPr>
          <w:p w14:paraId="25FC02A6">
            <w:pPr>
              <w:spacing w:line="360" w:lineRule="auto"/>
              <w:jc w:val="center"/>
              <w:rPr>
                <w:szCs w:val="21"/>
              </w:rPr>
            </w:pPr>
          </w:p>
        </w:tc>
        <w:tc>
          <w:tcPr>
            <w:tcW w:w="1814" w:type="dxa"/>
          </w:tcPr>
          <w:p w14:paraId="42B20E4B">
            <w:pPr>
              <w:spacing w:line="360" w:lineRule="auto"/>
              <w:jc w:val="center"/>
              <w:rPr>
                <w:szCs w:val="21"/>
              </w:rPr>
            </w:pPr>
          </w:p>
        </w:tc>
        <w:tc>
          <w:tcPr>
            <w:tcW w:w="1204" w:type="dxa"/>
          </w:tcPr>
          <w:p w14:paraId="4F100B19">
            <w:pPr>
              <w:spacing w:line="360" w:lineRule="auto"/>
              <w:jc w:val="center"/>
              <w:rPr>
                <w:szCs w:val="21"/>
              </w:rPr>
            </w:pPr>
          </w:p>
        </w:tc>
        <w:tc>
          <w:tcPr>
            <w:tcW w:w="672" w:type="dxa"/>
          </w:tcPr>
          <w:p w14:paraId="37CC2532">
            <w:pPr>
              <w:spacing w:line="360" w:lineRule="auto"/>
              <w:jc w:val="center"/>
              <w:rPr>
                <w:szCs w:val="21"/>
              </w:rPr>
            </w:pPr>
          </w:p>
        </w:tc>
      </w:tr>
      <w:tr w14:paraId="43F69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1763A7F5">
            <w:pPr>
              <w:spacing w:line="360" w:lineRule="auto"/>
              <w:jc w:val="center"/>
              <w:rPr>
                <w:szCs w:val="21"/>
              </w:rPr>
            </w:pPr>
          </w:p>
        </w:tc>
        <w:tc>
          <w:tcPr>
            <w:tcW w:w="721" w:type="dxa"/>
          </w:tcPr>
          <w:p w14:paraId="558DA60A">
            <w:pPr>
              <w:spacing w:line="360" w:lineRule="auto"/>
              <w:jc w:val="center"/>
              <w:rPr>
                <w:szCs w:val="21"/>
              </w:rPr>
            </w:pPr>
          </w:p>
        </w:tc>
        <w:tc>
          <w:tcPr>
            <w:tcW w:w="1105" w:type="dxa"/>
          </w:tcPr>
          <w:p w14:paraId="202AD5E6">
            <w:pPr>
              <w:spacing w:line="360" w:lineRule="auto"/>
              <w:jc w:val="center"/>
              <w:rPr>
                <w:szCs w:val="21"/>
              </w:rPr>
            </w:pPr>
          </w:p>
        </w:tc>
        <w:tc>
          <w:tcPr>
            <w:tcW w:w="1473" w:type="dxa"/>
          </w:tcPr>
          <w:p w14:paraId="01B9F3B6">
            <w:pPr>
              <w:spacing w:line="360" w:lineRule="auto"/>
              <w:jc w:val="center"/>
              <w:rPr>
                <w:szCs w:val="21"/>
              </w:rPr>
            </w:pPr>
          </w:p>
        </w:tc>
        <w:tc>
          <w:tcPr>
            <w:tcW w:w="886" w:type="dxa"/>
          </w:tcPr>
          <w:p w14:paraId="79A08890">
            <w:pPr>
              <w:spacing w:line="360" w:lineRule="auto"/>
              <w:jc w:val="center"/>
              <w:rPr>
                <w:szCs w:val="21"/>
              </w:rPr>
            </w:pPr>
          </w:p>
        </w:tc>
        <w:tc>
          <w:tcPr>
            <w:tcW w:w="1814" w:type="dxa"/>
          </w:tcPr>
          <w:p w14:paraId="1A3810AB">
            <w:pPr>
              <w:spacing w:line="360" w:lineRule="auto"/>
              <w:jc w:val="center"/>
              <w:rPr>
                <w:szCs w:val="21"/>
              </w:rPr>
            </w:pPr>
          </w:p>
        </w:tc>
        <w:tc>
          <w:tcPr>
            <w:tcW w:w="1204" w:type="dxa"/>
          </w:tcPr>
          <w:p w14:paraId="7CA8113A">
            <w:pPr>
              <w:spacing w:line="360" w:lineRule="auto"/>
              <w:jc w:val="center"/>
              <w:rPr>
                <w:szCs w:val="21"/>
              </w:rPr>
            </w:pPr>
          </w:p>
        </w:tc>
        <w:tc>
          <w:tcPr>
            <w:tcW w:w="672" w:type="dxa"/>
          </w:tcPr>
          <w:p w14:paraId="6FD229D8">
            <w:pPr>
              <w:spacing w:line="360" w:lineRule="auto"/>
              <w:jc w:val="center"/>
              <w:rPr>
                <w:szCs w:val="21"/>
              </w:rPr>
            </w:pPr>
          </w:p>
        </w:tc>
      </w:tr>
      <w:tr w14:paraId="7C901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12F5D799">
            <w:pPr>
              <w:spacing w:line="360" w:lineRule="auto"/>
              <w:jc w:val="center"/>
              <w:rPr>
                <w:szCs w:val="21"/>
              </w:rPr>
            </w:pPr>
          </w:p>
        </w:tc>
        <w:tc>
          <w:tcPr>
            <w:tcW w:w="721" w:type="dxa"/>
          </w:tcPr>
          <w:p w14:paraId="71496C42">
            <w:pPr>
              <w:spacing w:line="360" w:lineRule="auto"/>
              <w:jc w:val="center"/>
              <w:rPr>
                <w:szCs w:val="21"/>
              </w:rPr>
            </w:pPr>
          </w:p>
        </w:tc>
        <w:tc>
          <w:tcPr>
            <w:tcW w:w="1105" w:type="dxa"/>
          </w:tcPr>
          <w:p w14:paraId="26D269AD">
            <w:pPr>
              <w:spacing w:line="360" w:lineRule="auto"/>
              <w:jc w:val="center"/>
              <w:rPr>
                <w:szCs w:val="21"/>
              </w:rPr>
            </w:pPr>
          </w:p>
        </w:tc>
        <w:tc>
          <w:tcPr>
            <w:tcW w:w="1473" w:type="dxa"/>
          </w:tcPr>
          <w:p w14:paraId="00907241">
            <w:pPr>
              <w:spacing w:line="360" w:lineRule="auto"/>
              <w:jc w:val="center"/>
              <w:rPr>
                <w:szCs w:val="21"/>
              </w:rPr>
            </w:pPr>
          </w:p>
        </w:tc>
        <w:tc>
          <w:tcPr>
            <w:tcW w:w="886" w:type="dxa"/>
          </w:tcPr>
          <w:p w14:paraId="31F6EB41">
            <w:pPr>
              <w:spacing w:line="360" w:lineRule="auto"/>
              <w:jc w:val="center"/>
              <w:rPr>
                <w:szCs w:val="21"/>
              </w:rPr>
            </w:pPr>
          </w:p>
        </w:tc>
        <w:tc>
          <w:tcPr>
            <w:tcW w:w="1814" w:type="dxa"/>
          </w:tcPr>
          <w:p w14:paraId="19789E38">
            <w:pPr>
              <w:spacing w:line="360" w:lineRule="auto"/>
              <w:jc w:val="center"/>
              <w:rPr>
                <w:szCs w:val="21"/>
              </w:rPr>
            </w:pPr>
          </w:p>
        </w:tc>
        <w:tc>
          <w:tcPr>
            <w:tcW w:w="1204" w:type="dxa"/>
          </w:tcPr>
          <w:p w14:paraId="184BAE15">
            <w:pPr>
              <w:spacing w:line="360" w:lineRule="auto"/>
              <w:jc w:val="center"/>
              <w:rPr>
                <w:szCs w:val="21"/>
              </w:rPr>
            </w:pPr>
          </w:p>
        </w:tc>
        <w:tc>
          <w:tcPr>
            <w:tcW w:w="672" w:type="dxa"/>
          </w:tcPr>
          <w:p w14:paraId="173099B4">
            <w:pPr>
              <w:spacing w:line="360" w:lineRule="auto"/>
              <w:jc w:val="center"/>
              <w:rPr>
                <w:szCs w:val="21"/>
              </w:rPr>
            </w:pPr>
          </w:p>
        </w:tc>
      </w:tr>
      <w:tr w14:paraId="18E1F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19A80D67">
            <w:pPr>
              <w:spacing w:line="360" w:lineRule="auto"/>
              <w:jc w:val="center"/>
              <w:rPr>
                <w:szCs w:val="21"/>
              </w:rPr>
            </w:pPr>
          </w:p>
        </w:tc>
        <w:tc>
          <w:tcPr>
            <w:tcW w:w="721" w:type="dxa"/>
          </w:tcPr>
          <w:p w14:paraId="4728FB66">
            <w:pPr>
              <w:spacing w:line="360" w:lineRule="auto"/>
              <w:jc w:val="center"/>
              <w:rPr>
                <w:szCs w:val="21"/>
              </w:rPr>
            </w:pPr>
          </w:p>
        </w:tc>
        <w:tc>
          <w:tcPr>
            <w:tcW w:w="1105" w:type="dxa"/>
          </w:tcPr>
          <w:p w14:paraId="2AC7F79E">
            <w:pPr>
              <w:spacing w:line="360" w:lineRule="auto"/>
              <w:jc w:val="center"/>
              <w:rPr>
                <w:szCs w:val="21"/>
              </w:rPr>
            </w:pPr>
          </w:p>
        </w:tc>
        <w:tc>
          <w:tcPr>
            <w:tcW w:w="1473" w:type="dxa"/>
          </w:tcPr>
          <w:p w14:paraId="11E030A5">
            <w:pPr>
              <w:spacing w:line="360" w:lineRule="auto"/>
              <w:jc w:val="center"/>
              <w:rPr>
                <w:szCs w:val="21"/>
              </w:rPr>
            </w:pPr>
          </w:p>
        </w:tc>
        <w:tc>
          <w:tcPr>
            <w:tcW w:w="886" w:type="dxa"/>
          </w:tcPr>
          <w:p w14:paraId="2EB8B1F2">
            <w:pPr>
              <w:spacing w:line="360" w:lineRule="auto"/>
              <w:jc w:val="center"/>
              <w:rPr>
                <w:szCs w:val="21"/>
              </w:rPr>
            </w:pPr>
          </w:p>
        </w:tc>
        <w:tc>
          <w:tcPr>
            <w:tcW w:w="1814" w:type="dxa"/>
          </w:tcPr>
          <w:p w14:paraId="48F5611E">
            <w:pPr>
              <w:spacing w:line="360" w:lineRule="auto"/>
              <w:jc w:val="center"/>
              <w:rPr>
                <w:szCs w:val="21"/>
              </w:rPr>
            </w:pPr>
          </w:p>
        </w:tc>
        <w:tc>
          <w:tcPr>
            <w:tcW w:w="1204" w:type="dxa"/>
          </w:tcPr>
          <w:p w14:paraId="2579575A">
            <w:pPr>
              <w:spacing w:line="360" w:lineRule="auto"/>
              <w:jc w:val="center"/>
              <w:rPr>
                <w:szCs w:val="21"/>
              </w:rPr>
            </w:pPr>
          </w:p>
        </w:tc>
        <w:tc>
          <w:tcPr>
            <w:tcW w:w="672" w:type="dxa"/>
          </w:tcPr>
          <w:p w14:paraId="692656D3">
            <w:pPr>
              <w:spacing w:line="360" w:lineRule="auto"/>
              <w:jc w:val="center"/>
              <w:rPr>
                <w:szCs w:val="21"/>
              </w:rPr>
            </w:pPr>
          </w:p>
        </w:tc>
      </w:tr>
      <w:tr w14:paraId="0B520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4D88A179">
            <w:pPr>
              <w:spacing w:line="360" w:lineRule="auto"/>
              <w:jc w:val="center"/>
              <w:rPr>
                <w:szCs w:val="21"/>
              </w:rPr>
            </w:pPr>
          </w:p>
        </w:tc>
        <w:tc>
          <w:tcPr>
            <w:tcW w:w="721" w:type="dxa"/>
          </w:tcPr>
          <w:p w14:paraId="64347A72">
            <w:pPr>
              <w:spacing w:line="360" w:lineRule="auto"/>
              <w:jc w:val="center"/>
              <w:rPr>
                <w:szCs w:val="21"/>
              </w:rPr>
            </w:pPr>
          </w:p>
        </w:tc>
        <w:tc>
          <w:tcPr>
            <w:tcW w:w="1105" w:type="dxa"/>
          </w:tcPr>
          <w:p w14:paraId="22BA698A">
            <w:pPr>
              <w:spacing w:line="360" w:lineRule="auto"/>
              <w:jc w:val="center"/>
              <w:rPr>
                <w:szCs w:val="21"/>
              </w:rPr>
            </w:pPr>
          </w:p>
        </w:tc>
        <w:tc>
          <w:tcPr>
            <w:tcW w:w="1473" w:type="dxa"/>
          </w:tcPr>
          <w:p w14:paraId="4499E378">
            <w:pPr>
              <w:spacing w:line="360" w:lineRule="auto"/>
              <w:jc w:val="center"/>
              <w:rPr>
                <w:szCs w:val="21"/>
              </w:rPr>
            </w:pPr>
          </w:p>
        </w:tc>
        <w:tc>
          <w:tcPr>
            <w:tcW w:w="886" w:type="dxa"/>
          </w:tcPr>
          <w:p w14:paraId="34155CB6">
            <w:pPr>
              <w:spacing w:line="360" w:lineRule="auto"/>
              <w:jc w:val="center"/>
              <w:rPr>
                <w:szCs w:val="21"/>
              </w:rPr>
            </w:pPr>
          </w:p>
        </w:tc>
        <w:tc>
          <w:tcPr>
            <w:tcW w:w="1814" w:type="dxa"/>
          </w:tcPr>
          <w:p w14:paraId="4A2C16B5">
            <w:pPr>
              <w:spacing w:line="360" w:lineRule="auto"/>
              <w:jc w:val="center"/>
              <w:rPr>
                <w:szCs w:val="21"/>
              </w:rPr>
            </w:pPr>
          </w:p>
        </w:tc>
        <w:tc>
          <w:tcPr>
            <w:tcW w:w="1204" w:type="dxa"/>
          </w:tcPr>
          <w:p w14:paraId="1E5C63EF">
            <w:pPr>
              <w:spacing w:line="360" w:lineRule="auto"/>
              <w:jc w:val="center"/>
              <w:rPr>
                <w:szCs w:val="21"/>
              </w:rPr>
            </w:pPr>
          </w:p>
        </w:tc>
        <w:tc>
          <w:tcPr>
            <w:tcW w:w="672" w:type="dxa"/>
          </w:tcPr>
          <w:p w14:paraId="02C2FD89">
            <w:pPr>
              <w:spacing w:line="360" w:lineRule="auto"/>
              <w:jc w:val="center"/>
              <w:rPr>
                <w:szCs w:val="21"/>
              </w:rPr>
            </w:pPr>
          </w:p>
        </w:tc>
      </w:tr>
      <w:tr w14:paraId="5B022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7786521E">
            <w:pPr>
              <w:spacing w:line="360" w:lineRule="auto"/>
              <w:jc w:val="center"/>
              <w:rPr>
                <w:szCs w:val="21"/>
              </w:rPr>
            </w:pPr>
          </w:p>
        </w:tc>
        <w:tc>
          <w:tcPr>
            <w:tcW w:w="721" w:type="dxa"/>
          </w:tcPr>
          <w:p w14:paraId="5021DC6E">
            <w:pPr>
              <w:spacing w:line="360" w:lineRule="auto"/>
              <w:jc w:val="center"/>
              <w:rPr>
                <w:szCs w:val="21"/>
              </w:rPr>
            </w:pPr>
          </w:p>
        </w:tc>
        <w:tc>
          <w:tcPr>
            <w:tcW w:w="1105" w:type="dxa"/>
          </w:tcPr>
          <w:p w14:paraId="5919B45B">
            <w:pPr>
              <w:spacing w:line="360" w:lineRule="auto"/>
              <w:jc w:val="center"/>
              <w:rPr>
                <w:szCs w:val="21"/>
              </w:rPr>
            </w:pPr>
          </w:p>
        </w:tc>
        <w:tc>
          <w:tcPr>
            <w:tcW w:w="1473" w:type="dxa"/>
          </w:tcPr>
          <w:p w14:paraId="614743E9">
            <w:pPr>
              <w:spacing w:line="360" w:lineRule="auto"/>
              <w:jc w:val="center"/>
              <w:rPr>
                <w:szCs w:val="21"/>
              </w:rPr>
            </w:pPr>
          </w:p>
        </w:tc>
        <w:tc>
          <w:tcPr>
            <w:tcW w:w="886" w:type="dxa"/>
          </w:tcPr>
          <w:p w14:paraId="349DF2E2">
            <w:pPr>
              <w:spacing w:line="360" w:lineRule="auto"/>
              <w:jc w:val="center"/>
              <w:rPr>
                <w:szCs w:val="21"/>
              </w:rPr>
            </w:pPr>
          </w:p>
        </w:tc>
        <w:tc>
          <w:tcPr>
            <w:tcW w:w="1814" w:type="dxa"/>
          </w:tcPr>
          <w:p w14:paraId="4B5E8749">
            <w:pPr>
              <w:spacing w:line="360" w:lineRule="auto"/>
              <w:jc w:val="center"/>
              <w:rPr>
                <w:szCs w:val="21"/>
              </w:rPr>
            </w:pPr>
          </w:p>
        </w:tc>
        <w:tc>
          <w:tcPr>
            <w:tcW w:w="1204" w:type="dxa"/>
          </w:tcPr>
          <w:p w14:paraId="61F21C77">
            <w:pPr>
              <w:spacing w:line="360" w:lineRule="auto"/>
              <w:jc w:val="center"/>
              <w:rPr>
                <w:szCs w:val="21"/>
              </w:rPr>
            </w:pPr>
          </w:p>
        </w:tc>
        <w:tc>
          <w:tcPr>
            <w:tcW w:w="672" w:type="dxa"/>
          </w:tcPr>
          <w:p w14:paraId="1A4E35B4">
            <w:pPr>
              <w:spacing w:line="360" w:lineRule="auto"/>
              <w:jc w:val="center"/>
              <w:rPr>
                <w:szCs w:val="21"/>
              </w:rPr>
            </w:pPr>
          </w:p>
        </w:tc>
      </w:tr>
      <w:tr w14:paraId="60118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12B5370B">
            <w:pPr>
              <w:spacing w:line="360" w:lineRule="auto"/>
              <w:jc w:val="center"/>
              <w:rPr>
                <w:szCs w:val="21"/>
              </w:rPr>
            </w:pPr>
          </w:p>
        </w:tc>
        <w:tc>
          <w:tcPr>
            <w:tcW w:w="721" w:type="dxa"/>
          </w:tcPr>
          <w:p w14:paraId="3075A84C">
            <w:pPr>
              <w:spacing w:line="360" w:lineRule="auto"/>
              <w:jc w:val="center"/>
              <w:rPr>
                <w:szCs w:val="21"/>
              </w:rPr>
            </w:pPr>
          </w:p>
        </w:tc>
        <w:tc>
          <w:tcPr>
            <w:tcW w:w="1105" w:type="dxa"/>
          </w:tcPr>
          <w:p w14:paraId="042997FE">
            <w:pPr>
              <w:spacing w:line="360" w:lineRule="auto"/>
              <w:jc w:val="center"/>
              <w:rPr>
                <w:szCs w:val="21"/>
              </w:rPr>
            </w:pPr>
          </w:p>
        </w:tc>
        <w:tc>
          <w:tcPr>
            <w:tcW w:w="1473" w:type="dxa"/>
          </w:tcPr>
          <w:p w14:paraId="4992346A">
            <w:pPr>
              <w:spacing w:line="360" w:lineRule="auto"/>
              <w:jc w:val="center"/>
              <w:rPr>
                <w:szCs w:val="21"/>
              </w:rPr>
            </w:pPr>
          </w:p>
        </w:tc>
        <w:tc>
          <w:tcPr>
            <w:tcW w:w="886" w:type="dxa"/>
          </w:tcPr>
          <w:p w14:paraId="14FC3C11">
            <w:pPr>
              <w:spacing w:line="360" w:lineRule="auto"/>
              <w:jc w:val="center"/>
              <w:rPr>
                <w:szCs w:val="21"/>
              </w:rPr>
            </w:pPr>
          </w:p>
        </w:tc>
        <w:tc>
          <w:tcPr>
            <w:tcW w:w="1814" w:type="dxa"/>
          </w:tcPr>
          <w:p w14:paraId="2A5C03B1">
            <w:pPr>
              <w:spacing w:line="360" w:lineRule="auto"/>
              <w:jc w:val="center"/>
              <w:rPr>
                <w:szCs w:val="21"/>
              </w:rPr>
            </w:pPr>
          </w:p>
        </w:tc>
        <w:tc>
          <w:tcPr>
            <w:tcW w:w="1204" w:type="dxa"/>
          </w:tcPr>
          <w:p w14:paraId="773530B6">
            <w:pPr>
              <w:spacing w:line="360" w:lineRule="auto"/>
              <w:jc w:val="center"/>
              <w:rPr>
                <w:szCs w:val="21"/>
              </w:rPr>
            </w:pPr>
          </w:p>
        </w:tc>
        <w:tc>
          <w:tcPr>
            <w:tcW w:w="672" w:type="dxa"/>
          </w:tcPr>
          <w:p w14:paraId="34182B9B">
            <w:pPr>
              <w:spacing w:line="360" w:lineRule="auto"/>
              <w:jc w:val="center"/>
              <w:rPr>
                <w:szCs w:val="21"/>
              </w:rPr>
            </w:pPr>
          </w:p>
        </w:tc>
      </w:tr>
      <w:tr w14:paraId="4B69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55718A46">
            <w:pPr>
              <w:spacing w:line="360" w:lineRule="auto"/>
              <w:jc w:val="center"/>
              <w:rPr>
                <w:szCs w:val="21"/>
              </w:rPr>
            </w:pPr>
          </w:p>
        </w:tc>
        <w:tc>
          <w:tcPr>
            <w:tcW w:w="721" w:type="dxa"/>
          </w:tcPr>
          <w:p w14:paraId="1397A40B">
            <w:pPr>
              <w:spacing w:line="360" w:lineRule="auto"/>
              <w:jc w:val="center"/>
              <w:rPr>
                <w:szCs w:val="21"/>
              </w:rPr>
            </w:pPr>
          </w:p>
        </w:tc>
        <w:tc>
          <w:tcPr>
            <w:tcW w:w="1105" w:type="dxa"/>
          </w:tcPr>
          <w:p w14:paraId="78536544">
            <w:pPr>
              <w:spacing w:line="360" w:lineRule="auto"/>
              <w:jc w:val="center"/>
              <w:rPr>
                <w:szCs w:val="21"/>
              </w:rPr>
            </w:pPr>
          </w:p>
        </w:tc>
        <w:tc>
          <w:tcPr>
            <w:tcW w:w="1473" w:type="dxa"/>
          </w:tcPr>
          <w:p w14:paraId="534A5288">
            <w:pPr>
              <w:spacing w:line="360" w:lineRule="auto"/>
              <w:jc w:val="center"/>
              <w:rPr>
                <w:szCs w:val="21"/>
              </w:rPr>
            </w:pPr>
          </w:p>
        </w:tc>
        <w:tc>
          <w:tcPr>
            <w:tcW w:w="886" w:type="dxa"/>
          </w:tcPr>
          <w:p w14:paraId="7B3AF5BD">
            <w:pPr>
              <w:spacing w:line="360" w:lineRule="auto"/>
              <w:jc w:val="center"/>
              <w:rPr>
                <w:szCs w:val="21"/>
              </w:rPr>
            </w:pPr>
          </w:p>
        </w:tc>
        <w:tc>
          <w:tcPr>
            <w:tcW w:w="1814" w:type="dxa"/>
          </w:tcPr>
          <w:p w14:paraId="7AF681BF">
            <w:pPr>
              <w:spacing w:line="360" w:lineRule="auto"/>
              <w:jc w:val="center"/>
              <w:rPr>
                <w:szCs w:val="21"/>
              </w:rPr>
            </w:pPr>
          </w:p>
        </w:tc>
        <w:tc>
          <w:tcPr>
            <w:tcW w:w="1204" w:type="dxa"/>
          </w:tcPr>
          <w:p w14:paraId="319590E8">
            <w:pPr>
              <w:spacing w:line="360" w:lineRule="auto"/>
              <w:jc w:val="center"/>
              <w:rPr>
                <w:szCs w:val="21"/>
              </w:rPr>
            </w:pPr>
          </w:p>
        </w:tc>
        <w:tc>
          <w:tcPr>
            <w:tcW w:w="672" w:type="dxa"/>
          </w:tcPr>
          <w:p w14:paraId="2216E34D">
            <w:pPr>
              <w:spacing w:line="360" w:lineRule="auto"/>
              <w:jc w:val="center"/>
              <w:rPr>
                <w:szCs w:val="21"/>
              </w:rPr>
            </w:pPr>
          </w:p>
        </w:tc>
      </w:tr>
      <w:tr w14:paraId="387B5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3C90E167">
            <w:pPr>
              <w:spacing w:line="360" w:lineRule="auto"/>
              <w:jc w:val="center"/>
              <w:rPr>
                <w:szCs w:val="21"/>
              </w:rPr>
            </w:pPr>
          </w:p>
        </w:tc>
        <w:tc>
          <w:tcPr>
            <w:tcW w:w="721" w:type="dxa"/>
          </w:tcPr>
          <w:p w14:paraId="7B9D0A9D">
            <w:pPr>
              <w:spacing w:line="360" w:lineRule="auto"/>
              <w:jc w:val="center"/>
              <w:rPr>
                <w:szCs w:val="21"/>
              </w:rPr>
            </w:pPr>
          </w:p>
        </w:tc>
        <w:tc>
          <w:tcPr>
            <w:tcW w:w="1105" w:type="dxa"/>
          </w:tcPr>
          <w:p w14:paraId="4020F600">
            <w:pPr>
              <w:spacing w:line="360" w:lineRule="auto"/>
              <w:jc w:val="center"/>
              <w:rPr>
                <w:szCs w:val="21"/>
              </w:rPr>
            </w:pPr>
          </w:p>
        </w:tc>
        <w:tc>
          <w:tcPr>
            <w:tcW w:w="1473" w:type="dxa"/>
          </w:tcPr>
          <w:p w14:paraId="75144722">
            <w:pPr>
              <w:spacing w:line="360" w:lineRule="auto"/>
              <w:jc w:val="center"/>
              <w:rPr>
                <w:szCs w:val="21"/>
              </w:rPr>
            </w:pPr>
          </w:p>
        </w:tc>
        <w:tc>
          <w:tcPr>
            <w:tcW w:w="886" w:type="dxa"/>
          </w:tcPr>
          <w:p w14:paraId="5F97C072">
            <w:pPr>
              <w:spacing w:line="360" w:lineRule="auto"/>
              <w:jc w:val="center"/>
              <w:rPr>
                <w:szCs w:val="21"/>
              </w:rPr>
            </w:pPr>
          </w:p>
        </w:tc>
        <w:tc>
          <w:tcPr>
            <w:tcW w:w="1814" w:type="dxa"/>
          </w:tcPr>
          <w:p w14:paraId="488B89ED">
            <w:pPr>
              <w:spacing w:line="360" w:lineRule="auto"/>
              <w:jc w:val="center"/>
              <w:rPr>
                <w:szCs w:val="21"/>
              </w:rPr>
            </w:pPr>
          </w:p>
        </w:tc>
        <w:tc>
          <w:tcPr>
            <w:tcW w:w="1204" w:type="dxa"/>
          </w:tcPr>
          <w:p w14:paraId="587AA33F">
            <w:pPr>
              <w:spacing w:line="360" w:lineRule="auto"/>
              <w:jc w:val="center"/>
              <w:rPr>
                <w:szCs w:val="21"/>
              </w:rPr>
            </w:pPr>
          </w:p>
        </w:tc>
        <w:tc>
          <w:tcPr>
            <w:tcW w:w="672" w:type="dxa"/>
          </w:tcPr>
          <w:p w14:paraId="583EA9C9">
            <w:pPr>
              <w:spacing w:line="360" w:lineRule="auto"/>
              <w:jc w:val="center"/>
              <w:rPr>
                <w:szCs w:val="21"/>
              </w:rPr>
            </w:pPr>
          </w:p>
        </w:tc>
      </w:tr>
      <w:tr w14:paraId="0D59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67845C37">
            <w:pPr>
              <w:spacing w:line="360" w:lineRule="auto"/>
              <w:jc w:val="center"/>
              <w:rPr>
                <w:szCs w:val="21"/>
              </w:rPr>
            </w:pPr>
          </w:p>
        </w:tc>
        <w:tc>
          <w:tcPr>
            <w:tcW w:w="721" w:type="dxa"/>
          </w:tcPr>
          <w:p w14:paraId="3E071435">
            <w:pPr>
              <w:spacing w:line="360" w:lineRule="auto"/>
              <w:jc w:val="center"/>
              <w:rPr>
                <w:szCs w:val="21"/>
              </w:rPr>
            </w:pPr>
          </w:p>
        </w:tc>
        <w:tc>
          <w:tcPr>
            <w:tcW w:w="1105" w:type="dxa"/>
          </w:tcPr>
          <w:p w14:paraId="106483F2">
            <w:pPr>
              <w:spacing w:line="360" w:lineRule="auto"/>
              <w:jc w:val="center"/>
              <w:rPr>
                <w:szCs w:val="21"/>
              </w:rPr>
            </w:pPr>
          </w:p>
        </w:tc>
        <w:tc>
          <w:tcPr>
            <w:tcW w:w="1473" w:type="dxa"/>
          </w:tcPr>
          <w:p w14:paraId="6FE4B861">
            <w:pPr>
              <w:spacing w:line="360" w:lineRule="auto"/>
              <w:jc w:val="center"/>
              <w:rPr>
                <w:szCs w:val="21"/>
              </w:rPr>
            </w:pPr>
          </w:p>
        </w:tc>
        <w:tc>
          <w:tcPr>
            <w:tcW w:w="886" w:type="dxa"/>
          </w:tcPr>
          <w:p w14:paraId="37B832C2">
            <w:pPr>
              <w:spacing w:line="360" w:lineRule="auto"/>
              <w:jc w:val="center"/>
              <w:rPr>
                <w:szCs w:val="21"/>
              </w:rPr>
            </w:pPr>
          </w:p>
        </w:tc>
        <w:tc>
          <w:tcPr>
            <w:tcW w:w="1814" w:type="dxa"/>
          </w:tcPr>
          <w:p w14:paraId="5E7CDA5C">
            <w:pPr>
              <w:spacing w:line="360" w:lineRule="auto"/>
              <w:jc w:val="center"/>
              <w:rPr>
                <w:szCs w:val="21"/>
              </w:rPr>
            </w:pPr>
          </w:p>
        </w:tc>
        <w:tc>
          <w:tcPr>
            <w:tcW w:w="1204" w:type="dxa"/>
          </w:tcPr>
          <w:p w14:paraId="40FDB6C7">
            <w:pPr>
              <w:spacing w:line="360" w:lineRule="auto"/>
              <w:jc w:val="center"/>
              <w:rPr>
                <w:szCs w:val="21"/>
              </w:rPr>
            </w:pPr>
          </w:p>
        </w:tc>
        <w:tc>
          <w:tcPr>
            <w:tcW w:w="672" w:type="dxa"/>
          </w:tcPr>
          <w:p w14:paraId="18B5B670">
            <w:pPr>
              <w:spacing w:line="360" w:lineRule="auto"/>
              <w:jc w:val="center"/>
              <w:rPr>
                <w:szCs w:val="21"/>
              </w:rPr>
            </w:pPr>
          </w:p>
        </w:tc>
      </w:tr>
      <w:tr w14:paraId="7DF05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0C7FEA38">
            <w:pPr>
              <w:spacing w:line="360" w:lineRule="auto"/>
              <w:jc w:val="center"/>
              <w:rPr>
                <w:szCs w:val="21"/>
              </w:rPr>
            </w:pPr>
          </w:p>
        </w:tc>
        <w:tc>
          <w:tcPr>
            <w:tcW w:w="721" w:type="dxa"/>
          </w:tcPr>
          <w:p w14:paraId="42681C1B">
            <w:pPr>
              <w:spacing w:line="360" w:lineRule="auto"/>
              <w:jc w:val="center"/>
              <w:rPr>
                <w:szCs w:val="21"/>
              </w:rPr>
            </w:pPr>
          </w:p>
        </w:tc>
        <w:tc>
          <w:tcPr>
            <w:tcW w:w="1105" w:type="dxa"/>
          </w:tcPr>
          <w:p w14:paraId="2D70CABC">
            <w:pPr>
              <w:spacing w:line="360" w:lineRule="auto"/>
              <w:jc w:val="center"/>
              <w:rPr>
                <w:szCs w:val="21"/>
              </w:rPr>
            </w:pPr>
          </w:p>
        </w:tc>
        <w:tc>
          <w:tcPr>
            <w:tcW w:w="1473" w:type="dxa"/>
          </w:tcPr>
          <w:p w14:paraId="49BE51B5">
            <w:pPr>
              <w:spacing w:line="360" w:lineRule="auto"/>
              <w:jc w:val="center"/>
              <w:rPr>
                <w:szCs w:val="21"/>
              </w:rPr>
            </w:pPr>
          </w:p>
        </w:tc>
        <w:tc>
          <w:tcPr>
            <w:tcW w:w="886" w:type="dxa"/>
          </w:tcPr>
          <w:p w14:paraId="1909DA7A">
            <w:pPr>
              <w:spacing w:line="360" w:lineRule="auto"/>
              <w:jc w:val="center"/>
              <w:rPr>
                <w:szCs w:val="21"/>
              </w:rPr>
            </w:pPr>
          </w:p>
        </w:tc>
        <w:tc>
          <w:tcPr>
            <w:tcW w:w="1814" w:type="dxa"/>
          </w:tcPr>
          <w:p w14:paraId="1F630F11">
            <w:pPr>
              <w:spacing w:line="360" w:lineRule="auto"/>
              <w:jc w:val="center"/>
              <w:rPr>
                <w:szCs w:val="21"/>
              </w:rPr>
            </w:pPr>
          </w:p>
        </w:tc>
        <w:tc>
          <w:tcPr>
            <w:tcW w:w="1204" w:type="dxa"/>
          </w:tcPr>
          <w:p w14:paraId="4ABB709E">
            <w:pPr>
              <w:spacing w:line="360" w:lineRule="auto"/>
              <w:jc w:val="center"/>
              <w:rPr>
                <w:szCs w:val="21"/>
              </w:rPr>
            </w:pPr>
          </w:p>
        </w:tc>
        <w:tc>
          <w:tcPr>
            <w:tcW w:w="672" w:type="dxa"/>
          </w:tcPr>
          <w:p w14:paraId="7D1AEBBE">
            <w:pPr>
              <w:spacing w:line="360" w:lineRule="auto"/>
              <w:jc w:val="center"/>
              <w:rPr>
                <w:szCs w:val="21"/>
              </w:rPr>
            </w:pPr>
          </w:p>
        </w:tc>
      </w:tr>
      <w:tr w14:paraId="3B217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14:paraId="3BE23DCF">
            <w:pPr>
              <w:spacing w:line="360" w:lineRule="auto"/>
              <w:jc w:val="center"/>
              <w:rPr>
                <w:szCs w:val="21"/>
              </w:rPr>
            </w:pPr>
          </w:p>
        </w:tc>
        <w:tc>
          <w:tcPr>
            <w:tcW w:w="721" w:type="dxa"/>
          </w:tcPr>
          <w:p w14:paraId="614E1D86">
            <w:pPr>
              <w:spacing w:line="360" w:lineRule="auto"/>
              <w:jc w:val="center"/>
              <w:rPr>
                <w:szCs w:val="21"/>
              </w:rPr>
            </w:pPr>
          </w:p>
        </w:tc>
        <w:tc>
          <w:tcPr>
            <w:tcW w:w="1105" w:type="dxa"/>
          </w:tcPr>
          <w:p w14:paraId="263F6757">
            <w:pPr>
              <w:spacing w:line="360" w:lineRule="auto"/>
              <w:jc w:val="center"/>
              <w:rPr>
                <w:szCs w:val="21"/>
              </w:rPr>
            </w:pPr>
          </w:p>
        </w:tc>
        <w:tc>
          <w:tcPr>
            <w:tcW w:w="1473" w:type="dxa"/>
          </w:tcPr>
          <w:p w14:paraId="2F471847">
            <w:pPr>
              <w:spacing w:line="360" w:lineRule="auto"/>
              <w:jc w:val="center"/>
              <w:rPr>
                <w:szCs w:val="21"/>
              </w:rPr>
            </w:pPr>
          </w:p>
        </w:tc>
        <w:tc>
          <w:tcPr>
            <w:tcW w:w="886" w:type="dxa"/>
          </w:tcPr>
          <w:p w14:paraId="6B765744">
            <w:pPr>
              <w:spacing w:line="360" w:lineRule="auto"/>
              <w:jc w:val="center"/>
              <w:rPr>
                <w:szCs w:val="21"/>
              </w:rPr>
            </w:pPr>
          </w:p>
        </w:tc>
        <w:tc>
          <w:tcPr>
            <w:tcW w:w="1814" w:type="dxa"/>
          </w:tcPr>
          <w:p w14:paraId="6CCAFEBF">
            <w:pPr>
              <w:spacing w:line="360" w:lineRule="auto"/>
              <w:jc w:val="center"/>
              <w:rPr>
                <w:szCs w:val="21"/>
              </w:rPr>
            </w:pPr>
          </w:p>
        </w:tc>
        <w:tc>
          <w:tcPr>
            <w:tcW w:w="1204" w:type="dxa"/>
          </w:tcPr>
          <w:p w14:paraId="27336BF3">
            <w:pPr>
              <w:spacing w:line="360" w:lineRule="auto"/>
              <w:jc w:val="center"/>
              <w:rPr>
                <w:szCs w:val="21"/>
              </w:rPr>
            </w:pPr>
          </w:p>
        </w:tc>
        <w:tc>
          <w:tcPr>
            <w:tcW w:w="672" w:type="dxa"/>
          </w:tcPr>
          <w:p w14:paraId="1E6F93BC">
            <w:pPr>
              <w:spacing w:line="360" w:lineRule="auto"/>
              <w:jc w:val="center"/>
              <w:rPr>
                <w:szCs w:val="21"/>
              </w:rPr>
            </w:pPr>
          </w:p>
        </w:tc>
      </w:tr>
    </w:tbl>
    <w:p w14:paraId="195FCB6E">
      <w:pPr>
        <w:pStyle w:val="2"/>
        <w:spacing w:line="360" w:lineRule="auto"/>
        <w:jc w:val="center"/>
        <w:rPr>
          <w:sz w:val="23"/>
          <w:szCs w:val="23"/>
        </w:rPr>
      </w:pPr>
      <w:bookmarkStart w:id="567" w:name="_Toc152042594"/>
      <w:bookmarkStart w:id="568" w:name="_Toc152045805"/>
      <w:bookmarkStart w:id="569" w:name="_Toc300835232"/>
      <w:bookmarkStart w:id="570" w:name="_Toc179632825"/>
      <w:bookmarkStart w:id="571" w:name="_Toc144974873"/>
      <w:r>
        <w:t>（</w:t>
      </w:r>
      <w:r>
        <w:rPr>
          <w:rFonts w:hint="eastAsia"/>
        </w:rPr>
        <w:t>九</w:t>
      </w:r>
      <w:r>
        <w:t>）主要人员简历表</w:t>
      </w:r>
      <w:bookmarkEnd w:id="567"/>
      <w:bookmarkEnd w:id="568"/>
      <w:bookmarkEnd w:id="569"/>
      <w:bookmarkEnd w:id="570"/>
      <w:bookmarkEnd w:id="571"/>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771"/>
        <w:gridCol w:w="1261"/>
        <w:gridCol w:w="2297"/>
      </w:tblGrid>
      <w:tr w14:paraId="68C00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3DCC47FC">
            <w:pPr>
              <w:spacing w:line="360" w:lineRule="auto"/>
              <w:jc w:val="center"/>
              <w:rPr>
                <w:rFonts w:ascii="宋体" w:hAnsi="宋体"/>
                <w:szCs w:val="21"/>
              </w:rPr>
            </w:pPr>
            <w:r>
              <w:rPr>
                <w:rFonts w:ascii="宋体" w:hAnsi="宋体"/>
                <w:szCs w:val="21"/>
              </w:rPr>
              <w:t>姓  名</w:t>
            </w:r>
          </w:p>
        </w:tc>
        <w:tc>
          <w:tcPr>
            <w:tcW w:w="1079" w:type="dxa"/>
            <w:gridSpan w:val="2"/>
            <w:vAlign w:val="center"/>
          </w:tcPr>
          <w:p w14:paraId="57CFC582">
            <w:pPr>
              <w:spacing w:line="360" w:lineRule="auto"/>
              <w:jc w:val="center"/>
              <w:rPr>
                <w:rFonts w:ascii="宋体" w:hAnsi="宋体"/>
                <w:szCs w:val="21"/>
              </w:rPr>
            </w:pPr>
          </w:p>
        </w:tc>
        <w:tc>
          <w:tcPr>
            <w:tcW w:w="927" w:type="dxa"/>
            <w:vAlign w:val="center"/>
          </w:tcPr>
          <w:p w14:paraId="6CD8DBAA">
            <w:pPr>
              <w:spacing w:line="360" w:lineRule="auto"/>
              <w:jc w:val="center"/>
              <w:rPr>
                <w:rFonts w:ascii="宋体" w:hAnsi="宋体"/>
                <w:szCs w:val="21"/>
              </w:rPr>
            </w:pPr>
            <w:r>
              <w:rPr>
                <w:rFonts w:ascii="宋体" w:hAnsi="宋体"/>
                <w:szCs w:val="21"/>
              </w:rPr>
              <w:t>年 龄</w:t>
            </w:r>
          </w:p>
        </w:tc>
        <w:tc>
          <w:tcPr>
            <w:tcW w:w="1771" w:type="dxa"/>
            <w:vAlign w:val="center"/>
          </w:tcPr>
          <w:p w14:paraId="678F1FE9">
            <w:pPr>
              <w:spacing w:line="360" w:lineRule="auto"/>
              <w:jc w:val="center"/>
              <w:rPr>
                <w:rFonts w:ascii="宋体" w:hAnsi="宋体"/>
                <w:szCs w:val="21"/>
              </w:rPr>
            </w:pPr>
          </w:p>
        </w:tc>
        <w:tc>
          <w:tcPr>
            <w:tcW w:w="1261" w:type="dxa"/>
            <w:vMerge w:val="restart"/>
            <w:vAlign w:val="center"/>
          </w:tcPr>
          <w:p w14:paraId="4D786510">
            <w:pPr>
              <w:spacing w:line="360" w:lineRule="auto"/>
              <w:jc w:val="center"/>
              <w:rPr>
                <w:rFonts w:ascii="宋体" w:hAnsi="宋体"/>
                <w:szCs w:val="21"/>
              </w:rPr>
            </w:pPr>
            <w:r>
              <w:rPr>
                <w:rFonts w:ascii="宋体" w:hAnsi="宋体"/>
                <w:szCs w:val="21"/>
              </w:rPr>
              <w:t>拟在本合同任职</w:t>
            </w:r>
          </w:p>
        </w:tc>
        <w:tc>
          <w:tcPr>
            <w:tcW w:w="2297" w:type="dxa"/>
            <w:vMerge w:val="restart"/>
            <w:vAlign w:val="center"/>
          </w:tcPr>
          <w:p w14:paraId="7AD4F409">
            <w:pPr>
              <w:spacing w:line="360" w:lineRule="auto"/>
              <w:jc w:val="center"/>
              <w:rPr>
                <w:rFonts w:ascii="宋体" w:hAnsi="宋体"/>
                <w:szCs w:val="21"/>
              </w:rPr>
            </w:pPr>
          </w:p>
        </w:tc>
      </w:tr>
      <w:tr w14:paraId="2B3BE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3CC1282A">
            <w:pPr>
              <w:spacing w:line="360" w:lineRule="auto"/>
              <w:jc w:val="center"/>
              <w:rPr>
                <w:rFonts w:ascii="宋体" w:hAnsi="宋体"/>
                <w:szCs w:val="21"/>
              </w:rPr>
            </w:pPr>
            <w:r>
              <w:rPr>
                <w:rFonts w:ascii="宋体" w:hAnsi="宋体"/>
                <w:szCs w:val="21"/>
              </w:rPr>
              <w:t>职  称</w:t>
            </w:r>
          </w:p>
        </w:tc>
        <w:tc>
          <w:tcPr>
            <w:tcW w:w="1079" w:type="dxa"/>
            <w:gridSpan w:val="2"/>
            <w:vAlign w:val="center"/>
          </w:tcPr>
          <w:p w14:paraId="72D392BD">
            <w:pPr>
              <w:spacing w:line="360" w:lineRule="auto"/>
              <w:jc w:val="center"/>
              <w:rPr>
                <w:rFonts w:ascii="宋体" w:hAnsi="宋体"/>
                <w:szCs w:val="21"/>
              </w:rPr>
            </w:pPr>
          </w:p>
        </w:tc>
        <w:tc>
          <w:tcPr>
            <w:tcW w:w="927" w:type="dxa"/>
            <w:vAlign w:val="center"/>
          </w:tcPr>
          <w:p w14:paraId="00B0BCFF">
            <w:pPr>
              <w:spacing w:line="360" w:lineRule="auto"/>
              <w:jc w:val="center"/>
              <w:rPr>
                <w:rFonts w:ascii="宋体" w:hAnsi="宋体"/>
                <w:szCs w:val="21"/>
              </w:rPr>
            </w:pPr>
            <w:r>
              <w:rPr>
                <w:rFonts w:ascii="宋体" w:hAnsi="宋体"/>
                <w:szCs w:val="21"/>
              </w:rPr>
              <w:t>职 务</w:t>
            </w:r>
          </w:p>
        </w:tc>
        <w:tc>
          <w:tcPr>
            <w:tcW w:w="1771" w:type="dxa"/>
            <w:vAlign w:val="center"/>
          </w:tcPr>
          <w:p w14:paraId="2DE824A4">
            <w:pPr>
              <w:spacing w:line="360" w:lineRule="auto"/>
              <w:jc w:val="center"/>
              <w:rPr>
                <w:rFonts w:ascii="宋体" w:hAnsi="宋体"/>
                <w:szCs w:val="21"/>
              </w:rPr>
            </w:pPr>
          </w:p>
        </w:tc>
        <w:tc>
          <w:tcPr>
            <w:tcW w:w="1261" w:type="dxa"/>
            <w:vMerge w:val="continue"/>
            <w:vAlign w:val="center"/>
          </w:tcPr>
          <w:p w14:paraId="63601FFA">
            <w:pPr>
              <w:spacing w:line="360" w:lineRule="auto"/>
              <w:jc w:val="center"/>
              <w:rPr>
                <w:rFonts w:ascii="宋体" w:hAnsi="宋体"/>
                <w:szCs w:val="21"/>
              </w:rPr>
            </w:pPr>
          </w:p>
        </w:tc>
        <w:tc>
          <w:tcPr>
            <w:tcW w:w="2297" w:type="dxa"/>
            <w:vMerge w:val="continue"/>
            <w:vAlign w:val="center"/>
          </w:tcPr>
          <w:p w14:paraId="73E1F777">
            <w:pPr>
              <w:spacing w:line="360" w:lineRule="auto"/>
              <w:jc w:val="center"/>
              <w:rPr>
                <w:rFonts w:ascii="宋体" w:hAnsi="宋体"/>
                <w:szCs w:val="21"/>
              </w:rPr>
            </w:pPr>
          </w:p>
        </w:tc>
      </w:tr>
      <w:tr w14:paraId="2E28B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702AF444">
            <w:pPr>
              <w:spacing w:line="360" w:lineRule="auto"/>
              <w:jc w:val="center"/>
              <w:rPr>
                <w:rFonts w:ascii="宋体" w:hAnsi="宋体"/>
                <w:szCs w:val="21"/>
              </w:rPr>
            </w:pPr>
            <w:r>
              <w:rPr>
                <w:rFonts w:ascii="宋体" w:hAnsi="宋体"/>
                <w:szCs w:val="21"/>
              </w:rPr>
              <w:t>毕业学校</w:t>
            </w:r>
          </w:p>
        </w:tc>
        <w:tc>
          <w:tcPr>
            <w:tcW w:w="7335" w:type="dxa"/>
            <w:gridSpan w:val="6"/>
          </w:tcPr>
          <w:p w14:paraId="55AF8D88">
            <w:pPr>
              <w:spacing w:line="360" w:lineRule="auto"/>
              <w:ind w:firstLine="945" w:firstLineChars="450"/>
              <w:rPr>
                <w:rFonts w:ascii="宋体" w:hAnsi="宋体"/>
                <w:szCs w:val="21"/>
              </w:rPr>
            </w:pPr>
            <w:r>
              <w:rPr>
                <w:rFonts w:ascii="宋体" w:hAnsi="宋体"/>
                <w:szCs w:val="21"/>
              </w:rPr>
              <w:t>年毕业于            学校        专业</w:t>
            </w:r>
          </w:p>
        </w:tc>
      </w:tr>
      <w:tr w14:paraId="0DBA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7"/>
            <w:vAlign w:val="center"/>
          </w:tcPr>
          <w:p w14:paraId="5289FE36">
            <w:pPr>
              <w:spacing w:line="360" w:lineRule="auto"/>
              <w:rPr>
                <w:rFonts w:ascii="宋体" w:hAnsi="宋体"/>
                <w:szCs w:val="21"/>
              </w:rPr>
            </w:pPr>
            <w:r>
              <w:rPr>
                <w:rFonts w:ascii="宋体" w:hAnsi="宋体"/>
                <w:szCs w:val="21"/>
              </w:rPr>
              <w:t>主要工作经历</w:t>
            </w:r>
            <w:r>
              <w:rPr>
                <w:rFonts w:hint="eastAsia" w:ascii="宋体" w:hAnsi="宋体"/>
                <w:szCs w:val="21"/>
              </w:rPr>
              <w:t>：</w:t>
            </w:r>
          </w:p>
        </w:tc>
      </w:tr>
      <w:tr w14:paraId="42EA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14:paraId="3C5BC812">
            <w:pPr>
              <w:spacing w:line="360" w:lineRule="auto"/>
              <w:ind w:firstLine="210" w:firstLineChars="100"/>
              <w:rPr>
                <w:rFonts w:ascii="宋体" w:hAnsi="宋体"/>
                <w:szCs w:val="21"/>
              </w:rPr>
            </w:pPr>
            <w:r>
              <w:rPr>
                <w:rFonts w:ascii="宋体" w:hAnsi="宋体"/>
                <w:szCs w:val="21"/>
              </w:rPr>
              <w:t>时  间</w:t>
            </w:r>
          </w:p>
        </w:tc>
        <w:tc>
          <w:tcPr>
            <w:tcW w:w="3420" w:type="dxa"/>
            <w:gridSpan w:val="3"/>
            <w:vAlign w:val="center"/>
          </w:tcPr>
          <w:p w14:paraId="5805F29F">
            <w:pPr>
              <w:spacing w:line="360" w:lineRule="auto"/>
              <w:ind w:firstLine="630" w:firstLineChars="300"/>
              <w:rPr>
                <w:rFonts w:ascii="宋体" w:hAnsi="宋体"/>
                <w:szCs w:val="21"/>
              </w:rPr>
            </w:pPr>
            <w:r>
              <w:rPr>
                <w:rFonts w:ascii="宋体" w:hAnsi="宋体"/>
                <w:szCs w:val="21"/>
              </w:rPr>
              <w:t>参加过的类似项目</w:t>
            </w:r>
          </w:p>
        </w:tc>
        <w:tc>
          <w:tcPr>
            <w:tcW w:w="1261" w:type="dxa"/>
            <w:vAlign w:val="center"/>
          </w:tcPr>
          <w:p w14:paraId="08D2C311">
            <w:pPr>
              <w:spacing w:line="360" w:lineRule="auto"/>
              <w:rPr>
                <w:rFonts w:ascii="宋体" w:hAnsi="宋体"/>
                <w:szCs w:val="21"/>
              </w:rPr>
            </w:pPr>
            <w:r>
              <w:rPr>
                <w:rFonts w:ascii="宋体" w:hAnsi="宋体"/>
                <w:szCs w:val="21"/>
              </w:rPr>
              <w:t>担任职务</w:t>
            </w:r>
          </w:p>
        </w:tc>
        <w:tc>
          <w:tcPr>
            <w:tcW w:w="2297" w:type="dxa"/>
            <w:vAlign w:val="center"/>
          </w:tcPr>
          <w:p w14:paraId="313B83BB">
            <w:pPr>
              <w:spacing w:line="360" w:lineRule="auto"/>
              <w:ind w:firstLine="210" w:firstLineChars="100"/>
              <w:rPr>
                <w:rFonts w:ascii="宋体" w:hAnsi="宋体"/>
                <w:szCs w:val="21"/>
              </w:rPr>
            </w:pPr>
            <w:r>
              <w:rPr>
                <w:rFonts w:ascii="宋体" w:hAnsi="宋体"/>
                <w:szCs w:val="21"/>
              </w:rPr>
              <w:t>发包人及联系电话</w:t>
            </w:r>
          </w:p>
        </w:tc>
      </w:tr>
      <w:tr w14:paraId="16F7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6E793DBC">
            <w:pPr>
              <w:spacing w:line="360" w:lineRule="auto"/>
              <w:rPr>
                <w:rFonts w:eastAsia="黑体"/>
                <w:szCs w:val="21"/>
              </w:rPr>
            </w:pPr>
          </w:p>
        </w:tc>
        <w:tc>
          <w:tcPr>
            <w:tcW w:w="3420" w:type="dxa"/>
            <w:gridSpan w:val="3"/>
          </w:tcPr>
          <w:p w14:paraId="0CFDEB21">
            <w:pPr>
              <w:spacing w:line="360" w:lineRule="auto"/>
              <w:rPr>
                <w:rFonts w:eastAsia="黑体"/>
                <w:szCs w:val="21"/>
              </w:rPr>
            </w:pPr>
          </w:p>
        </w:tc>
        <w:tc>
          <w:tcPr>
            <w:tcW w:w="1261" w:type="dxa"/>
          </w:tcPr>
          <w:p w14:paraId="2B1D69A2">
            <w:pPr>
              <w:spacing w:line="360" w:lineRule="auto"/>
              <w:rPr>
                <w:rFonts w:eastAsia="黑体"/>
                <w:szCs w:val="21"/>
              </w:rPr>
            </w:pPr>
          </w:p>
        </w:tc>
        <w:tc>
          <w:tcPr>
            <w:tcW w:w="2297" w:type="dxa"/>
          </w:tcPr>
          <w:p w14:paraId="076B661D">
            <w:pPr>
              <w:spacing w:line="360" w:lineRule="auto"/>
              <w:rPr>
                <w:rFonts w:eastAsia="黑体"/>
                <w:szCs w:val="21"/>
              </w:rPr>
            </w:pPr>
          </w:p>
        </w:tc>
      </w:tr>
      <w:tr w14:paraId="4A197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2B858345">
            <w:pPr>
              <w:spacing w:line="360" w:lineRule="auto"/>
              <w:rPr>
                <w:rFonts w:eastAsia="黑体"/>
                <w:szCs w:val="21"/>
              </w:rPr>
            </w:pPr>
          </w:p>
        </w:tc>
        <w:tc>
          <w:tcPr>
            <w:tcW w:w="3420" w:type="dxa"/>
            <w:gridSpan w:val="3"/>
          </w:tcPr>
          <w:p w14:paraId="27898BB8">
            <w:pPr>
              <w:spacing w:line="360" w:lineRule="auto"/>
              <w:rPr>
                <w:rFonts w:eastAsia="黑体"/>
                <w:szCs w:val="21"/>
              </w:rPr>
            </w:pPr>
          </w:p>
        </w:tc>
        <w:tc>
          <w:tcPr>
            <w:tcW w:w="1261" w:type="dxa"/>
          </w:tcPr>
          <w:p w14:paraId="41B3FD75">
            <w:pPr>
              <w:spacing w:line="360" w:lineRule="auto"/>
              <w:rPr>
                <w:rFonts w:eastAsia="黑体"/>
                <w:szCs w:val="21"/>
              </w:rPr>
            </w:pPr>
          </w:p>
        </w:tc>
        <w:tc>
          <w:tcPr>
            <w:tcW w:w="2297" w:type="dxa"/>
          </w:tcPr>
          <w:p w14:paraId="592ECECB">
            <w:pPr>
              <w:spacing w:line="360" w:lineRule="auto"/>
              <w:rPr>
                <w:rFonts w:eastAsia="黑体"/>
                <w:szCs w:val="21"/>
              </w:rPr>
            </w:pPr>
          </w:p>
        </w:tc>
      </w:tr>
      <w:tr w14:paraId="21194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056E4DF5">
            <w:pPr>
              <w:spacing w:line="360" w:lineRule="auto"/>
              <w:rPr>
                <w:rFonts w:eastAsia="黑体"/>
                <w:szCs w:val="21"/>
              </w:rPr>
            </w:pPr>
          </w:p>
        </w:tc>
        <w:tc>
          <w:tcPr>
            <w:tcW w:w="3420" w:type="dxa"/>
            <w:gridSpan w:val="3"/>
          </w:tcPr>
          <w:p w14:paraId="7CF6EEA5">
            <w:pPr>
              <w:spacing w:line="360" w:lineRule="auto"/>
              <w:rPr>
                <w:rFonts w:eastAsia="黑体"/>
                <w:szCs w:val="21"/>
              </w:rPr>
            </w:pPr>
          </w:p>
        </w:tc>
        <w:tc>
          <w:tcPr>
            <w:tcW w:w="1261" w:type="dxa"/>
          </w:tcPr>
          <w:p w14:paraId="780DD273">
            <w:pPr>
              <w:spacing w:line="360" w:lineRule="auto"/>
              <w:rPr>
                <w:rFonts w:eastAsia="黑体"/>
                <w:szCs w:val="21"/>
              </w:rPr>
            </w:pPr>
          </w:p>
        </w:tc>
        <w:tc>
          <w:tcPr>
            <w:tcW w:w="2297" w:type="dxa"/>
          </w:tcPr>
          <w:p w14:paraId="725839CC">
            <w:pPr>
              <w:spacing w:line="360" w:lineRule="auto"/>
              <w:rPr>
                <w:rFonts w:eastAsia="黑体"/>
                <w:szCs w:val="21"/>
              </w:rPr>
            </w:pPr>
          </w:p>
        </w:tc>
      </w:tr>
      <w:tr w14:paraId="4051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02A77B1F">
            <w:pPr>
              <w:spacing w:line="360" w:lineRule="auto"/>
              <w:rPr>
                <w:rFonts w:eastAsia="黑体"/>
                <w:szCs w:val="21"/>
              </w:rPr>
            </w:pPr>
          </w:p>
        </w:tc>
        <w:tc>
          <w:tcPr>
            <w:tcW w:w="3420" w:type="dxa"/>
            <w:gridSpan w:val="3"/>
            <w:vAlign w:val="center"/>
          </w:tcPr>
          <w:p w14:paraId="568A5718">
            <w:pPr>
              <w:spacing w:line="360" w:lineRule="auto"/>
              <w:rPr>
                <w:rFonts w:eastAsia="黑体"/>
                <w:szCs w:val="21"/>
              </w:rPr>
            </w:pPr>
          </w:p>
        </w:tc>
        <w:tc>
          <w:tcPr>
            <w:tcW w:w="1261" w:type="dxa"/>
            <w:vAlign w:val="center"/>
          </w:tcPr>
          <w:p w14:paraId="3439D239">
            <w:pPr>
              <w:spacing w:line="360" w:lineRule="auto"/>
              <w:rPr>
                <w:rFonts w:eastAsia="黑体"/>
                <w:szCs w:val="21"/>
              </w:rPr>
            </w:pPr>
          </w:p>
        </w:tc>
        <w:tc>
          <w:tcPr>
            <w:tcW w:w="2297" w:type="dxa"/>
            <w:vAlign w:val="center"/>
          </w:tcPr>
          <w:p w14:paraId="31500C47">
            <w:pPr>
              <w:spacing w:line="360" w:lineRule="auto"/>
              <w:rPr>
                <w:rFonts w:eastAsia="黑体"/>
                <w:szCs w:val="21"/>
              </w:rPr>
            </w:pPr>
          </w:p>
        </w:tc>
      </w:tr>
      <w:tr w14:paraId="20CE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67BD60F6">
            <w:pPr>
              <w:spacing w:line="360" w:lineRule="auto"/>
              <w:rPr>
                <w:rFonts w:eastAsia="黑体"/>
                <w:szCs w:val="21"/>
              </w:rPr>
            </w:pPr>
          </w:p>
        </w:tc>
        <w:tc>
          <w:tcPr>
            <w:tcW w:w="3420" w:type="dxa"/>
            <w:gridSpan w:val="3"/>
            <w:vAlign w:val="center"/>
          </w:tcPr>
          <w:p w14:paraId="14C6BAD0">
            <w:pPr>
              <w:spacing w:line="360" w:lineRule="auto"/>
              <w:rPr>
                <w:rFonts w:eastAsia="黑体"/>
                <w:szCs w:val="21"/>
              </w:rPr>
            </w:pPr>
          </w:p>
        </w:tc>
        <w:tc>
          <w:tcPr>
            <w:tcW w:w="1261" w:type="dxa"/>
            <w:vAlign w:val="center"/>
          </w:tcPr>
          <w:p w14:paraId="5FA21515">
            <w:pPr>
              <w:spacing w:line="360" w:lineRule="auto"/>
              <w:rPr>
                <w:rFonts w:eastAsia="黑体"/>
                <w:szCs w:val="21"/>
              </w:rPr>
            </w:pPr>
          </w:p>
        </w:tc>
        <w:tc>
          <w:tcPr>
            <w:tcW w:w="2297" w:type="dxa"/>
            <w:vAlign w:val="center"/>
          </w:tcPr>
          <w:p w14:paraId="298D1007">
            <w:pPr>
              <w:spacing w:line="360" w:lineRule="auto"/>
              <w:rPr>
                <w:rFonts w:eastAsia="黑体"/>
                <w:szCs w:val="21"/>
              </w:rPr>
            </w:pPr>
          </w:p>
        </w:tc>
      </w:tr>
      <w:bookmarkEnd w:id="550"/>
      <w:bookmarkEnd w:id="551"/>
      <w:bookmarkEnd w:id="552"/>
      <w:bookmarkEnd w:id="553"/>
      <w:bookmarkEnd w:id="554"/>
      <w:bookmarkEnd w:id="555"/>
    </w:tbl>
    <w:p w14:paraId="3EF3CD95">
      <w:pPr>
        <w:spacing w:line="360" w:lineRule="auto"/>
        <w:rPr>
          <w:rFonts w:ascii="宋体" w:hAnsi="宋体"/>
          <w:sz w:val="24"/>
        </w:rPr>
      </w:pPr>
      <w:r>
        <w:rPr>
          <w:rFonts w:hint="eastAsia" w:ascii="宋体" w:hAnsi="宋体" w:cs="宋体"/>
          <w:sz w:val="24"/>
        </w:rPr>
        <w:t>注：</w:t>
      </w:r>
      <w:r>
        <w:rPr>
          <w:rFonts w:hint="eastAsia" w:ascii="宋体" w:hAnsi="宋体" w:cs="宋体"/>
          <w:kern w:val="0"/>
          <w:sz w:val="24"/>
        </w:rPr>
        <w:t>（1）</w:t>
      </w:r>
      <w:r>
        <w:rPr>
          <w:rFonts w:hint="eastAsia" w:ascii="宋体" w:hAnsi="宋体"/>
          <w:sz w:val="24"/>
        </w:rPr>
        <w:t>项目经理设计负责人、施工负责人应附身份证、社保缴费证明和第二章投标人须知前附表1.4.1条规定的证书扫描件；其他人员应附身份证、社保缴费证明和第三章评标办法中规定的证书扫描件。</w:t>
      </w:r>
    </w:p>
    <w:p w14:paraId="30FF4A7E">
      <w:pPr>
        <w:tabs>
          <w:tab w:val="left" w:pos="0"/>
          <w:tab w:val="left" w:pos="1134"/>
        </w:tabs>
        <w:autoSpaceDE w:val="0"/>
        <w:autoSpaceDN w:val="0"/>
        <w:spacing w:line="360" w:lineRule="auto"/>
        <w:ind w:firstLine="480" w:firstLineChars="200"/>
        <w:jc w:val="left"/>
        <w:textAlignment w:val="bottom"/>
        <w:rPr>
          <w:rFonts w:ascii="宋体" w:hAnsi="宋体"/>
          <w:sz w:val="24"/>
        </w:rPr>
      </w:pPr>
      <w:r>
        <w:rPr>
          <w:rFonts w:hint="eastAsia" w:ascii="宋体" w:hAnsi="宋体" w:cs="宋体"/>
          <w:kern w:val="0"/>
          <w:sz w:val="24"/>
        </w:rPr>
        <w:t>（2）社保缴费证明是指，</w:t>
      </w:r>
      <w:r>
        <w:rPr>
          <w:rFonts w:hint="eastAsia" w:ascii="宋体" w:hAnsi="宋体"/>
          <w:sz w:val="24"/>
        </w:rPr>
        <w:t>由社保部门出具的主要人员在该投标人单位最近 6 个月连续缴费证明，从招标文件开始下载时间的上一个月或上上个月起算，往前推6个月的连续、不间断的缴费证明</w:t>
      </w:r>
      <w:r>
        <w:rPr>
          <w:rFonts w:hint="eastAsia"/>
        </w:rPr>
        <w:t>，</w:t>
      </w:r>
      <w:r>
        <w:rPr>
          <w:rFonts w:hint="eastAsia" w:ascii="宋体" w:hAnsi="宋体"/>
          <w:sz w:val="24"/>
        </w:rPr>
        <w:t>企业设立不足6个月的可少于6个月；退休</w:t>
      </w:r>
      <w:r>
        <w:rPr>
          <w:rFonts w:hint="eastAsia" w:ascii="宋体" w:hAnsi="宋体"/>
          <w:sz w:val="24"/>
          <w:lang w:val="en-US" w:eastAsia="zh-CN"/>
        </w:rPr>
        <w:t>人员</w:t>
      </w:r>
      <w:r>
        <w:rPr>
          <w:rFonts w:hint="eastAsia" w:ascii="宋体" w:hAnsi="宋体"/>
          <w:sz w:val="24"/>
        </w:rPr>
        <w:t>提供退休证明材料，无需提供社保缴费证明；新聘人员提供至少1个月在该投标人单位的社保缴费证明</w:t>
      </w:r>
      <w:r>
        <w:rPr>
          <w:rFonts w:hint="eastAsia" w:ascii="宋体" w:hAnsi="宋体"/>
          <w:sz w:val="24"/>
          <w:lang w:val="en-US" w:eastAsia="zh-CN"/>
        </w:rPr>
        <w:t>并</w:t>
      </w:r>
      <w:r>
        <w:rPr>
          <w:rFonts w:hint="eastAsia" w:ascii="宋体" w:hAnsi="宋体"/>
          <w:sz w:val="24"/>
        </w:rPr>
        <w:t xml:space="preserve">提供聘用合同。  </w:t>
      </w:r>
      <w:r>
        <w:rPr>
          <w:rFonts w:ascii="宋体" w:hAnsi="宋体"/>
          <w:sz w:val="24"/>
        </w:rPr>
        <w:t xml:space="preserve">    </w:t>
      </w:r>
    </w:p>
    <w:p w14:paraId="0DEACDD3">
      <w:pPr>
        <w:spacing w:line="360" w:lineRule="auto"/>
        <w:ind w:firstLine="360" w:firstLineChars="150"/>
        <w:rPr>
          <w:rFonts w:hint="eastAsia" w:ascii="宋体" w:hAnsi="宋体" w:cs="宋体"/>
          <w:kern w:val="0"/>
          <w:sz w:val="24"/>
        </w:rPr>
      </w:pPr>
      <w:r>
        <w:rPr>
          <w:rFonts w:hint="eastAsia" w:ascii="宋体" w:hAnsi="宋体"/>
          <w:sz w:val="24"/>
        </w:rPr>
        <w:t>（3）资格条件和评标办法中有其他要求的应按要求提供相关证明材料扫描件，未要求的可不提供。</w:t>
      </w:r>
      <w:r>
        <w:rPr>
          <w:rFonts w:hint="eastAsia" w:ascii="宋体" w:hAnsi="宋体" w:cs="宋体"/>
          <w:kern w:val="0"/>
          <w:sz w:val="24"/>
        </w:rPr>
        <w:t>若要求施工负责人业绩，则施工负责人业绩以竣工验收报告中载明的施工项目负责人为准。</w:t>
      </w:r>
    </w:p>
    <w:p w14:paraId="5DA7CE91">
      <w:pPr>
        <w:spacing w:line="360" w:lineRule="auto"/>
        <w:ind w:firstLine="360" w:firstLineChars="150"/>
        <w:rPr>
          <w:rFonts w:ascii="宋体" w:hAnsi="宋体"/>
          <w:sz w:val="24"/>
        </w:rPr>
      </w:pPr>
      <w:r>
        <w:rPr>
          <w:rFonts w:hint="eastAsia" w:ascii="宋体" w:hAnsi="宋体" w:cs="宋体"/>
          <w:kern w:val="0"/>
          <w:sz w:val="24"/>
          <w:lang w:eastAsia="zh-CN"/>
        </w:rPr>
        <w:t>（</w:t>
      </w:r>
      <w:r>
        <w:rPr>
          <w:rFonts w:hint="eastAsia" w:ascii="宋体" w:hAnsi="宋体" w:cs="宋体"/>
          <w:kern w:val="0"/>
          <w:sz w:val="24"/>
          <w:lang w:val="en-US" w:eastAsia="zh-CN"/>
        </w:rPr>
        <w:t>4</w:t>
      </w:r>
      <w:r>
        <w:rPr>
          <w:rFonts w:hint="eastAsia" w:ascii="宋体" w:hAnsi="宋体" w:cs="宋体"/>
          <w:kern w:val="0"/>
          <w:sz w:val="24"/>
          <w:lang w:eastAsia="zh-CN"/>
        </w:rPr>
        <w:t>）</w:t>
      </w:r>
      <w:r>
        <w:rPr>
          <w:rFonts w:hint="eastAsia" w:ascii="宋体" w:hAnsi="宋体" w:cs="宋体"/>
          <w:kern w:val="0"/>
          <w:sz w:val="24"/>
        </w:rPr>
        <w:t>使用电子注册证书的，其电子证书的有效性应符合有关规定。</w:t>
      </w:r>
    </w:p>
    <w:p w14:paraId="2317A57B">
      <w:pPr>
        <w:pStyle w:val="9"/>
        <w:spacing w:line="360" w:lineRule="auto"/>
        <w:ind w:firstLine="480" w:firstLineChars="200"/>
        <w:rPr>
          <w:rFonts w:ascii="宋体" w:hAnsi="宋体"/>
          <w:sz w:val="24"/>
        </w:rPr>
      </w:pPr>
    </w:p>
    <w:p w14:paraId="13C275E9">
      <w:pPr>
        <w:spacing w:line="360" w:lineRule="auto"/>
        <w:rPr>
          <w:rFonts w:ascii="宋体" w:hAnsi="宋体" w:cs="宋体"/>
          <w:sz w:val="24"/>
        </w:rPr>
      </w:pPr>
    </w:p>
    <w:p w14:paraId="775BBD4D">
      <w:pPr>
        <w:pStyle w:val="47"/>
        <w:tabs>
          <w:tab w:val="left" w:pos="0"/>
          <w:tab w:val="clear" w:pos="1843"/>
        </w:tabs>
        <w:autoSpaceDE w:val="0"/>
        <w:autoSpaceDN w:val="0"/>
        <w:adjustRightInd/>
        <w:spacing w:before="0" w:after="0" w:line="360" w:lineRule="auto"/>
        <w:ind w:left="0" w:right="0" w:rightChars="0" w:firstLine="240" w:firstLineChars="100"/>
        <w:jc w:val="left"/>
        <w:textAlignment w:val="bottom"/>
      </w:pPr>
      <w:r>
        <w:rPr>
          <w:rFonts w:hint="eastAsia"/>
        </w:rPr>
        <w:br w:type="page"/>
      </w:r>
    </w:p>
    <w:p w14:paraId="5B8A3777">
      <w:pPr>
        <w:pStyle w:val="4"/>
        <w:spacing w:line="360" w:lineRule="auto"/>
        <w:jc w:val="center"/>
        <w:rPr>
          <w:rFonts w:ascii="宋体" w:hAnsi="宋体" w:eastAsia="宋体"/>
          <w:bCs w:val="0"/>
          <w:kern w:val="44"/>
          <w:sz w:val="28"/>
          <w:szCs w:val="28"/>
        </w:rPr>
      </w:pPr>
      <w:bookmarkStart w:id="572" w:name="_Toc300835233"/>
      <w:bookmarkStart w:id="573" w:name="_Toc271821942"/>
      <w:r>
        <w:rPr>
          <w:rFonts w:hint="eastAsia" w:ascii="宋体" w:hAnsi="宋体" w:eastAsia="宋体"/>
          <w:bCs w:val="0"/>
          <w:kern w:val="44"/>
          <w:sz w:val="28"/>
          <w:szCs w:val="28"/>
        </w:rPr>
        <w:t>九、其他资料</w:t>
      </w:r>
      <w:bookmarkEnd w:id="572"/>
      <w:bookmarkEnd w:id="573"/>
    </w:p>
    <w:p w14:paraId="46F0A6E4">
      <w:pPr>
        <w:spacing w:line="360" w:lineRule="auto"/>
      </w:pPr>
    </w:p>
    <w:p w14:paraId="46E5B50D">
      <w:pPr>
        <w:pStyle w:val="9"/>
        <w:spacing w:line="360" w:lineRule="auto"/>
      </w:pPr>
    </w:p>
    <w:p w14:paraId="0ED07D8D">
      <w:pPr>
        <w:spacing w:line="360" w:lineRule="auto"/>
      </w:pPr>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8EBF0">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wps:spPr>
                    <wps:txbx>
                      <w:txbxContent>
                        <w:p w14:paraId="0242044A">
                          <w:pPr>
                            <w:pStyle w:val="15"/>
                          </w:pPr>
                          <w:r>
                            <w:rPr>
                              <w:rFonts w:hint="eastAsia"/>
                            </w:rPr>
                            <w:fldChar w:fldCharType="begin"/>
                          </w:r>
                          <w:r>
                            <w:rPr>
                              <w:rFonts w:hint="eastAsia"/>
                            </w:rPr>
                            <w:instrText xml:space="preserve"> PAGE  \* MERGEFORMAT </w:instrText>
                          </w:r>
                          <w:r>
                            <w:rPr>
                              <w:rFonts w:hint="eastAsia"/>
                            </w:rPr>
                            <w:fldChar w:fldCharType="separate"/>
                          </w:r>
                          <w:r>
                            <w:t>248</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SV0OXPAAAAAwEAAA8AAAAAAAAAAQAgAAAAIgAAAGRycy9kb3du&#10;cmV2LnhtbFBLAQIUABQAAAAIAIdO4kBj94eGCAIAAAIEAAAOAAAAAAAAAAEAIAAAAB4BAABkcnMv&#10;ZTJvRG9jLnhtbFBLBQYAAAAABgAGAFkBAACYBQAAAAA=&#10;">
              <v:fill on="f" focussize="0,0"/>
              <v:stroke on="f"/>
              <v:imagedata o:title=""/>
              <o:lock v:ext="edit" aspectratio="f"/>
              <v:textbox inset="0mm,0mm,0mm,0mm" style="mso-fit-shape-to-text:t;">
                <w:txbxContent>
                  <w:p w14:paraId="0242044A">
                    <w:pPr>
                      <w:pStyle w:val="15"/>
                    </w:pPr>
                    <w:r>
                      <w:rPr>
                        <w:rFonts w:hint="eastAsia"/>
                      </w:rPr>
                      <w:fldChar w:fldCharType="begin"/>
                    </w:r>
                    <w:r>
                      <w:rPr>
                        <w:rFonts w:hint="eastAsia"/>
                      </w:rPr>
                      <w:instrText xml:space="preserve"> PAGE  \* MERGEFORMAT </w:instrText>
                    </w:r>
                    <w:r>
                      <w:rPr>
                        <w:rFonts w:hint="eastAsia"/>
                      </w:rPr>
                      <w:fldChar w:fldCharType="separate"/>
                    </w:r>
                    <w:r>
                      <w:t>248</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7A933">
    <w:pPr>
      <w:pStyle w:val="15"/>
      <w:jc w:val="center"/>
      <w:rPr>
        <w:rFonts w:eastAsia="仿宋_GB2312"/>
        <w:sz w:val="24"/>
      </w:rPr>
    </w:pPr>
    <w:r>
      <w:rPr>
        <w:rFonts w:eastAsia="仿宋_GB2312"/>
        <w:sz w:val="24"/>
      </w:rPr>
      <w:fldChar w:fldCharType="begin"/>
    </w:r>
    <w:r>
      <w:rPr>
        <w:rFonts w:eastAsia="仿宋_GB2312"/>
        <w:sz w:val="24"/>
      </w:rPr>
      <w:instrText xml:space="preserve"> PAGE  \* MERGEFORMAT </w:instrText>
    </w:r>
    <w:r>
      <w:rPr>
        <w:rFonts w:eastAsia="仿宋_GB2312"/>
        <w:sz w:val="24"/>
      </w:rPr>
      <w:fldChar w:fldCharType="separate"/>
    </w:r>
    <w:r>
      <w:t>257</w:t>
    </w:r>
    <w:r>
      <w:rPr>
        <w:rFonts w:eastAsia="仿宋_GB2312"/>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FE20F">
    <w:pPr>
      <w:pStyle w:val="15"/>
    </w:pPr>
  </w:p>
  <w:p w14:paraId="6E1C6E4D"/>
  <w:p w14:paraId="42D2ED7C">
    <w:pPr>
      <w:pStyle w:val="15"/>
      <w:framePr w:wrap="around" w:vAnchor="text" w:hAnchor="margin" w:xAlign="center" w:y="1"/>
      <w:rPr>
        <w:rStyle w:val="26"/>
      </w:rPr>
    </w:pPr>
    <w:r>
      <w:fldChar w:fldCharType="begin"/>
    </w:r>
    <w:r>
      <w:rPr>
        <w:rStyle w:val="26"/>
      </w:rPr>
      <w:instrText xml:space="preserve">PAGE  </w:instrText>
    </w:r>
    <w:r>
      <w:fldChar w:fldCharType="separate"/>
    </w:r>
    <w:r>
      <w:rPr>
        <w:rStyle w:val="26"/>
      </w:rPr>
      <w:t>263</w:t>
    </w:r>
    <w:r>
      <w:fldChar w:fldCharType="end"/>
    </w:r>
  </w:p>
  <w:p w14:paraId="67626C99">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B1BA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8"/>
        <w:szCs w:val="8"/>
        <w:u w:val="none"/>
        <w:shd w:val="clear" w:color="auto" w:fill="auto"/>
        <w:lang w:val="zh-TW" w:eastAsia="zh-TW" w:bidi="zh-TW"/>
      </w:rPr>
    </w:lvl>
  </w:abstractNum>
  <w:abstractNum w:abstractNumId="1">
    <w:nsid w:val="A0527673"/>
    <w:multiLevelType w:val="singleLevel"/>
    <w:tmpl w:val="A0527673"/>
    <w:lvl w:ilvl="0" w:tentative="0">
      <w:start w:val="1"/>
      <w:numFmt w:val="decimal"/>
      <w:suff w:val="nothing"/>
      <w:lvlText w:val="（%1）"/>
      <w:lvlJc w:val="left"/>
    </w:lvl>
  </w:abstractNum>
  <w:abstractNum w:abstractNumId="2">
    <w:nsid w:val="A2D8042E"/>
    <w:multiLevelType w:val="singleLevel"/>
    <w:tmpl w:val="A2D8042E"/>
    <w:lvl w:ilvl="0" w:tentative="0">
      <w:start w:val="4"/>
      <w:numFmt w:val="decimal"/>
      <w:lvlText w:val="%1."/>
      <w:lvlJc w:val="left"/>
      <w:pPr>
        <w:tabs>
          <w:tab w:val="left" w:pos="312"/>
        </w:tabs>
      </w:pPr>
    </w:lvl>
  </w:abstractNum>
  <w:abstractNum w:abstractNumId="3">
    <w:nsid w:val="B595F631"/>
    <w:multiLevelType w:val="singleLevel"/>
    <w:tmpl w:val="B595F631"/>
    <w:lvl w:ilvl="0" w:tentative="0">
      <w:start w:val="5"/>
      <w:numFmt w:val="decimal"/>
      <w:suff w:val="space"/>
      <w:lvlText w:val="%1."/>
      <w:lvlJc w:val="left"/>
    </w:lvl>
  </w:abstractNum>
  <w:abstractNum w:abstractNumId="4">
    <w:nsid w:val="BF205925"/>
    <w:multiLevelType w:val="singleLevel"/>
    <w:tmpl w:val="BF205925"/>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8"/>
        <w:szCs w:val="8"/>
        <w:u w:val="none"/>
        <w:shd w:val="clear" w:color="auto" w:fill="auto"/>
        <w:lang w:val="zh-TW" w:eastAsia="zh-TW" w:bidi="zh-TW"/>
      </w:rPr>
    </w:lvl>
  </w:abstractNum>
  <w:abstractNum w:abstractNumId="5">
    <w:nsid w:val="2A8F537B"/>
    <w:multiLevelType w:val="singleLevel"/>
    <w:tmpl w:val="2A8F537B"/>
    <w:lvl w:ilvl="0" w:tentative="0">
      <w:start w:val="1"/>
      <w:numFmt w:val="decimal"/>
      <w:lvlText w:val="(%1)"/>
      <w:lvlJc w:val="left"/>
      <w:rPr>
        <w:rFonts w:ascii="宋体" w:hAnsi="宋体" w:eastAsia="宋体" w:cs="宋体"/>
        <w:b/>
        <w:bCs/>
        <w:i w:val="0"/>
        <w:iCs w:val="0"/>
        <w:smallCaps w:val="0"/>
        <w:strike w:val="0"/>
        <w:color w:val="000000"/>
        <w:spacing w:val="0"/>
        <w:w w:val="100"/>
        <w:position w:val="0"/>
        <w:sz w:val="8"/>
        <w:szCs w:val="8"/>
        <w:u w:val="none"/>
        <w:shd w:val="clear" w:color="auto" w:fill="auto"/>
        <w:lang w:val="zh-TW" w:eastAsia="zh-TW" w:bidi="zh-TW"/>
      </w:rPr>
    </w:lvl>
  </w:abstractNum>
  <w:abstractNum w:abstractNumId="6">
    <w:nsid w:val="63437903"/>
    <w:multiLevelType w:val="singleLevel"/>
    <w:tmpl w:val="63437903"/>
    <w:lvl w:ilvl="0" w:tentative="0">
      <w:start w:val="1"/>
      <w:numFmt w:val="decimal"/>
      <w:suff w:val="nothing"/>
      <w:lvlText w:val="%1．"/>
      <w:lvlJc w:val="left"/>
    </w:lvl>
  </w:abstractNum>
  <w:abstractNum w:abstractNumId="7">
    <w:nsid w:val="674951B2"/>
    <w:multiLevelType w:val="singleLevel"/>
    <w:tmpl w:val="674951B2"/>
    <w:lvl w:ilvl="0" w:tentative="0">
      <w:start w:val="7"/>
      <w:numFmt w:val="decimal"/>
      <w:suff w:val="nothing"/>
      <w:lvlText w:val="（%1）"/>
      <w:lvlJc w:val="left"/>
    </w:lvl>
  </w:abstractNum>
  <w:num w:numId="1">
    <w:abstractNumId w:val="3"/>
  </w:num>
  <w:num w:numId="2">
    <w:abstractNumId w:val="1"/>
  </w:num>
  <w:num w:numId="3">
    <w:abstractNumId w:val="4"/>
  </w:num>
  <w:num w:numId="4">
    <w:abstractNumId w:val="0"/>
  </w:num>
  <w:num w:numId="5">
    <w:abstractNumId w:val="5"/>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4Yjk1NWI3Y2Q4Y2QzYzYzOGFjZjVjNGY4OTA3YmQifQ=="/>
  </w:docVars>
  <w:rsids>
    <w:rsidRoot w:val="001B047B"/>
    <w:rsid w:val="000E6C40"/>
    <w:rsid w:val="0012212E"/>
    <w:rsid w:val="001A3262"/>
    <w:rsid w:val="001B047B"/>
    <w:rsid w:val="001C2CDA"/>
    <w:rsid w:val="00226639"/>
    <w:rsid w:val="002B6A28"/>
    <w:rsid w:val="00303487"/>
    <w:rsid w:val="00312578"/>
    <w:rsid w:val="00337E64"/>
    <w:rsid w:val="003417B0"/>
    <w:rsid w:val="00371B4C"/>
    <w:rsid w:val="0042278E"/>
    <w:rsid w:val="0044108F"/>
    <w:rsid w:val="0049011B"/>
    <w:rsid w:val="004B7F9E"/>
    <w:rsid w:val="004D33C8"/>
    <w:rsid w:val="00511F80"/>
    <w:rsid w:val="005B6950"/>
    <w:rsid w:val="005C6474"/>
    <w:rsid w:val="005E3641"/>
    <w:rsid w:val="005F0ABE"/>
    <w:rsid w:val="00601082"/>
    <w:rsid w:val="006129D5"/>
    <w:rsid w:val="00655ACF"/>
    <w:rsid w:val="006A22A8"/>
    <w:rsid w:val="006C35B9"/>
    <w:rsid w:val="006E2227"/>
    <w:rsid w:val="007046F6"/>
    <w:rsid w:val="007527AA"/>
    <w:rsid w:val="00752F73"/>
    <w:rsid w:val="007A400A"/>
    <w:rsid w:val="00803D98"/>
    <w:rsid w:val="00815FF8"/>
    <w:rsid w:val="00857C6A"/>
    <w:rsid w:val="0086463D"/>
    <w:rsid w:val="00864B28"/>
    <w:rsid w:val="008873DD"/>
    <w:rsid w:val="008B7BD1"/>
    <w:rsid w:val="008C7C2E"/>
    <w:rsid w:val="008D060B"/>
    <w:rsid w:val="0097360A"/>
    <w:rsid w:val="009A37CF"/>
    <w:rsid w:val="009A679D"/>
    <w:rsid w:val="009B10A5"/>
    <w:rsid w:val="00A2369F"/>
    <w:rsid w:val="00A43610"/>
    <w:rsid w:val="00A4448E"/>
    <w:rsid w:val="00A533AF"/>
    <w:rsid w:val="00A61545"/>
    <w:rsid w:val="00AC397D"/>
    <w:rsid w:val="00AE3BB1"/>
    <w:rsid w:val="00B0248D"/>
    <w:rsid w:val="00B3113D"/>
    <w:rsid w:val="00B61BAC"/>
    <w:rsid w:val="00B62E2B"/>
    <w:rsid w:val="00B76B01"/>
    <w:rsid w:val="00BB531C"/>
    <w:rsid w:val="00BD06DA"/>
    <w:rsid w:val="00BF1D54"/>
    <w:rsid w:val="00CA5B83"/>
    <w:rsid w:val="00D1225D"/>
    <w:rsid w:val="00D31D18"/>
    <w:rsid w:val="00D46B35"/>
    <w:rsid w:val="00D85B47"/>
    <w:rsid w:val="00DC4E5D"/>
    <w:rsid w:val="00DD183E"/>
    <w:rsid w:val="00E034B1"/>
    <w:rsid w:val="00E446C2"/>
    <w:rsid w:val="00ED4BCE"/>
    <w:rsid w:val="00F10D6E"/>
    <w:rsid w:val="00F8314F"/>
    <w:rsid w:val="00FD7671"/>
    <w:rsid w:val="00FE2139"/>
    <w:rsid w:val="03DA29F4"/>
    <w:rsid w:val="03F7617E"/>
    <w:rsid w:val="04355E97"/>
    <w:rsid w:val="051A12D9"/>
    <w:rsid w:val="0548177D"/>
    <w:rsid w:val="056033C6"/>
    <w:rsid w:val="056C3429"/>
    <w:rsid w:val="056C4768"/>
    <w:rsid w:val="057E3C56"/>
    <w:rsid w:val="060F5254"/>
    <w:rsid w:val="064C56F1"/>
    <w:rsid w:val="06673D8E"/>
    <w:rsid w:val="067D7D60"/>
    <w:rsid w:val="06D84FBE"/>
    <w:rsid w:val="079B592F"/>
    <w:rsid w:val="07A93FEC"/>
    <w:rsid w:val="07F038D4"/>
    <w:rsid w:val="08B149A2"/>
    <w:rsid w:val="08D928B3"/>
    <w:rsid w:val="090E7B6E"/>
    <w:rsid w:val="099B747A"/>
    <w:rsid w:val="09AC1E37"/>
    <w:rsid w:val="0A331C40"/>
    <w:rsid w:val="0A806622"/>
    <w:rsid w:val="0B4B2DCA"/>
    <w:rsid w:val="0B6E272C"/>
    <w:rsid w:val="0D177421"/>
    <w:rsid w:val="0E7F7E1E"/>
    <w:rsid w:val="0EC17856"/>
    <w:rsid w:val="0F22017D"/>
    <w:rsid w:val="100A45F3"/>
    <w:rsid w:val="101D1624"/>
    <w:rsid w:val="108B7EDB"/>
    <w:rsid w:val="111D284B"/>
    <w:rsid w:val="11E10A33"/>
    <w:rsid w:val="13E24D06"/>
    <w:rsid w:val="148F0A6E"/>
    <w:rsid w:val="15D1212D"/>
    <w:rsid w:val="160341BB"/>
    <w:rsid w:val="16AA412F"/>
    <w:rsid w:val="18252764"/>
    <w:rsid w:val="18410DB7"/>
    <w:rsid w:val="19A1393A"/>
    <w:rsid w:val="1A8F54AA"/>
    <w:rsid w:val="1B5A2BBD"/>
    <w:rsid w:val="1BD1049B"/>
    <w:rsid w:val="1C4E3DC7"/>
    <w:rsid w:val="1C5937F3"/>
    <w:rsid w:val="1D4119C8"/>
    <w:rsid w:val="1DA2595E"/>
    <w:rsid w:val="1E830638"/>
    <w:rsid w:val="1F387CAD"/>
    <w:rsid w:val="1F8829FE"/>
    <w:rsid w:val="21F80FA3"/>
    <w:rsid w:val="21FF3760"/>
    <w:rsid w:val="22485AE0"/>
    <w:rsid w:val="2282104B"/>
    <w:rsid w:val="2332769C"/>
    <w:rsid w:val="236F24CB"/>
    <w:rsid w:val="24723E71"/>
    <w:rsid w:val="25BF45EB"/>
    <w:rsid w:val="25D725DE"/>
    <w:rsid w:val="26166D56"/>
    <w:rsid w:val="261840DC"/>
    <w:rsid w:val="26672779"/>
    <w:rsid w:val="26F9037A"/>
    <w:rsid w:val="272E3950"/>
    <w:rsid w:val="27B03B80"/>
    <w:rsid w:val="288803FC"/>
    <w:rsid w:val="290B4767"/>
    <w:rsid w:val="2914634A"/>
    <w:rsid w:val="2A657E29"/>
    <w:rsid w:val="2A824A27"/>
    <w:rsid w:val="2A927C30"/>
    <w:rsid w:val="2AF54AD1"/>
    <w:rsid w:val="2C725C05"/>
    <w:rsid w:val="2CA10E9F"/>
    <w:rsid w:val="2D472CA6"/>
    <w:rsid w:val="2D913BC7"/>
    <w:rsid w:val="30267339"/>
    <w:rsid w:val="30694207"/>
    <w:rsid w:val="307E37EC"/>
    <w:rsid w:val="30E42256"/>
    <w:rsid w:val="31EB560B"/>
    <w:rsid w:val="32304AB4"/>
    <w:rsid w:val="33154D52"/>
    <w:rsid w:val="335A0E02"/>
    <w:rsid w:val="34DF74AB"/>
    <w:rsid w:val="357F475A"/>
    <w:rsid w:val="369F1D72"/>
    <w:rsid w:val="3703068B"/>
    <w:rsid w:val="37180E04"/>
    <w:rsid w:val="378B48FA"/>
    <w:rsid w:val="37CA5986"/>
    <w:rsid w:val="380221C8"/>
    <w:rsid w:val="38C22352"/>
    <w:rsid w:val="38EA4632"/>
    <w:rsid w:val="39C104AB"/>
    <w:rsid w:val="3A297FA2"/>
    <w:rsid w:val="3A2C499D"/>
    <w:rsid w:val="3A412E4E"/>
    <w:rsid w:val="3A686985"/>
    <w:rsid w:val="3A987C2E"/>
    <w:rsid w:val="3A9B69B4"/>
    <w:rsid w:val="3D4C296C"/>
    <w:rsid w:val="3D6A62BF"/>
    <w:rsid w:val="3E172401"/>
    <w:rsid w:val="3E702718"/>
    <w:rsid w:val="3F331F5D"/>
    <w:rsid w:val="3F6E0E65"/>
    <w:rsid w:val="3F872C9F"/>
    <w:rsid w:val="3F943CCC"/>
    <w:rsid w:val="3FD97AF9"/>
    <w:rsid w:val="3FFF24CD"/>
    <w:rsid w:val="40400442"/>
    <w:rsid w:val="419470E6"/>
    <w:rsid w:val="41A7248A"/>
    <w:rsid w:val="41B91773"/>
    <w:rsid w:val="41BB10C7"/>
    <w:rsid w:val="41C81001"/>
    <w:rsid w:val="41F12C96"/>
    <w:rsid w:val="421E2360"/>
    <w:rsid w:val="42BF7E2C"/>
    <w:rsid w:val="43AF3B34"/>
    <w:rsid w:val="43F2254E"/>
    <w:rsid w:val="44DA4647"/>
    <w:rsid w:val="44F64637"/>
    <w:rsid w:val="450F2173"/>
    <w:rsid w:val="45900CAA"/>
    <w:rsid w:val="45957DEF"/>
    <w:rsid w:val="45CA6392"/>
    <w:rsid w:val="46564081"/>
    <w:rsid w:val="4677264E"/>
    <w:rsid w:val="47973F1D"/>
    <w:rsid w:val="47D57A8E"/>
    <w:rsid w:val="4962344A"/>
    <w:rsid w:val="4A2F7AED"/>
    <w:rsid w:val="4A354F7B"/>
    <w:rsid w:val="4ABF5E26"/>
    <w:rsid w:val="4AE66E99"/>
    <w:rsid w:val="4B1776EB"/>
    <w:rsid w:val="4B31212C"/>
    <w:rsid w:val="4B9D5F32"/>
    <w:rsid w:val="4C587E30"/>
    <w:rsid w:val="4CEB3D6D"/>
    <w:rsid w:val="4D6115A8"/>
    <w:rsid w:val="4DC112FA"/>
    <w:rsid w:val="4F483AE2"/>
    <w:rsid w:val="4F7466AA"/>
    <w:rsid w:val="50BA0C2E"/>
    <w:rsid w:val="523E1044"/>
    <w:rsid w:val="528B2E84"/>
    <w:rsid w:val="529A6D16"/>
    <w:rsid w:val="53004FF1"/>
    <w:rsid w:val="530E1B3F"/>
    <w:rsid w:val="53974F04"/>
    <w:rsid w:val="53A33CE4"/>
    <w:rsid w:val="53A93BF4"/>
    <w:rsid w:val="53DC3D1F"/>
    <w:rsid w:val="53F71826"/>
    <w:rsid w:val="548C7638"/>
    <w:rsid w:val="54B91F28"/>
    <w:rsid w:val="552B2A5B"/>
    <w:rsid w:val="55706123"/>
    <w:rsid w:val="5640052B"/>
    <w:rsid w:val="577B60F8"/>
    <w:rsid w:val="59CF7579"/>
    <w:rsid w:val="59E71F02"/>
    <w:rsid w:val="59EA168A"/>
    <w:rsid w:val="5B161FE2"/>
    <w:rsid w:val="5BE648CD"/>
    <w:rsid w:val="5C5B0156"/>
    <w:rsid w:val="5CF34FB9"/>
    <w:rsid w:val="5D35760E"/>
    <w:rsid w:val="5DF80D0E"/>
    <w:rsid w:val="5E3C723A"/>
    <w:rsid w:val="5EB92A78"/>
    <w:rsid w:val="5FEC6863"/>
    <w:rsid w:val="6010147E"/>
    <w:rsid w:val="607A368C"/>
    <w:rsid w:val="620B40C2"/>
    <w:rsid w:val="62A57C96"/>
    <w:rsid w:val="63226107"/>
    <w:rsid w:val="637B445F"/>
    <w:rsid w:val="643F221E"/>
    <w:rsid w:val="644429E8"/>
    <w:rsid w:val="64635351"/>
    <w:rsid w:val="6536289C"/>
    <w:rsid w:val="65B91F0F"/>
    <w:rsid w:val="65C56898"/>
    <w:rsid w:val="661529A7"/>
    <w:rsid w:val="664B63D7"/>
    <w:rsid w:val="669A5B03"/>
    <w:rsid w:val="66B026AA"/>
    <w:rsid w:val="67765C7E"/>
    <w:rsid w:val="67E048A3"/>
    <w:rsid w:val="67F45D0A"/>
    <w:rsid w:val="68826DA0"/>
    <w:rsid w:val="689060BA"/>
    <w:rsid w:val="68FD0B9D"/>
    <w:rsid w:val="69063DB2"/>
    <w:rsid w:val="694F5C85"/>
    <w:rsid w:val="69A12110"/>
    <w:rsid w:val="6A761962"/>
    <w:rsid w:val="6B163ECE"/>
    <w:rsid w:val="6B4F1A5D"/>
    <w:rsid w:val="6C09740E"/>
    <w:rsid w:val="6CED3AAD"/>
    <w:rsid w:val="6CF1586D"/>
    <w:rsid w:val="6D903308"/>
    <w:rsid w:val="6F9B0673"/>
    <w:rsid w:val="6FFB30A3"/>
    <w:rsid w:val="70910D40"/>
    <w:rsid w:val="70E97B7F"/>
    <w:rsid w:val="71041148"/>
    <w:rsid w:val="718F76DE"/>
    <w:rsid w:val="71B668A4"/>
    <w:rsid w:val="722827FD"/>
    <w:rsid w:val="726F0746"/>
    <w:rsid w:val="729943A4"/>
    <w:rsid w:val="738D0859"/>
    <w:rsid w:val="74542147"/>
    <w:rsid w:val="74FC2787"/>
    <w:rsid w:val="756D05A3"/>
    <w:rsid w:val="75B70AE1"/>
    <w:rsid w:val="77985FA5"/>
    <w:rsid w:val="77A61E08"/>
    <w:rsid w:val="79A120BA"/>
    <w:rsid w:val="79D10DF5"/>
    <w:rsid w:val="79DF5F3A"/>
    <w:rsid w:val="7A643687"/>
    <w:rsid w:val="7AF53A70"/>
    <w:rsid w:val="7AF7F3E9"/>
    <w:rsid w:val="7B8C67CC"/>
    <w:rsid w:val="7BA821BD"/>
    <w:rsid w:val="7C503C1A"/>
    <w:rsid w:val="7C8D153F"/>
    <w:rsid w:val="7CDC5F9A"/>
    <w:rsid w:val="7CE05756"/>
    <w:rsid w:val="7CF50F24"/>
    <w:rsid w:val="7D6F568D"/>
    <w:rsid w:val="7E354CC4"/>
    <w:rsid w:val="7EF14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31"/>
    <w:qFormat/>
    <w:uiPriority w:val="0"/>
    <w:pPr>
      <w:keepNext/>
      <w:keepLines/>
      <w:spacing w:before="260" w:after="260" w:line="415" w:lineRule="auto"/>
      <w:outlineLvl w:val="1"/>
    </w:pPr>
    <w:rPr>
      <w:rFonts w:ascii="Arial" w:hAnsi="Arial" w:eastAsia="黑体"/>
      <w:b/>
      <w:bCs/>
      <w:sz w:val="32"/>
      <w:szCs w:val="32"/>
    </w:rPr>
  </w:style>
  <w:style w:type="paragraph" w:styleId="2">
    <w:name w:val="heading 3"/>
    <w:basedOn w:val="1"/>
    <w:next w:val="1"/>
    <w:link w:val="32"/>
    <w:qFormat/>
    <w:uiPriority w:val="0"/>
    <w:pPr>
      <w:keepNext/>
      <w:keepLines/>
      <w:spacing w:before="260" w:after="260" w:line="415" w:lineRule="auto"/>
      <w:ind w:firstLine="137" w:firstLineChars="49"/>
      <w:outlineLvl w:val="2"/>
    </w:pPr>
    <w:rPr>
      <w:rFonts w:ascii="黑体" w:hAnsi="宋体" w:eastAsia="黑体"/>
      <w:bCs/>
      <w:sz w:val="28"/>
      <w:szCs w:val="28"/>
    </w:rPr>
  </w:style>
  <w:style w:type="paragraph" w:styleId="5">
    <w:name w:val="heading 4"/>
    <w:basedOn w:val="1"/>
    <w:next w:val="1"/>
    <w:link w:val="33"/>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4"/>
    <w:qFormat/>
    <w:uiPriority w:val="0"/>
    <w:pPr>
      <w:shd w:val="clear" w:color="auto" w:fill="000080"/>
    </w:pPr>
  </w:style>
  <w:style w:type="paragraph" w:styleId="9">
    <w:name w:val="annotation text"/>
    <w:basedOn w:val="1"/>
    <w:link w:val="35"/>
    <w:qFormat/>
    <w:uiPriority w:val="0"/>
    <w:pPr>
      <w:jc w:val="left"/>
    </w:pPr>
  </w:style>
  <w:style w:type="paragraph" w:styleId="10">
    <w:name w:val="Body Text 3"/>
    <w:basedOn w:val="1"/>
    <w:qFormat/>
    <w:uiPriority w:val="0"/>
    <w:rPr>
      <w:rFonts w:ascii="宋体"/>
      <w:sz w:val="24"/>
      <w:szCs w:val="20"/>
    </w:rPr>
  </w:style>
  <w:style w:type="paragraph" w:styleId="11">
    <w:name w:val="Body Text"/>
    <w:basedOn w:val="1"/>
    <w:next w:val="1"/>
    <w:link w:val="36"/>
    <w:qFormat/>
    <w:uiPriority w:val="0"/>
    <w:pPr>
      <w:spacing w:after="120"/>
    </w:pPr>
  </w:style>
  <w:style w:type="paragraph" w:styleId="12">
    <w:name w:val="Body Text Indent"/>
    <w:basedOn w:val="1"/>
    <w:qFormat/>
    <w:uiPriority w:val="99"/>
    <w:pPr>
      <w:spacing w:after="120"/>
      <w:ind w:left="420" w:leftChars="200"/>
    </w:pPr>
  </w:style>
  <w:style w:type="paragraph" w:styleId="13">
    <w:name w:val="toc 3"/>
    <w:basedOn w:val="1"/>
    <w:next w:val="1"/>
    <w:qFormat/>
    <w:uiPriority w:val="0"/>
    <w:pPr>
      <w:ind w:left="420"/>
      <w:jc w:val="left"/>
    </w:pPr>
    <w:rPr>
      <w:iCs/>
      <w:sz w:val="20"/>
      <w:szCs w:val="20"/>
    </w:rPr>
  </w:style>
  <w:style w:type="paragraph" w:styleId="14">
    <w:name w:val="Balloon Text"/>
    <w:basedOn w:val="1"/>
    <w:link w:val="37"/>
    <w:qFormat/>
    <w:uiPriority w:val="0"/>
    <w:rPr>
      <w:sz w:val="18"/>
      <w:szCs w:val="18"/>
    </w:rPr>
  </w:style>
  <w:style w:type="paragraph" w:styleId="15">
    <w:name w:val="footer"/>
    <w:basedOn w:val="1"/>
    <w:link w:val="38"/>
    <w:qFormat/>
    <w:uiPriority w:val="0"/>
    <w:pPr>
      <w:tabs>
        <w:tab w:val="center" w:pos="4153"/>
        <w:tab w:val="right" w:pos="8306"/>
      </w:tabs>
      <w:snapToGrid w:val="0"/>
      <w:jc w:val="left"/>
    </w:pPr>
    <w:rPr>
      <w:sz w:val="18"/>
      <w:szCs w:val="18"/>
    </w:rPr>
  </w:style>
  <w:style w:type="paragraph" w:styleId="16">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before="120" w:after="120"/>
      <w:jc w:val="left"/>
    </w:pPr>
    <w:rPr>
      <w:b/>
      <w:bCs/>
      <w:caps/>
      <w:sz w:val="20"/>
      <w:szCs w:val="20"/>
    </w:rPr>
  </w:style>
  <w:style w:type="paragraph" w:styleId="18">
    <w:name w:val="toc 2"/>
    <w:basedOn w:val="1"/>
    <w:next w:val="1"/>
    <w:qFormat/>
    <w:uiPriority w:val="0"/>
    <w:pPr>
      <w:ind w:left="210"/>
      <w:jc w:val="left"/>
    </w:pPr>
    <w:rPr>
      <w:smallCaps/>
      <w:sz w:val="20"/>
      <w:szCs w:val="20"/>
    </w:rPr>
  </w:style>
  <w:style w:type="paragraph" w:styleId="19">
    <w:name w:val="Title"/>
    <w:basedOn w:val="3"/>
    <w:qFormat/>
    <w:uiPriority w:val="0"/>
    <w:pPr>
      <w:keepLines w:val="0"/>
      <w:tabs>
        <w:tab w:val="left" w:pos="48"/>
      </w:tabs>
      <w:overflowPunct w:val="0"/>
      <w:adjustRightInd w:val="0"/>
      <w:spacing w:before="240" w:after="60" w:line="300" w:lineRule="auto"/>
      <w:jc w:val="center"/>
    </w:pPr>
    <w:rPr>
      <w:rFonts w:ascii="Arial Narrow" w:hAnsi="Arial Narrow" w:eastAsia="黑体"/>
      <w:b w:val="0"/>
      <w:kern w:val="0"/>
      <w:sz w:val="30"/>
      <w:szCs w:val="32"/>
    </w:rPr>
  </w:style>
  <w:style w:type="paragraph" w:styleId="20">
    <w:name w:val="annotation subject"/>
    <w:basedOn w:val="9"/>
    <w:next w:val="9"/>
    <w:link w:val="40"/>
    <w:qFormat/>
    <w:uiPriority w:val="0"/>
    <w:pPr>
      <w:jc w:val="both"/>
    </w:pPr>
    <w:rPr>
      <w:b/>
      <w:bCs/>
    </w:rPr>
  </w:style>
  <w:style w:type="paragraph" w:styleId="21">
    <w:name w:val="Body Text First Indent"/>
    <w:basedOn w:val="1"/>
    <w:link w:val="41"/>
    <w:qFormat/>
    <w:uiPriority w:val="0"/>
    <w:pPr>
      <w:spacing w:line="312" w:lineRule="auto"/>
      <w:ind w:firstLine="420"/>
    </w:pPr>
  </w:style>
  <w:style w:type="paragraph" w:styleId="22">
    <w:name w:val="Body Text First Indent 2"/>
    <w:basedOn w:val="12"/>
    <w:unhideWhenUsed/>
    <w:qFormat/>
    <w:uiPriority w:val="99"/>
    <w:pPr>
      <w:ind w:firstLine="420" w:firstLineChars="2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qFormat/>
    <w:uiPriority w:val="0"/>
    <w:rPr>
      <w:color w:val="0000FF"/>
      <w:u w:val="single"/>
    </w:rPr>
  </w:style>
  <w:style w:type="character" w:styleId="28">
    <w:name w:val="annotation reference"/>
    <w:qFormat/>
    <w:uiPriority w:val="0"/>
    <w:rPr>
      <w:sz w:val="21"/>
      <w:szCs w:val="21"/>
    </w:rPr>
  </w:style>
  <w:style w:type="paragraph" w:customStyle="1" w:styleId="29">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character" w:customStyle="1" w:styleId="30">
    <w:name w:val="标题 1 字符"/>
    <w:link w:val="3"/>
    <w:qFormat/>
    <w:uiPriority w:val="0"/>
    <w:rPr>
      <w:rFonts w:eastAsia="宋体"/>
      <w:b/>
      <w:bCs/>
      <w:kern w:val="44"/>
      <w:sz w:val="44"/>
      <w:szCs w:val="44"/>
      <w:lang w:val="en-US" w:eastAsia="zh-CN" w:bidi="ar-SA"/>
    </w:rPr>
  </w:style>
  <w:style w:type="character" w:customStyle="1" w:styleId="31">
    <w:name w:val="标题 2 字符"/>
    <w:link w:val="4"/>
    <w:qFormat/>
    <w:uiPriority w:val="0"/>
    <w:rPr>
      <w:rFonts w:ascii="Arial" w:hAnsi="Arial" w:eastAsia="黑体"/>
      <w:b/>
      <w:bCs/>
      <w:kern w:val="2"/>
      <w:sz w:val="32"/>
      <w:szCs w:val="32"/>
      <w:lang w:val="en-US" w:eastAsia="zh-CN" w:bidi="ar-SA"/>
    </w:rPr>
  </w:style>
  <w:style w:type="character" w:customStyle="1" w:styleId="32">
    <w:name w:val="标题 3 字符"/>
    <w:link w:val="2"/>
    <w:qFormat/>
    <w:uiPriority w:val="0"/>
    <w:rPr>
      <w:rFonts w:ascii="黑体" w:hAnsi="宋体" w:eastAsia="黑体"/>
      <w:bCs/>
      <w:kern w:val="2"/>
      <w:sz w:val="28"/>
      <w:szCs w:val="28"/>
      <w:lang w:val="en-US" w:eastAsia="zh-CN" w:bidi="ar-SA"/>
    </w:rPr>
  </w:style>
  <w:style w:type="character" w:customStyle="1" w:styleId="33">
    <w:name w:val="标题 4 字符"/>
    <w:link w:val="5"/>
    <w:qFormat/>
    <w:uiPriority w:val="0"/>
    <w:rPr>
      <w:rFonts w:ascii="Arial" w:hAnsi="Arial" w:eastAsia="黑体"/>
      <w:b/>
      <w:bCs/>
      <w:kern w:val="2"/>
      <w:sz w:val="28"/>
      <w:szCs w:val="28"/>
      <w:lang w:val="en-US" w:eastAsia="zh-CN" w:bidi="ar-SA"/>
    </w:rPr>
  </w:style>
  <w:style w:type="character" w:customStyle="1" w:styleId="34">
    <w:name w:val="文档结构图 字符"/>
    <w:link w:val="8"/>
    <w:qFormat/>
    <w:uiPriority w:val="0"/>
    <w:rPr>
      <w:rFonts w:eastAsia="宋体"/>
      <w:kern w:val="2"/>
      <w:sz w:val="21"/>
      <w:szCs w:val="24"/>
      <w:lang w:val="en-US" w:eastAsia="zh-CN" w:bidi="ar-SA"/>
    </w:rPr>
  </w:style>
  <w:style w:type="character" w:customStyle="1" w:styleId="35">
    <w:name w:val="批注文字 字符"/>
    <w:link w:val="9"/>
    <w:qFormat/>
    <w:uiPriority w:val="0"/>
    <w:rPr>
      <w:rFonts w:eastAsia="宋体"/>
      <w:kern w:val="2"/>
      <w:sz w:val="21"/>
      <w:szCs w:val="24"/>
      <w:lang w:val="en-US" w:eastAsia="zh-CN" w:bidi="ar-SA"/>
    </w:rPr>
  </w:style>
  <w:style w:type="character" w:customStyle="1" w:styleId="36">
    <w:name w:val="正文文本 字符"/>
    <w:link w:val="11"/>
    <w:qFormat/>
    <w:uiPriority w:val="0"/>
    <w:rPr>
      <w:rFonts w:eastAsia="宋体"/>
      <w:kern w:val="2"/>
      <w:sz w:val="21"/>
      <w:szCs w:val="24"/>
      <w:lang w:val="en-US" w:eastAsia="zh-CN" w:bidi="ar-SA"/>
    </w:rPr>
  </w:style>
  <w:style w:type="character" w:customStyle="1" w:styleId="37">
    <w:name w:val="批注框文本 字符"/>
    <w:link w:val="14"/>
    <w:qFormat/>
    <w:uiPriority w:val="0"/>
    <w:rPr>
      <w:kern w:val="2"/>
      <w:sz w:val="18"/>
      <w:szCs w:val="18"/>
    </w:rPr>
  </w:style>
  <w:style w:type="character" w:customStyle="1" w:styleId="38">
    <w:name w:val="页脚 字符"/>
    <w:link w:val="15"/>
    <w:qFormat/>
    <w:uiPriority w:val="0"/>
    <w:rPr>
      <w:rFonts w:eastAsia="宋体"/>
      <w:kern w:val="2"/>
      <w:sz w:val="18"/>
      <w:szCs w:val="18"/>
      <w:lang w:val="en-US" w:eastAsia="zh-CN" w:bidi="ar-SA"/>
    </w:rPr>
  </w:style>
  <w:style w:type="character" w:customStyle="1" w:styleId="39">
    <w:name w:val="页眉 字符"/>
    <w:link w:val="16"/>
    <w:qFormat/>
    <w:uiPriority w:val="0"/>
    <w:rPr>
      <w:rFonts w:eastAsia="宋体"/>
      <w:kern w:val="2"/>
      <w:sz w:val="18"/>
      <w:szCs w:val="18"/>
      <w:lang w:val="en-US" w:eastAsia="zh-CN" w:bidi="ar-SA"/>
    </w:rPr>
  </w:style>
  <w:style w:type="character" w:customStyle="1" w:styleId="40">
    <w:name w:val="批注主题 字符"/>
    <w:link w:val="20"/>
    <w:qFormat/>
    <w:uiPriority w:val="0"/>
    <w:rPr>
      <w:rFonts w:eastAsia="宋体"/>
      <w:b/>
      <w:bCs/>
      <w:kern w:val="2"/>
      <w:sz w:val="21"/>
      <w:szCs w:val="24"/>
      <w:lang w:val="en-US" w:eastAsia="zh-CN" w:bidi="ar-SA"/>
    </w:rPr>
  </w:style>
  <w:style w:type="character" w:customStyle="1" w:styleId="41">
    <w:name w:val="正文文本首行缩进 字符"/>
    <w:basedOn w:val="36"/>
    <w:link w:val="21"/>
    <w:qFormat/>
    <w:uiPriority w:val="0"/>
    <w:rPr>
      <w:rFonts w:eastAsia="宋体"/>
      <w:kern w:val="2"/>
      <w:sz w:val="21"/>
      <w:szCs w:val="24"/>
      <w:lang w:val="en-US" w:eastAsia="zh-CN" w:bidi="ar-SA"/>
    </w:rPr>
  </w:style>
  <w:style w:type="paragraph" w:customStyle="1" w:styleId="42">
    <w:name w:val="Body text|3"/>
    <w:basedOn w:val="1"/>
    <w:qFormat/>
    <w:uiPriority w:val="0"/>
    <w:pPr>
      <w:spacing w:after="980"/>
    </w:pPr>
    <w:rPr>
      <w:sz w:val="15"/>
      <w:szCs w:val="15"/>
    </w:rPr>
  </w:style>
  <w:style w:type="paragraph" w:customStyle="1" w:styleId="43">
    <w:name w:val="Body text|1"/>
    <w:basedOn w:val="1"/>
    <w:qFormat/>
    <w:uiPriority w:val="0"/>
    <w:pPr>
      <w:spacing w:line="406" w:lineRule="auto"/>
      <w:ind w:firstLine="240"/>
    </w:pPr>
    <w:rPr>
      <w:rFonts w:ascii="宋体" w:hAnsi="宋体" w:cs="宋体"/>
      <w:sz w:val="10"/>
      <w:szCs w:val="10"/>
      <w:lang w:val="zh-TW" w:eastAsia="zh-TW" w:bidi="zh-TW"/>
    </w:rPr>
  </w:style>
  <w:style w:type="paragraph" w:customStyle="1" w:styleId="44">
    <w:name w:val="WPSOffice手动目录 1"/>
    <w:qFormat/>
    <w:uiPriority w:val="0"/>
    <w:rPr>
      <w:rFonts w:ascii="Calibri" w:hAnsi="Calibri" w:eastAsia="宋体" w:cs="Arial"/>
      <w:lang w:val="en-US" w:eastAsia="zh-CN" w:bidi="ar-SA"/>
    </w:rPr>
  </w:style>
  <w:style w:type="paragraph" w:customStyle="1" w:styleId="45">
    <w:name w:val="1.1.1.1"/>
    <w:basedOn w:val="1"/>
    <w:qFormat/>
    <w:uiPriority w:val="0"/>
    <w:pPr>
      <w:tabs>
        <w:tab w:val="left" w:pos="1134"/>
      </w:tabs>
      <w:adjustRightInd w:val="0"/>
      <w:spacing w:before="60" w:after="60" w:line="360" w:lineRule="atLeast"/>
      <w:ind w:left="1134" w:hanging="1134"/>
      <w:textAlignment w:val="baseline"/>
    </w:pPr>
    <w:rPr>
      <w:rFonts w:ascii="Arial" w:hAnsi="Arial"/>
      <w:sz w:val="24"/>
    </w:rPr>
  </w:style>
  <w:style w:type="paragraph" w:customStyle="1" w:styleId="46">
    <w:name w:val="Heading #1|1"/>
    <w:basedOn w:val="1"/>
    <w:qFormat/>
    <w:uiPriority w:val="0"/>
    <w:pPr>
      <w:spacing w:after="200"/>
      <w:ind w:firstLine="130"/>
      <w:jc w:val="center"/>
      <w:outlineLvl w:val="0"/>
    </w:pPr>
    <w:rPr>
      <w:rFonts w:ascii="宋体" w:hAnsi="宋体" w:cs="宋体"/>
      <w:sz w:val="22"/>
      <w:szCs w:val="22"/>
      <w:lang w:val="zh-TW" w:eastAsia="zh-TW" w:bidi="zh-TW"/>
    </w:rPr>
  </w:style>
  <w:style w:type="paragraph" w:customStyle="1" w:styleId="47">
    <w:name w:val="1.1.1.1A"/>
    <w:basedOn w:val="45"/>
    <w:qFormat/>
    <w:uiPriority w:val="0"/>
    <w:pPr>
      <w:tabs>
        <w:tab w:val="left" w:pos="1843"/>
      </w:tabs>
      <w:spacing w:line="400" w:lineRule="atLeast"/>
      <w:ind w:left="1560" w:right="200" w:rightChars="200" w:hanging="426"/>
    </w:pPr>
  </w:style>
  <w:style w:type="paragraph" w:customStyle="1" w:styleId="48">
    <w:name w:val="Other|1"/>
    <w:basedOn w:val="1"/>
    <w:qFormat/>
    <w:uiPriority w:val="0"/>
    <w:pPr>
      <w:spacing w:line="406" w:lineRule="auto"/>
      <w:ind w:firstLine="240"/>
    </w:pPr>
    <w:rPr>
      <w:rFonts w:ascii="宋体" w:hAnsi="宋体" w:cs="宋体"/>
      <w:sz w:val="10"/>
      <w:szCs w:val="10"/>
      <w:lang w:val="zh-TW" w:eastAsia="zh-TW" w:bidi="zh-TW"/>
    </w:rPr>
  </w:style>
  <w:style w:type="paragraph" w:customStyle="1" w:styleId="49">
    <w:name w:val="Normal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0">
    <w:name w:val="Heading #2|1"/>
    <w:basedOn w:val="1"/>
    <w:qFormat/>
    <w:uiPriority w:val="0"/>
    <w:pPr>
      <w:spacing w:after="110"/>
      <w:ind w:firstLine="260"/>
      <w:outlineLvl w:val="1"/>
    </w:pPr>
    <w:rPr>
      <w:rFonts w:ascii="宋体" w:hAnsi="宋体" w:cs="宋体"/>
      <w:sz w:val="13"/>
      <w:szCs w:val="13"/>
      <w:lang w:val="zh-TW" w:eastAsia="zh-TW" w:bidi="zh-TW"/>
    </w:rPr>
  </w:style>
  <w:style w:type="paragraph" w:customStyle="1" w:styleId="51">
    <w:name w:val="Body text|2"/>
    <w:basedOn w:val="1"/>
    <w:qFormat/>
    <w:uiPriority w:val="0"/>
    <w:pPr>
      <w:ind w:hanging="860"/>
    </w:pPr>
    <w:rPr>
      <w:rFonts w:ascii="宋体" w:hAnsi="宋体" w:cs="宋体"/>
      <w:b/>
      <w:bCs/>
      <w:sz w:val="8"/>
      <w:szCs w:val="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Template</Template>
  <Company>www.ftpdown.com</Company>
  <Pages>188</Pages>
  <Words>24456</Words>
  <Characters>25862</Characters>
  <Lines>745</Lines>
  <Paragraphs>209</Paragraphs>
  <TotalTime>93</TotalTime>
  <ScaleCrop>false</ScaleCrop>
  <LinksUpToDate>false</LinksUpToDate>
  <CharactersWithSpaces>28142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2021-09-09T20:06:00Z</dcterms:created>
  <dc:creator>微软系统</dc:creator>
  <cp:lastModifiedBy>东说南山西说海</cp:lastModifiedBy>
  <cp:lastPrinted>2024-04-11T15:17:00Z</cp:lastPrinted>
  <dcterms:modified xsi:type="dcterms:W3CDTF">2026-02-12T08:41:21Z</dcterms:modified>
  <dc:title>附件二：</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C8F2E7A4264F4EDD94F8C43D9AC9BBC4_13</vt:lpwstr>
  </property>
  <property fmtid="{D5CDD505-2E9C-101B-9397-08002B2CF9AE}" pid="3" name="KSOProductBuildVer">
    <vt:lpwstr>2052-12.1.0.24657</vt:lpwstr>
  </property>
  <property fmtid="{D5CDD505-2E9C-101B-9397-08002B2CF9AE}" pid="4" name="KSOTemplateDocerSaveRecord">
    <vt:lpwstr>eyJoZGlkIjoiYWY1MTZlMTU5MDkxYjEyODYwMmIzN2E2MTU5YzNlZGIiLCJ1c2VySWQiOiI0MTY5Mzc3NTYifQ==</vt:lpwstr>
  </property>
</Properties>
</file>